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44"/>
          <w:szCs w:val="44"/>
        </w:rPr>
        <w:t xml:space="preserve">ISO 27001 / ISO 22301 Compliance Guide</w:t>
      </w:r>
    </w:p>
    <w:p>
      <w:pPr>
        <w:spacing w:after="400" w:before="200"/>
        <w:jc w:val="center"/>
      </w:pPr>
      <w:r>
        <w:rPr>
          <w:color w:val="1F3864"/>
          <w:sz w:val="28"/>
          <w:szCs w:val="28"/>
        </w:rPr>
        <w:t xml:space="preserve">Adding a New Module to HRIMS and The Circle</w:t>
      </w:r>
    </w:p>
    <w:p>
      <w:pPr>
        <w:spacing w:before="100"/>
        <w:jc w:val="center"/>
      </w:pPr>
      <w:r>
        <w:rPr>
          <w:sz w:val="22"/>
          <w:szCs w:val="22"/>
        </w:rPr>
        <w:t xml:space="preserve">Rainbow Tourism Group — Business Information Systems (BIS)</w:t>
      </w:r>
    </w:p>
    <w:p>
      <w:pPr>
        <w:spacing w:before="100"/>
        <w:jc w:val="center"/>
      </w:pPr>
      <w:r>
        <w:rPr>
          <w:color w:val="666666"/>
          <w:sz w:val="20"/>
          <w:szCs w:val="20"/>
        </w:rPr>
        <w:t xml:space="preserve">Prepared by: Geraldine Ndoro, Systems and Digital Solutions Developer</w:t>
      </w:r>
    </w:p>
    <w:p>
      <w:pPr>
        <w:spacing w:before="60"/>
        <w:jc w:val="center"/>
      </w:pPr>
      <w:r>
        <w:rPr>
          <w:color w:val="666666"/>
          <w:sz w:val="20"/>
          <w:szCs w:val="20"/>
        </w:rPr>
        <w:t xml:space="preserve">Date: 10 September 2026</w:t>
      </w:r>
    </w:p>
    <w:p>
      <w:pPr>
        <w:spacing w:before="60"/>
        <w:jc w:val="center"/>
      </w:pPr>
      <w:r>
        <w:rPr>
          <w:i/>
          <w:iCs/>
          <w:color w:val="666666"/>
          <w:sz w:val="18"/>
          <w:szCs w:val="18"/>
        </w:rPr>
        <w:t xml:space="preserve">Scope: In-house developed applications only (excludes Sage 300, Opera, Belina Payroll)</w:t>
      </w:r>
    </w:p>
    <w:p>
      <w:r>
        <w:br w:type="page"/>
      </w:r>
    </w:p>
    <w:p>
      <w:pPr>
        <w:pStyle w:val="Heading1"/>
        <w:spacing w:after="160" w:before="360"/>
      </w:pPr>
      <w:r>
        <w:t xml:space="preserve">1. Purpose and Scope</w:t>
      </w:r>
    </w:p>
    <w:p>
      <w:pPr>
        <w:spacing w:after="140" w:line="276"/>
      </w:pPr>
      <w:r>
        <w:t xml:space="preserve">This document explains what ISO/IEC 27001:2022 and ISO 22301:2019 require when a new module is added to an existing, in-house developed web application that is already live in production — and sets out the concrete steps needed to keep Rainbow Tourism Group (RTG) audit-ready. It covers two systems currently in scope:</w:t>
      </w:r>
    </w:p>
    <w:p>
      <w:pPr>
        <w:pStyle w:val="ListParagraph"/>
        <w:numPr>
          <w:ilvl w:val="0"/>
          <w:numId w:val="2"/>
        </w:numPr>
        <w:spacing w:after="80" w:line="276"/>
      </w:pPr>
      <w:r>
        <w:rPr>
          <w:b/>
          <w:bCs/>
        </w:rPr>
        <w:t xml:space="preserve">HRIMS </w:t>
      </w:r>
      <w:r>
        <w:t xml:space="preserve">— the HR Management Information System, which stores personal information about employees. It currently has no formal SDLC or change-management documentation, despite being live in production.</w:t>
      </w:r>
    </w:p>
    <w:p>
      <w:pPr>
        <w:pStyle w:val="ListParagraph"/>
        <w:numPr>
          <w:ilvl w:val="0"/>
          <w:numId w:val="2"/>
        </w:numPr>
        <w:spacing w:after="80" w:line="276"/>
      </w:pPr>
      <w:r>
        <w:rPr>
          <w:b/>
          <w:bCs/>
        </w:rPr>
        <w:t xml:space="preserve">The Circle </w:t>
      </w:r>
      <w:r>
        <w:t xml:space="preserve">— an approval-workflow system with digital approvals and audit trails. Some documentation already exists (business case, an initial change request that pre-dates the new module, implementation plan, pre-UAT checklist, rollback plan, test plan, and an outdated SRS), plus a separately signed SRS for the new module itself. This is a partial baseline, not a complete one.</w:t>
      </w:r>
    </w:p>
    <w:p>
      <w:pPr>
        <w:spacing w:after="140" w:line="276"/>
      </w:pPr>
      <w:r>
        <w:t xml:space="preserve">RTG is certified against ISO/IEC 27001:2022 (Information Security Management) and ISO 22301:2019 (Business Continuity Management). Both certifications are maintained through surveillance audits, so gaps introduced today are gaps an auditor can find next cycle. The goal of this guide is to close those gaps before they become documented nonconformities (NCs).</w:t>
      </w:r>
    </w:p>
    <w:p>
      <w:pPr>
        <w:spacing w:after="140" w:line="276"/>
      </w:pPr>
      <w:r>
        <w:t xml:space="preserve">This guide is written for the two named systems, but the same pattern applies to any in-house application under BIS. Section 9 covers how to stop this gap from recurring for future modules and systems.</w:t>
      </w:r>
    </w:p>
    <w:p>
      <w:pPr>
        <w:pStyle w:val="Heading1"/>
        <w:spacing w:after="160" w:before="360"/>
      </w:pPr>
      <w:r>
        <w:t xml:space="preserve">2. Why a "Simple Module Add" Is an ISO Event</w:t>
      </w:r>
    </w:p>
    <w:p>
      <w:pPr>
        <w:spacing w:after="140" w:line="276"/>
      </w:pPr>
      <w:r>
        <w:t xml:space="preserve">Under both standards, a change to a live system is not just an engineering activity — it is a controlled process that must leave evidence behind. Two clauses make this explicit:</w:t>
      </w:r>
    </w:p>
    <w:p>
      <w:pPr>
        <w:pStyle w:val="ListParagraph"/>
        <w:numPr>
          <w:ilvl w:val="0"/>
          <w:numId w:val="2"/>
        </w:numPr>
        <w:spacing w:after="80" w:line="276"/>
      </w:pPr>
      <w:r>
        <w:rPr>
          <w:b/>
          <w:bCs/>
        </w:rPr>
        <w:t xml:space="preserve">ISO 27001 Clause 8.1 / ISO 22301 Clause 8.1 (Operational planning and control): </w:t>
      </w:r>
      <w:r>
        <w:t xml:space="preserve">the organisation must plan, implement and control the processes needed to meet requirements, keep documented information to the extent necessary to have confidence the processes were carried out as planned, control planned changes, and review the consequences of unintended changes.</w:t>
      </w:r>
    </w:p>
    <w:p>
      <w:pPr>
        <w:pStyle w:val="ListParagraph"/>
        <w:numPr>
          <w:ilvl w:val="0"/>
          <w:numId w:val="2"/>
        </w:numPr>
        <w:spacing w:after="80" w:line="276"/>
      </w:pPr>
      <w:r>
        <w:rPr>
          <w:b/>
          <w:bCs/>
        </w:rPr>
        <w:t xml:space="preserve">ISO 27001 Clause 7.5 (Documented information): </w:t>
      </w:r>
      <w:r>
        <w:t xml:space="preserve">information security processes that materially affect the ISMS must be documented, version-controlled, and available to those who need it — including, in an audit, the assessor.</w:t>
      </w:r>
    </w:p>
    <w:p>
      <w:pPr>
        <w:spacing w:after="140" w:line="276"/>
      </w:pPr>
      <w:r>
        <w:t xml:space="preserve">In practice, auditors sample recent changes to in-scope systems. For HRIMS (personal data) and The Circle (approval integrity and audit trails), a module that shipped to production without a traceable change record, risk assessment, test evidence and sign-off is a textbook nonconformity — minor if isolated and quickly remediated, major if it reflects a systemic absence of change control (which, for HRIMS today, it does).</w:t>
      </w:r>
    </w:p>
    <w:p>
      <w:pPr>
        <w:pStyle w:val="Heading3"/>
        <w:spacing w:after="100" w:before="200"/>
      </w:pPr>
      <w:r>
        <w:t xml:space="preserve">A note on retroactive documentation</w:t>
      </w:r>
    </w:p>
    <w:p>
      <w:pPr>
        <w:spacing w:after="140" w:line="276"/>
      </w:pPr>
      <w:r>
        <w:t xml:space="preserve">Writing documentation after the fact is necessary and normal when closing a historical gap — but auditors distinguish it from real-time process evidence. Two different activities are happening here, and they should not be blended:</w:t>
      </w:r>
    </w:p>
    <w:p>
      <w:pPr>
        <w:pStyle w:val="ListParagraph"/>
        <w:numPr>
          <w:ilvl w:val="0"/>
          <w:numId w:val="2"/>
        </w:numPr>
        <w:spacing w:after="80" w:line="276"/>
      </w:pPr>
      <w:r>
        <w:t xml:space="preserve">Baseline catch-up: documenting HRIMS as it exists today (asset inventory, architecture, current controls). This is legitimate remediation of a historical gap — date it honestly as a baseline exercise, not as if it existed all along.</w:t>
      </w:r>
    </w:p>
    <w:p>
      <w:pPr>
        <w:pStyle w:val="ListParagraph"/>
        <w:numPr>
          <w:ilvl w:val="0"/>
          <w:numId w:val="2"/>
        </w:numPr>
        <w:spacing w:after="80" w:line="276"/>
      </w:pPr>
      <w:r>
        <w:t xml:space="preserve">Forward-looking change control: the business case, risk assessment, SRS, test plan, rollback plan and sign-offs for the new module going in now. This must be produced and approved before/during the change, not backfilled after go-live, or it will not hold up as evidence of a working process.</w:t>
      </w:r>
    </w:p>
    <w:p>
      <w:pPr>
        <w:pStyle w:val="Heading1"/>
        <w:spacing w:after="160" w:before="360"/>
      </w:pPr>
      <w:r>
        <w:t xml:space="preserve">3. Applicable ISO/IEC 27001:2022 Annex A Controls</w:t>
      </w:r>
    </w:p>
    <w:p>
      <w:pPr>
        <w:spacing w:after="140" w:line="276"/>
      </w:pPr>
      <w:r>
        <w:t xml:space="preserve">Confirm each of these against your Statement of Applicability (SoA) — they should already be marked applicable given RTG's certification scope, but the table below explains why each one bites specifically on "add a module to a live app."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00"/>
      </w:tblGrid>
      <w:tr>
        <w:trPr>
          <w:tblHeader/>
        </w:trPr>
        <w:tc>
          <w:tcPr>
            <w:tcW w:type="dxa" w:w="1000"/>
            <w:shd w:fill="1F3864" w:color="auto" w:val="clear"/>
            <w:tcMar>
              <w:top w:type="dxa" w:w="80"/>
              <w:left w:type="dxa" w:w="100"/>
              <w:bottom w:type="dxa" w:w="80"/>
              <w:right w:type="dxa" w:w="100"/>
            </w:tcMar>
          </w:tcPr>
          <w:p>
            <w:r>
              <w:rPr>
                <w:b/>
                <w:bCs/>
                <w:color w:val="FFFFFF"/>
                <w:sz w:val="20"/>
                <w:szCs w:val="20"/>
              </w:rPr>
              <w:t xml:space="preserve">Control</w:t>
            </w:r>
          </w:p>
        </w:tc>
        <w:tc>
          <w:tcPr>
            <w:tcW w:type="dxa" w:w="2600"/>
            <w:shd w:fill="1F3864" w:color="auto" w:val="clear"/>
            <w:tcMar>
              <w:top w:type="dxa" w:w="80"/>
              <w:left w:type="dxa" w:w="100"/>
              <w:bottom w:type="dxa" w:w="80"/>
              <w:right w:type="dxa" w:w="100"/>
            </w:tcMar>
          </w:tcPr>
          <w:p>
            <w:r>
              <w:rPr>
                <w:b/>
                <w:bCs/>
                <w:color w:val="FFFFFF"/>
                <w:sz w:val="20"/>
                <w:szCs w:val="20"/>
              </w:rPr>
              <w:t xml:space="preserve">Title</w:t>
            </w:r>
          </w:p>
        </w:tc>
        <w:tc>
          <w:tcPr>
            <w:tcW w:type="dxa" w:w="5700"/>
            <w:shd w:fill="1F3864" w:color="auto" w:val="clear"/>
            <w:tcMar>
              <w:top w:type="dxa" w:w="80"/>
              <w:left w:type="dxa" w:w="100"/>
              <w:bottom w:type="dxa" w:w="80"/>
              <w:right w:type="dxa" w:w="100"/>
            </w:tcMar>
          </w:tcPr>
          <w:p>
            <w:r>
              <w:rPr>
                <w:b/>
                <w:bCs/>
                <w:color w:val="FFFFFF"/>
                <w:sz w:val="20"/>
                <w:szCs w:val="20"/>
              </w:rPr>
              <w:t xml:space="preserve">Why it applies here</w:t>
            </w:r>
          </w:p>
        </w:tc>
      </w:tr>
      <w:tr>
        <w:tc>
          <w:tcPr>
            <w:tcW w:type="dxa" w:w="1000"/>
            <w:tcMar>
              <w:top w:type="dxa" w:w="80"/>
              <w:left w:type="dxa" w:w="100"/>
              <w:bottom w:type="dxa" w:w="80"/>
              <w:right w:type="dxa" w:w="100"/>
            </w:tcMar>
          </w:tcPr>
          <w:p>
            <w:r>
              <w:rPr>
                <w:b w:val="false"/>
                <w:bCs w:val="false"/>
                <w:sz w:val="20"/>
                <w:szCs w:val="20"/>
              </w:rPr>
              <w:t xml:space="preserve">5.9</w:t>
            </w:r>
          </w:p>
        </w:tc>
        <w:tc>
          <w:tcPr>
            <w:tcW w:type="dxa" w:w="2600"/>
            <w:tcMar>
              <w:top w:type="dxa" w:w="80"/>
              <w:left w:type="dxa" w:w="100"/>
              <w:bottom w:type="dxa" w:w="80"/>
              <w:right w:type="dxa" w:w="100"/>
            </w:tcMar>
          </w:tcPr>
          <w:p>
            <w:r>
              <w:rPr>
                <w:b w:val="false"/>
                <w:bCs w:val="false"/>
                <w:sz w:val="20"/>
                <w:szCs w:val="20"/>
              </w:rPr>
              <w:t xml:space="preserve">Inventory of information and other associated assets</w:t>
            </w:r>
          </w:p>
        </w:tc>
        <w:tc>
          <w:tcPr>
            <w:tcW w:type="dxa" w:w="5700"/>
            <w:tcMar>
              <w:top w:type="dxa" w:w="80"/>
              <w:left w:type="dxa" w:w="100"/>
              <w:bottom w:type="dxa" w:w="80"/>
              <w:right w:type="dxa" w:w="100"/>
            </w:tcMar>
          </w:tcPr>
          <w:p>
            <w:r>
              <w:rPr>
                <w:b w:val="false"/>
                <w:bCs w:val="false"/>
                <w:sz w:val="20"/>
                <w:szCs w:val="20"/>
              </w:rPr>
              <w:t xml:space="preserve">HRIMS and The Circle (and the personal/approval data they hold) must be identified as assets with owners. Neither system currently has a documented asset-register entry.</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5.29</w:t>
            </w:r>
          </w:p>
        </w:tc>
        <w:tc>
          <w:tcPr>
            <w:tcW w:type="dxa" w:w="2600"/>
            <w:shd w:fill="F2F2F2" w:color="auto" w:val="clear"/>
            <w:tcMar>
              <w:top w:type="dxa" w:w="80"/>
              <w:left w:type="dxa" w:w="100"/>
              <w:bottom w:type="dxa" w:w="80"/>
              <w:right w:type="dxa" w:w="100"/>
            </w:tcMar>
          </w:tcPr>
          <w:p>
            <w:r>
              <w:rPr>
                <w:b w:val="false"/>
                <w:bCs w:val="false"/>
                <w:sz w:val="20"/>
                <w:szCs w:val="20"/>
              </w:rPr>
              <w:t xml:space="preserve">Information security during disruption</w:t>
            </w:r>
          </w:p>
        </w:tc>
        <w:tc>
          <w:tcPr>
            <w:tcW w:type="dxa" w:w="5700"/>
            <w:shd w:fill="F2F2F2" w:color="auto" w:val="clear"/>
            <w:tcMar>
              <w:top w:type="dxa" w:w="80"/>
              <w:left w:type="dxa" w:w="100"/>
              <w:bottom w:type="dxa" w:w="80"/>
              <w:right w:type="dxa" w:w="100"/>
            </w:tcMar>
          </w:tcPr>
          <w:p>
            <w:r>
              <w:rPr>
                <w:b w:val="false"/>
                <w:bCs w:val="false"/>
                <w:sz w:val="20"/>
                <w:szCs w:val="20"/>
              </w:rPr>
              <w:t xml:space="preserve">The new module must not weaken existing security controls if either system experiences an outage or degraded mode.</w:t>
            </w:r>
          </w:p>
        </w:tc>
      </w:tr>
      <w:tr>
        <w:tc>
          <w:tcPr>
            <w:tcW w:type="dxa" w:w="1000"/>
            <w:tcMar>
              <w:top w:type="dxa" w:w="80"/>
              <w:left w:type="dxa" w:w="100"/>
              <w:bottom w:type="dxa" w:w="80"/>
              <w:right w:type="dxa" w:w="100"/>
            </w:tcMar>
          </w:tcPr>
          <w:p>
            <w:r>
              <w:rPr>
                <w:b w:val="false"/>
                <w:bCs w:val="false"/>
                <w:sz w:val="20"/>
                <w:szCs w:val="20"/>
              </w:rPr>
              <w:t xml:space="preserve">5.30</w:t>
            </w:r>
          </w:p>
        </w:tc>
        <w:tc>
          <w:tcPr>
            <w:tcW w:type="dxa" w:w="2600"/>
            <w:tcMar>
              <w:top w:type="dxa" w:w="80"/>
              <w:left w:type="dxa" w:w="100"/>
              <w:bottom w:type="dxa" w:w="80"/>
              <w:right w:type="dxa" w:w="100"/>
            </w:tcMar>
          </w:tcPr>
          <w:p>
            <w:r>
              <w:rPr>
                <w:b w:val="false"/>
                <w:bCs w:val="false"/>
                <w:sz w:val="20"/>
                <w:szCs w:val="20"/>
              </w:rPr>
              <w:t xml:space="preserve">ICT readiness for business continuity</w:t>
            </w:r>
          </w:p>
        </w:tc>
        <w:tc>
          <w:tcPr>
            <w:tcW w:type="dxa" w:w="5700"/>
            <w:tcMar>
              <w:top w:type="dxa" w:w="80"/>
              <w:left w:type="dxa" w:w="100"/>
              <w:bottom w:type="dxa" w:w="80"/>
              <w:right w:type="dxa" w:w="100"/>
            </w:tcMar>
          </w:tcPr>
          <w:p>
            <w:r>
              <w:rPr>
                <w:b w:val="false"/>
                <w:bCs w:val="false"/>
                <w:sz w:val="20"/>
                <w:szCs w:val="20"/>
              </w:rPr>
              <w:t xml:space="preserve">Ties directly into ISO 22301 — recovery arrangements for HRIMS/The Circle must still work after the module ships.</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5.31</w:t>
            </w:r>
          </w:p>
        </w:tc>
        <w:tc>
          <w:tcPr>
            <w:tcW w:type="dxa" w:w="2600"/>
            <w:shd w:fill="F2F2F2" w:color="auto" w:val="clear"/>
            <w:tcMar>
              <w:top w:type="dxa" w:w="80"/>
              <w:left w:type="dxa" w:w="100"/>
              <w:bottom w:type="dxa" w:w="80"/>
              <w:right w:type="dxa" w:w="100"/>
            </w:tcMar>
          </w:tcPr>
          <w:p>
            <w:r>
              <w:rPr>
                <w:b w:val="false"/>
                <w:bCs w:val="false"/>
                <w:sz w:val="20"/>
                <w:szCs w:val="20"/>
              </w:rPr>
              <w:t xml:space="preserve">Legal, statutory, regulatory and contractual requirements</w:t>
            </w:r>
          </w:p>
        </w:tc>
        <w:tc>
          <w:tcPr>
            <w:tcW w:type="dxa" w:w="5700"/>
            <w:shd w:fill="F2F2F2" w:color="auto" w:val="clear"/>
            <w:tcMar>
              <w:top w:type="dxa" w:w="80"/>
              <w:left w:type="dxa" w:w="100"/>
              <w:bottom w:type="dxa" w:w="80"/>
              <w:right w:type="dxa" w:w="100"/>
            </w:tcMar>
          </w:tcPr>
          <w:p>
            <w:r>
              <w:rPr>
                <w:b w:val="false"/>
                <w:bCs w:val="false"/>
                <w:sz w:val="20"/>
                <w:szCs w:val="20"/>
              </w:rPr>
              <w:t xml:space="preserve">HRIMS processes personal data — Zimbabwe's Data Protection Act and any RTG employment/contractual obligations must be identified and considered for the new module.</w:t>
            </w:r>
          </w:p>
        </w:tc>
      </w:tr>
      <w:tr>
        <w:tc>
          <w:tcPr>
            <w:tcW w:type="dxa" w:w="1000"/>
            <w:tcMar>
              <w:top w:type="dxa" w:w="80"/>
              <w:left w:type="dxa" w:w="100"/>
              <w:bottom w:type="dxa" w:w="80"/>
              <w:right w:type="dxa" w:w="100"/>
            </w:tcMar>
          </w:tcPr>
          <w:p>
            <w:r>
              <w:rPr>
                <w:b w:val="false"/>
                <w:bCs w:val="false"/>
                <w:sz w:val="20"/>
                <w:szCs w:val="20"/>
              </w:rPr>
              <w:t xml:space="preserve">5.34</w:t>
            </w:r>
          </w:p>
        </w:tc>
        <w:tc>
          <w:tcPr>
            <w:tcW w:type="dxa" w:w="2600"/>
            <w:tcMar>
              <w:top w:type="dxa" w:w="80"/>
              <w:left w:type="dxa" w:w="100"/>
              <w:bottom w:type="dxa" w:w="80"/>
              <w:right w:type="dxa" w:w="100"/>
            </w:tcMar>
          </w:tcPr>
          <w:p>
            <w:r>
              <w:rPr>
                <w:b w:val="false"/>
                <w:bCs w:val="false"/>
                <w:sz w:val="20"/>
                <w:szCs w:val="20"/>
              </w:rPr>
              <w:t xml:space="preserve">Privacy and protection of PII</w:t>
            </w:r>
          </w:p>
        </w:tc>
        <w:tc>
          <w:tcPr>
            <w:tcW w:type="dxa" w:w="5700"/>
            <w:tcMar>
              <w:top w:type="dxa" w:w="80"/>
              <w:left w:type="dxa" w:w="100"/>
              <w:bottom w:type="dxa" w:w="80"/>
              <w:right w:type="dxa" w:w="100"/>
            </w:tcMar>
          </w:tcPr>
          <w:p>
            <w:r>
              <w:rPr>
                <w:b w:val="false"/>
                <w:bCs w:val="false"/>
                <w:sz w:val="20"/>
                <w:szCs w:val="20"/>
              </w:rPr>
              <w:t xml:space="preserve">Directly applicable to HRIMS. Any new data fields, exports or integrations the module introduces must be assessed for personal-data impact.</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5.36</w:t>
            </w:r>
          </w:p>
        </w:tc>
        <w:tc>
          <w:tcPr>
            <w:tcW w:type="dxa" w:w="2600"/>
            <w:shd w:fill="F2F2F2" w:color="auto" w:val="clear"/>
            <w:tcMar>
              <w:top w:type="dxa" w:w="80"/>
              <w:left w:type="dxa" w:w="100"/>
              <w:bottom w:type="dxa" w:w="80"/>
              <w:right w:type="dxa" w:w="100"/>
            </w:tcMar>
          </w:tcPr>
          <w:p>
            <w:r>
              <w:rPr>
                <w:b w:val="false"/>
                <w:bCs w:val="false"/>
                <w:sz w:val="20"/>
                <w:szCs w:val="20"/>
              </w:rPr>
              <w:t xml:space="preserve">Compliance with policies, rules and standards for information security</w:t>
            </w:r>
          </w:p>
        </w:tc>
        <w:tc>
          <w:tcPr>
            <w:tcW w:type="dxa" w:w="5700"/>
            <w:shd w:fill="F2F2F2" w:color="auto" w:val="clear"/>
            <w:tcMar>
              <w:top w:type="dxa" w:w="80"/>
              <w:left w:type="dxa" w:w="100"/>
              <w:bottom w:type="dxa" w:w="80"/>
              <w:right w:type="dxa" w:w="100"/>
            </w:tcMar>
          </w:tcPr>
          <w:p>
            <w:r>
              <w:rPr>
                <w:b w:val="false"/>
                <w:bCs w:val="false"/>
                <w:sz w:val="20"/>
                <w:szCs w:val="20"/>
              </w:rPr>
              <w:t xml:space="preserve">The module must be built and released under RTG's information security policy — evidence that the policy was actually followed, not just that one exists.</w:t>
            </w:r>
          </w:p>
        </w:tc>
      </w:tr>
      <w:tr>
        <w:tc>
          <w:tcPr>
            <w:tcW w:type="dxa" w:w="1000"/>
            <w:tcMar>
              <w:top w:type="dxa" w:w="80"/>
              <w:left w:type="dxa" w:w="100"/>
              <w:bottom w:type="dxa" w:w="80"/>
              <w:right w:type="dxa" w:w="100"/>
            </w:tcMar>
          </w:tcPr>
          <w:p>
            <w:r>
              <w:rPr>
                <w:b w:val="false"/>
                <w:bCs w:val="false"/>
                <w:sz w:val="20"/>
                <w:szCs w:val="20"/>
              </w:rPr>
              <w:t xml:space="preserve">5.37</w:t>
            </w:r>
          </w:p>
        </w:tc>
        <w:tc>
          <w:tcPr>
            <w:tcW w:type="dxa" w:w="2600"/>
            <w:tcMar>
              <w:top w:type="dxa" w:w="80"/>
              <w:left w:type="dxa" w:w="100"/>
              <w:bottom w:type="dxa" w:w="80"/>
              <w:right w:type="dxa" w:w="100"/>
            </w:tcMar>
          </w:tcPr>
          <w:p>
            <w:r>
              <w:rPr>
                <w:b w:val="false"/>
                <w:bCs w:val="false"/>
                <w:sz w:val="20"/>
                <w:szCs w:val="20"/>
              </w:rPr>
              <w:t xml:space="preserve">Documented operating procedures</w:t>
            </w:r>
          </w:p>
        </w:tc>
        <w:tc>
          <w:tcPr>
            <w:tcW w:type="dxa" w:w="5700"/>
            <w:tcMar>
              <w:top w:type="dxa" w:w="80"/>
              <w:left w:type="dxa" w:w="100"/>
              <w:bottom w:type="dxa" w:w="80"/>
              <w:right w:type="dxa" w:w="100"/>
            </w:tcMar>
          </w:tcPr>
          <w:p>
            <w:r>
              <w:rPr>
                <w:b w:val="false"/>
                <w:bCs w:val="false"/>
                <w:sz w:val="20"/>
                <w:szCs w:val="20"/>
              </w:rPr>
              <w:t xml:space="preserve">The core gap for HRIMS: there is no documented, repeatable procedure for developing, testing and releasing changes.</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8.9</w:t>
            </w:r>
          </w:p>
        </w:tc>
        <w:tc>
          <w:tcPr>
            <w:tcW w:type="dxa" w:w="2600"/>
            <w:shd w:fill="F2F2F2" w:color="auto" w:val="clear"/>
            <w:tcMar>
              <w:top w:type="dxa" w:w="80"/>
              <w:left w:type="dxa" w:w="100"/>
              <w:bottom w:type="dxa" w:w="80"/>
              <w:right w:type="dxa" w:w="100"/>
            </w:tcMar>
          </w:tcPr>
          <w:p>
            <w:r>
              <w:rPr>
                <w:b w:val="false"/>
                <w:bCs w:val="false"/>
                <w:sz w:val="20"/>
                <w:szCs w:val="20"/>
              </w:rPr>
              <w:t xml:space="preserve">Configuration management</w:t>
            </w:r>
          </w:p>
        </w:tc>
        <w:tc>
          <w:tcPr>
            <w:tcW w:type="dxa" w:w="5700"/>
            <w:shd w:fill="F2F2F2" w:color="auto" w:val="clear"/>
            <w:tcMar>
              <w:top w:type="dxa" w:w="80"/>
              <w:left w:type="dxa" w:w="100"/>
              <w:bottom w:type="dxa" w:w="80"/>
              <w:right w:type="dxa" w:w="100"/>
            </w:tcMar>
          </w:tcPr>
          <w:p>
            <w:r>
              <w:rPr>
                <w:b w:val="false"/>
                <w:bCs w:val="false"/>
                <w:sz w:val="20"/>
                <w:szCs w:val="20"/>
              </w:rPr>
              <w:t xml:space="preserve">Configuration changes the module needs (schema, environment variables, integrations) must be recorded and controlled.</w:t>
            </w:r>
          </w:p>
        </w:tc>
      </w:tr>
      <w:tr>
        <w:tc>
          <w:tcPr>
            <w:tcW w:type="dxa" w:w="1000"/>
            <w:tcMar>
              <w:top w:type="dxa" w:w="80"/>
              <w:left w:type="dxa" w:w="100"/>
              <w:bottom w:type="dxa" w:w="80"/>
              <w:right w:type="dxa" w:w="100"/>
            </w:tcMar>
          </w:tcPr>
          <w:p>
            <w:r>
              <w:rPr>
                <w:b w:val="false"/>
                <w:bCs w:val="false"/>
                <w:sz w:val="20"/>
                <w:szCs w:val="20"/>
              </w:rPr>
              <w:t xml:space="preserve">8.15</w:t>
            </w:r>
          </w:p>
        </w:tc>
        <w:tc>
          <w:tcPr>
            <w:tcW w:type="dxa" w:w="2600"/>
            <w:tcMar>
              <w:top w:type="dxa" w:w="80"/>
              <w:left w:type="dxa" w:w="100"/>
              <w:bottom w:type="dxa" w:w="80"/>
              <w:right w:type="dxa" w:w="100"/>
            </w:tcMar>
          </w:tcPr>
          <w:p>
            <w:r>
              <w:rPr>
                <w:b w:val="false"/>
                <w:bCs w:val="false"/>
                <w:sz w:val="20"/>
                <w:szCs w:val="20"/>
              </w:rPr>
              <w:t xml:space="preserve">Logging</w:t>
            </w:r>
          </w:p>
        </w:tc>
        <w:tc>
          <w:tcPr>
            <w:tcW w:type="dxa" w:w="5700"/>
            <w:tcMar>
              <w:top w:type="dxa" w:w="80"/>
              <w:left w:type="dxa" w:w="100"/>
              <w:bottom w:type="dxa" w:w="80"/>
              <w:right w:type="dxa" w:w="100"/>
            </w:tcMar>
          </w:tcPr>
          <w:p>
            <w:r>
              <w:rPr>
                <w:b w:val="false"/>
                <w:bCs w:val="false"/>
                <w:sz w:val="20"/>
                <w:szCs w:val="20"/>
              </w:rPr>
              <w:t xml:space="preserve">The Circle's audit trail must correctly and completely log actions introduced by the module; HRIMS must log access to personal data the module touches.</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8.16</w:t>
            </w:r>
          </w:p>
        </w:tc>
        <w:tc>
          <w:tcPr>
            <w:tcW w:type="dxa" w:w="2600"/>
            <w:shd w:fill="F2F2F2" w:color="auto" w:val="clear"/>
            <w:tcMar>
              <w:top w:type="dxa" w:w="80"/>
              <w:left w:type="dxa" w:w="100"/>
              <w:bottom w:type="dxa" w:w="80"/>
              <w:right w:type="dxa" w:w="100"/>
            </w:tcMar>
          </w:tcPr>
          <w:p>
            <w:r>
              <w:rPr>
                <w:b w:val="false"/>
                <w:bCs w:val="false"/>
                <w:sz w:val="20"/>
                <w:szCs w:val="20"/>
              </w:rPr>
              <w:t xml:space="preserve">Monitoring activities</w:t>
            </w:r>
          </w:p>
        </w:tc>
        <w:tc>
          <w:tcPr>
            <w:tcW w:type="dxa" w:w="5700"/>
            <w:shd w:fill="F2F2F2" w:color="auto" w:val="clear"/>
            <w:tcMar>
              <w:top w:type="dxa" w:w="80"/>
              <w:left w:type="dxa" w:w="100"/>
              <w:bottom w:type="dxa" w:w="80"/>
              <w:right w:type="dxa" w:w="100"/>
            </w:tcMar>
          </w:tcPr>
          <w:p>
            <w:r>
              <w:rPr>
                <w:b w:val="false"/>
                <w:bCs w:val="false"/>
                <w:sz w:val="20"/>
                <w:szCs w:val="20"/>
              </w:rPr>
              <w:t xml:space="preserve">Post-deployment monitoring for anomalies introduced by the module (errors, unauthorised access attempts).</w:t>
            </w:r>
          </w:p>
        </w:tc>
      </w:tr>
      <w:tr>
        <w:tc>
          <w:tcPr>
            <w:tcW w:type="dxa" w:w="1000"/>
            <w:tcMar>
              <w:top w:type="dxa" w:w="80"/>
              <w:left w:type="dxa" w:w="100"/>
              <w:bottom w:type="dxa" w:w="80"/>
              <w:right w:type="dxa" w:w="100"/>
            </w:tcMar>
          </w:tcPr>
          <w:p>
            <w:r>
              <w:rPr>
                <w:b w:val="false"/>
                <w:bCs w:val="false"/>
                <w:sz w:val="20"/>
                <w:szCs w:val="20"/>
              </w:rPr>
              <w:t xml:space="preserve">8.24</w:t>
            </w:r>
          </w:p>
        </w:tc>
        <w:tc>
          <w:tcPr>
            <w:tcW w:type="dxa" w:w="2600"/>
            <w:tcMar>
              <w:top w:type="dxa" w:w="80"/>
              <w:left w:type="dxa" w:w="100"/>
              <w:bottom w:type="dxa" w:w="80"/>
              <w:right w:type="dxa" w:w="100"/>
            </w:tcMar>
          </w:tcPr>
          <w:p>
            <w:r>
              <w:rPr>
                <w:b w:val="false"/>
                <w:bCs w:val="false"/>
                <w:sz w:val="20"/>
                <w:szCs w:val="20"/>
              </w:rPr>
              <w:t xml:space="preserve">Use of cryptography</w:t>
            </w:r>
          </w:p>
        </w:tc>
        <w:tc>
          <w:tcPr>
            <w:tcW w:type="dxa" w:w="5700"/>
            <w:tcMar>
              <w:top w:type="dxa" w:w="80"/>
              <w:left w:type="dxa" w:w="100"/>
              <w:bottom w:type="dxa" w:w="80"/>
              <w:right w:type="dxa" w:w="100"/>
            </w:tcMar>
          </w:tcPr>
          <w:p>
            <w:r>
              <w:rPr>
                <w:b w:val="false"/>
                <w:bCs w:val="false"/>
                <w:sz w:val="20"/>
                <w:szCs w:val="20"/>
              </w:rPr>
              <w:t xml:space="preserve">Relevant if the module introduces new data at rest/in transit, or (for The Circle) affects digital-signature/approval non-repudiation.</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8.25</w:t>
            </w:r>
          </w:p>
        </w:tc>
        <w:tc>
          <w:tcPr>
            <w:tcW w:type="dxa" w:w="2600"/>
            <w:shd w:fill="F2F2F2" w:color="auto" w:val="clear"/>
            <w:tcMar>
              <w:top w:type="dxa" w:w="80"/>
              <w:left w:type="dxa" w:w="100"/>
              <w:bottom w:type="dxa" w:w="80"/>
              <w:right w:type="dxa" w:w="100"/>
            </w:tcMar>
          </w:tcPr>
          <w:p>
            <w:r>
              <w:rPr>
                <w:b w:val="false"/>
                <w:bCs w:val="false"/>
                <w:sz w:val="20"/>
                <w:szCs w:val="20"/>
              </w:rPr>
              <w:t xml:space="preserve">Secure development life cycle</w:t>
            </w:r>
          </w:p>
        </w:tc>
        <w:tc>
          <w:tcPr>
            <w:tcW w:type="dxa" w:w="5700"/>
            <w:shd w:fill="F2F2F2" w:color="auto" w:val="clear"/>
            <w:tcMar>
              <w:top w:type="dxa" w:w="80"/>
              <w:left w:type="dxa" w:w="100"/>
              <w:bottom w:type="dxa" w:w="80"/>
              <w:right w:type="dxa" w:w="100"/>
            </w:tcMar>
          </w:tcPr>
          <w:p>
            <w:r>
              <w:rPr>
                <w:b w:val="false"/>
                <w:bCs w:val="false"/>
                <w:sz w:val="20"/>
                <w:szCs w:val="20"/>
              </w:rPr>
              <w:t xml:space="preserve">Requires documented rules for how code is designed, built, tested and approved — the umbrella control this whole exercise is closing the gap on.</w:t>
            </w:r>
          </w:p>
        </w:tc>
      </w:tr>
      <w:tr>
        <w:tc>
          <w:tcPr>
            <w:tcW w:type="dxa" w:w="1000"/>
            <w:tcMar>
              <w:top w:type="dxa" w:w="80"/>
              <w:left w:type="dxa" w:w="100"/>
              <w:bottom w:type="dxa" w:w="80"/>
              <w:right w:type="dxa" w:w="100"/>
            </w:tcMar>
          </w:tcPr>
          <w:p>
            <w:r>
              <w:rPr>
                <w:b w:val="false"/>
                <w:bCs w:val="false"/>
                <w:sz w:val="20"/>
                <w:szCs w:val="20"/>
              </w:rPr>
              <w:t xml:space="preserve">8.26</w:t>
            </w:r>
          </w:p>
        </w:tc>
        <w:tc>
          <w:tcPr>
            <w:tcW w:type="dxa" w:w="2600"/>
            <w:tcMar>
              <w:top w:type="dxa" w:w="80"/>
              <w:left w:type="dxa" w:w="100"/>
              <w:bottom w:type="dxa" w:w="80"/>
              <w:right w:type="dxa" w:w="100"/>
            </w:tcMar>
          </w:tcPr>
          <w:p>
            <w:r>
              <w:rPr>
                <w:b w:val="false"/>
                <w:bCs w:val="false"/>
                <w:sz w:val="20"/>
                <w:szCs w:val="20"/>
              </w:rPr>
              <w:t xml:space="preserve">Application security requirements</w:t>
            </w:r>
          </w:p>
        </w:tc>
        <w:tc>
          <w:tcPr>
            <w:tcW w:type="dxa" w:w="5700"/>
            <w:tcMar>
              <w:top w:type="dxa" w:w="80"/>
              <w:left w:type="dxa" w:w="100"/>
              <w:bottom w:type="dxa" w:w="80"/>
              <w:right w:type="dxa" w:w="100"/>
            </w:tcMar>
          </w:tcPr>
          <w:p>
            <w:r>
              <w:rPr>
                <w:b w:val="false"/>
                <w:bCs w:val="false"/>
                <w:sz w:val="20"/>
                <w:szCs w:val="20"/>
              </w:rPr>
              <w:t xml:space="preserve">Security requirements for the module (authN/authZ, input validation, data handling) must be defined before coding starts, not inferred afterward.</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8.27</w:t>
            </w:r>
          </w:p>
        </w:tc>
        <w:tc>
          <w:tcPr>
            <w:tcW w:type="dxa" w:w="2600"/>
            <w:shd w:fill="F2F2F2" w:color="auto" w:val="clear"/>
            <w:tcMar>
              <w:top w:type="dxa" w:w="80"/>
              <w:left w:type="dxa" w:w="100"/>
              <w:bottom w:type="dxa" w:w="80"/>
              <w:right w:type="dxa" w:w="100"/>
            </w:tcMar>
          </w:tcPr>
          <w:p>
            <w:r>
              <w:rPr>
                <w:b w:val="false"/>
                <w:bCs w:val="false"/>
                <w:sz w:val="20"/>
                <w:szCs w:val="20"/>
              </w:rPr>
              <w:t xml:space="preserve">Secure systems architecture and engineering principles</w:t>
            </w:r>
          </w:p>
        </w:tc>
        <w:tc>
          <w:tcPr>
            <w:tcW w:type="dxa" w:w="5700"/>
            <w:shd w:fill="F2F2F2" w:color="auto" w:val="clear"/>
            <w:tcMar>
              <w:top w:type="dxa" w:w="80"/>
              <w:left w:type="dxa" w:w="100"/>
              <w:bottom w:type="dxa" w:w="80"/>
              <w:right w:type="dxa" w:w="100"/>
            </w:tcMar>
          </w:tcPr>
          <w:p>
            <w:r>
              <w:rPr>
                <w:b w:val="false"/>
                <w:bCs w:val="false"/>
                <w:sz w:val="20"/>
                <w:szCs w:val="20"/>
              </w:rPr>
              <w:t xml:space="preserve">The module's design should follow secure-by-design principles consistent with the rest of the application.</w:t>
            </w:r>
          </w:p>
        </w:tc>
      </w:tr>
      <w:tr>
        <w:tc>
          <w:tcPr>
            <w:tcW w:type="dxa" w:w="1000"/>
            <w:tcMar>
              <w:top w:type="dxa" w:w="80"/>
              <w:left w:type="dxa" w:w="100"/>
              <w:bottom w:type="dxa" w:w="80"/>
              <w:right w:type="dxa" w:w="100"/>
            </w:tcMar>
          </w:tcPr>
          <w:p>
            <w:r>
              <w:rPr>
                <w:b w:val="false"/>
                <w:bCs w:val="false"/>
                <w:sz w:val="20"/>
                <w:szCs w:val="20"/>
              </w:rPr>
              <w:t xml:space="preserve">8.28</w:t>
            </w:r>
          </w:p>
        </w:tc>
        <w:tc>
          <w:tcPr>
            <w:tcW w:type="dxa" w:w="2600"/>
            <w:tcMar>
              <w:top w:type="dxa" w:w="80"/>
              <w:left w:type="dxa" w:w="100"/>
              <w:bottom w:type="dxa" w:w="80"/>
              <w:right w:type="dxa" w:w="100"/>
            </w:tcMar>
          </w:tcPr>
          <w:p>
            <w:r>
              <w:rPr>
                <w:b w:val="false"/>
                <w:bCs w:val="false"/>
                <w:sz w:val="20"/>
                <w:szCs w:val="20"/>
              </w:rPr>
              <w:t xml:space="preserve">Secure coding</w:t>
            </w:r>
          </w:p>
        </w:tc>
        <w:tc>
          <w:tcPr>
            <w:tcW w:type="dxa" w:w="5700"/>
            <w:tcMar>
              <w:top w:type="dxa" w:w="80"/>
              <w:left w:type="dxa" w:w="100"/>
              <w:bottom w:type="dxa" w:w="80"/>
              <w:right w:type="dxa" w:w="100"/>
            </w:tcMar>
          </w:tcPr>
          <w:p>
            <w:r>
              <w:rPr>
                <w:b w:val="false"/>
                <w:bCs w:val="false"/>
                <w:sz w:val="20"/>
                <w:szCs w:val="20"/>
              </w:rPr>
              <w:t xml:space="preserve">Coding standards applied to the module, ideally with evidence (code review, static analysis, or at minimum a documented checklist).</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8.29</w:t>
            </w:r>
          </w:p>
        </w:tc>
        <w:tc>
          <w:tcPr>
            <w:tcW w:type="dxa" w:w="2600"/>
            <w:shd w:fill="F2F2F2" w:color="auto" w:val="clear"/>
            <w:tcMar>
              <w:top w:type="dxa" w:w="80"/>
              <w:left w:type="dxa" w:w="100"/>
              <w:bottom w:type="dxa" w:w="80"/>
              <w:right w:type="dxa" w:w="100"/>
            </w:tcMar>
          </w:tcPr>
          <w:p>
            <w:r>
              <w:rPr>
                <w:b w:val="false"/>
                <w:bCs w:val="false"/>
                <w:sz w:val="20"/>
                <w:szCs w:val="20"/>
              </w:rPr>
              <w:t xml:space="preserve">Security testing in development and acceptance</w:t>
            </w:r>
          </w:p>
        </w:tc>
        <w:tc>
          <w:tcPr>
            <w:tcW w:type="dxa" w:w="5700"/>
            <w:shd w:fill="F2F2F2" w:color="auto" w:val="clear"/>
            <w:tcMar>
              <w:top w:type="dxa" w:w="80"/>
              <w:left w:type="dxa" w:w="100"/>
              <w:bottom w:type="dxa" w:w="80"/>
              <w:right w:type="dxa" w:w="100"/>
            </w:tcMar>
          </w:tcPr>
          <w:p>
            <w:r>
              <w:rPr>
                <w:b w:val="false"/>
                <w:bCs w:val="false"/>
                <w:sz w:val="20"/>
                <w:szCs w:val="20"/>
              </w:rPr>
              <w:t xml:space="preserve">Security-focused test cases (not just functional UAT) for the module before go-live.</w:t>
            </w:r>
          </w:p>
        </w:tc>
      </w:tr>
      <w:tr>
        <w:tc>
          <w:tcPr>
            <w:tcW w:type="dxa" w:w="1000"/>
            <w:tcMar>
              <w:top w:type="dxa" w:w="80"/>
              <w:left w:type="dxa" w:w="100"/>
              <w:bottom w:type="dxa" w:w="80"/>
              <w:right w:type="dxa" w:w="100"/>
            </w:tcMar>
          </w:tcPr>
          <w:p>
            <w:r>
              <w:rPr>
                <w:b w:val="false"/>
                <w:bCs w:val="false"/>
                <w:sz w:val="20"/>
                <w:szCs w:val="20"/>
              </w:rPr>
              <w:t xml:space="preserve">8.31</w:t>
            </w:r>
          </w:p>
        </w:tc>
        <w:tc>
          <w:tcPr>
            <w:tcW w:type="dxa" w:w="2600"/>
            <w:tcMar>
              <w:top w:type="dxa" w:w="80"/>
              <w:left w:type="dxa" w:w="100"/>
              <w:bottom w:type="dxa" w:w="80"/>
              <w:right w:type="dxa" w:w="100"/>
            </w:tcMar>
          </w:tcPr>
          <w:p>
            <w:r>
              <w:rPr>
                <w:b w:val="false"/>
                <w:bCs w:val="false"/>
                <w:sz w:val="20"/>
                <w:szCs w:val="20"/>
              </w:rPr>
              <w:t xml:space="preserve">Separation of development, test and production environments</w:t>
            </w:r>
          </w:p>
        </w:tc>
        <w:tc>
          <w:tcPr>
            <w:tcW w:type="dxa" w:w="5700"/>
            <w:tcMar>
              <w:top w:type="dxa" w:w="80"/>
              <w:left w:type="dxa" w:w="100"/>
              <w:bottom w:type="dxa" w:w="80"/>
              <w:right w:type="dxa" w:w="100"/>
            </w:tcMar>
          </w:tcPr>
          <w:p>
            <w:r>
              <w:rPr>
                <w:b w:val="false"/>
                <w:bCs w:val="false"/>
                <w:sz w:val="20"/>
                <w:szCs w:val="20"/>
              </w:rPr>
              <w:t xml:space="preserve">Confirm the module was built and tested outside production, with controlled promotion — evidence of environment separation and access control.</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8.32</w:t>
            </w:r>
          </w:p>
        </w:tc>
        <w:tc>
          <w:tcPr>
            <w:tcW w:type="dxa" w:w="2600"/>
            <w:shd w:fill="F2F2F2" w:color="auto" w:val="clear"/>
            <w:tcMar>
              <w:top w:type="dxa" w:w="80"/>
              <w:left w:type="dxa" w:w="100"/>
              <w:bottom w:type="dxa" w:w="80"/>
              <w:right w:type="dxa" w:w="100"/>
            </w:tcMar>
          </w:tcPr>
          <w:p>
            <w:r>
              <w:rPr>
                <w:b w:val="false"/>
                <w:bCs w:val="false"/>
                <w:sz w:val="20"/>
                <w:szCs w:val="20"/>
              </w:rPr>
              <w:t xml:space="preserve">Change management</w:t>
            </w:r>
          </w:p>
        </w:tc>
        <w:tc>
          <w:tcPr>
            <w:tcW w:type="dxa" w:w="5700"/>
            <w:shd w:fill="F2F2F2" w:color="auto" w:val="clear"/>
            <w:tcMar>
              <w:top w:type="dxa" w:w="80"/>
              <w:left w:type="dxa" w:w="100"/>
              <w:bottom w:type="dxa" w:w="80"/>
              <w:right w:type="dxa" w:w="100"/>
            </w:tcMar>
          </w:tcPr>
          <w:p>
            <w:r>
              <w:rPr>
                <w:b w:val="false"/>
                <w:bCs w:val="false"/>
                <w:sz w:val="20"/>
                <w:szCs w:val="20"/>
              </w:rPr>
              <w:t xml:space="preserve">The master control: a change request, impact/risk assessment, approval, testing, rollback plan, scheduled implementation and post-implementation review for the module.</w:t>
            </w:r>
          </w:p>
        </w:tc>
      </w:tr>
      <w:tr>
        <w:tc>
          <w:tcPr>
            <w:tcW w:type="dxa" w:w="1000"/>
            <w:tcMar>
              <w:top w:type="dxa" w:w="80"/>
              <w:left w:type="dxa" w:w="100"/>
              <w:bottom w:type="dxa" w:w="80"/>
              <w:right w:type="dxa" w:w="100"/>
            </w:tcMar>
          </w:tcPr>
          <w:p>
            <w:r>
              <w:rPr>
                <w:b w:val="false"/>
                <w:bCs w:val="false"/>
                <w:sz w:val="20"/>
                <w:szCs w:val="20"/>
              </w:rPr>
              <w:t xml:space="preserve">8.33</w:t>
            </w:r>
          </w:p>
        </w:tc>
        <w:tc>
          <w:tcPr>
            <w:tcW w:type="dxa" w:w="2600"/>
            <w:tcMar>
              <w:top w:type="dxa" w:w="80"/>
              <w:left w:type="dxa" w:w="100"/>
              <w:bottom w:type="dxa" w:w="80"/>
              <w:right w:type="dxa" w:w="100"/>
            </w:tcMar>
          </w:tcPr>
          <w:p>
            <w:r>
              <w:rPr>
                <w:b w:val="false"/>
                <w:bCs w:val="false"/>
                <w:sz w:val="20"/>
                <w:szCs w:val="20"/>
              </w:rPr>
              <w:t xml:space="preserve">Test information</w:t>
            </w:r>
          </w:p>
        </w:tc>
        <w:tc>
          <w:tcPr>
            <w:tcW w:type="dxa" w:w="5700"/>
            <w:tcMar>
              <w:top w:type="dxa" w:w="80"/>
              <w:left w:type="dxa" w:w="100"/>
              <w:bottom w:type="dxa" w:w="80"/>
              <w:right w:type="dxa" w:w="100"/>
            </w:tcMar>
          </w:tcPr>
          <w:p>
            <w:r>
              <w:rPr>
                <w:b w:val="false"/>
                <w:bCs w:val="false"/>
                <w:sz w:val="20"/>
                <w:szCs w:val="20"/>
              </w:rPr>
              <w:t xml:space="preserve">Test data used for the module (especially any derived from real HRIMS employee data) must be protected/anonymised appropriately.</w:t>
            </w:r>
          </w:p>
        </w:tc>
      </w:tr>
      <w:tr>
        <w:tc>
          <w:tcPr>
            <w:tcW w:type="dxa" w:w="1000"/>
            <w:shd w:fill="F2F2F2" w:color="auto" w:val="clear"/>
            <w:tcMar>
              <w:top w:type="dxa" w:w="80"/>
              <w:left w:type="dxa" w:w="100"/>
              <w:bottom w:type="dxa" w:w="80"/>
              <w:right w:type="dxa" w:w="100"/>
            </w:tcMar>
          </w:tcPr>
          <w:p>
            <w:r>
              <w:rPr>
                <w:b w:val="false"/>
                <w:bCs w:val="false"/>
                <w:sz w:val="20"/>
                <w:szCs w:val="20"/>
              </w:rPr>
              <w:t xml:space="preserve">8.34</w:t>
            </w:r>
          </w:p>
        </w:tc>
        <w:tc>
          <w:tcPr>
            <w:tcW w:type="dxa" w:w="2600"/>
            <w:shd w:fill="F2F2F2" w:color="auto" w:val="clear"/>
            <w:tcMar>
              <w:top w:type="dxa" w:w="80"/>
              <w:left w:type="dxa" w:w="100"/>
              <w:bottom w:type="dxa" w:w="80"/>
              <w:right w:type="dxa" w:w="100"/>
            </w:tcMar>
          </w:tcPr>
          <w:p>
            <w:r>
              <w:rPr>
                <w:b w:val="false"/>
                <w:bCs w:val="false"/>
                <w:sz w:val="20"/>
                <w:szCs w:val="20"/>
              </w:rPr>
              <w:t xml:space="preserve">Protection of information systems during audit testing</w:t>
            </w:r>
          </w:p>
        </w:tc>
        <w:tc>
          <w:tcPr>
            <w:tcW w:type="dxa" w:w="5700"/>
            <w:shd w:fill="F2F2F2" w:color="auto" w:val="clear"/>
            <w:tcMar>
              <w:top w:type="dxa" w:w="80"/>
              <w:left w:type="dxa" w:w="100"/>
              <w:bottom w:type="dxa" w:w="80"/>
              <w:right w:type="dxa" w:w="100"/>
            </w:tcMar>
          </w:tcPr>
          <w:p>
            <w:r>
              <w:rPr>
                <w:b w:val="false"/>
                <w:bCs w:val="false"/>
                <w:sz w:val="20"/>
                <w:szCs w:val="20"/>
              </w:rPr>
              <w:t xml:space="preserve">Relevant if security testing or an internal audit interacts directly with production data.</w:t>
            </w:r>
          </w:p>
        </w:tc>
      </w:tr>
    </w:tbl>
    <w:p>
      <w:pPr>
        <w:pStyle w:val="Heading1"/>
        <w:spacing w:after="160" w:before="360"/>
      </w:pPr>
      <w:r>
        <w:t xml:space="preserve">4. Applicable ISO 22301:2019 Requirements</w:t>
      </w:r>
    </w:p>
    <w:p>
      <w:pPr>
        <w:spacing w:after="140" w:line="276"/>
      </w:pPr>
      <w:r>
        <w:t xml:space="preserve">ISO 22301 governs the Business Continuity Management System (BCMS). A module change to a system already inside (or feeding into) RTG's continuity scope needs to be assessed against these clauses: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rPr>
          <w:tblHeader/>
        </w:trPr>
        <w:tc>
          <w:tcPr>
            <w:tcW w:type="dxa" w:w="1600"/>
            <w:shd w:fill="1F3864" w:color="auto" w:val="clear"/>
            <w:tcMar>
              <w:top w:type="dxa" w:w="80"/>
              <w:left w:type="dxa" w:w="100"/>
              <w:bottom w:type="dxa" w:w="80"/>
              <w:right w:type="dxa" w:w="100"/>
            </w:tcMar>
          </w:tcPr>
          <w:p>
            <w:r>
              <w:rPr>
                <w:b/>
                <w:bCs/>
                <w:color w:val="FFFFFF"/>
                <w:sz w:val="20"/>
                <w:szCs w:val="20"/>
              </w:rPr>
              <w:t xml:space="preserve">Clause</w:t>
            </w:r>
          </w:p>
        </w:tc>
        <w:tc>
          <w:tcPr>
            <w:tcW w:type="dxa" w:w="8000"/>
            <w:shd w:fill="1F3864" w:color="auto" w:val="clear"/>
            <w:tcMar>
              <w:top w:type="dxa" w:w="80"/>
              <w:left w:type="dxa" w:w="100"/>
              <w:bottom w:type="dxa" w:w="80"/>
              <w:right w:type="dxa" w:w="100"/>
            </w:tcMar>
          </w:tcPr>
          <w:p>
            <w:r>
              <w:rPr>
                <w:b/>
                <w:bCs/>
                <w:color w:val="FFFFFF"/>
                <w:sz w:val="20"/>
                <w:szCs w:val="20"/>
              </w:rPr>
              <w:t xml:space="preserve">What it requires for this change</w:t>
            </w:r>
          </w:p>
        </w:tc>
      </w:tr>
      <w:tr>
        <w:tc>
          <w:tcPr>
            <w:tcW w:type="dxa" w:w="1600"/>
            <w:tcMar>
              <w:top w:type="dxa" w:w="80"/>
              <w:left w:type="dxa" w:w="100"/>
              <w:bottom w:type="dxa" w:w="80"/>
              <w:right w:type="dxa" w:w="100"/>
            </w:tcMar>
          </w:tcPr>
          <w:p>
            <w:r>
              <w:rPr>
                <w:b w:val="false"/>
                <w:bCs w:val="false"/>
                <w:sz w:val="20"/>
                <w:szCs w:val="20"/>
              </w:rPr>
              <w:t xml:space="preserve">4.1 / 4.3 — Context &amp; BCMS scope</w:t>
            </w:r>
          </w:p>
        </w:tc>
        <w:tc>
          <w:tcPr>
            <w:tcW w:type="dxa" w:w="8000"/>
            <w:tcMar>
              <w:top w:type="dxa" w:w="80"/>
              <w:left w:type="dxa" w:w="100"/>
              <w:bottom w:type="dxa" w:w="80"/>
              <w:right w:type="dxa" w:w="100"/>
            </w:tcMar>
          </w:tcPr>
          <w:p>
            <w:r>
              <w:rPr>
                <w:b w:val="false"/>
                <w:bCs w:val="false"/>
                <w:sz w:val="20"/>
                <w:szCs w:val="20"/>
              </w:rPr>
              <w:t xml:space="preserve">Confirm whether HRIMS and The Circle (and the process the new module changes) are within the documented BCMS scope. If either is a dependency for a critical activity, the module change is a BCMS-relevant event.</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8.1 — Operational planning and control</w:t>
            </w:r>
          </w:p>
        </w:tc>
        <w:tc>
          <w:tcPr>
            <w:tcW w:type="dxa" w:w="8000"/>
            <w:shd w:fill="F2F2F2" w:color="auto" w:val="clear"/>
            <w:tcMar>
              <w:top w:type="dxa" w:w="80"/>
              <w:left w:type="dxa" w:w="100"/>
              <w:bottom w:type="dxa" w:w="80"/>
              <w:right w:type="dxa" w:w="100"/>
            </w:tcMar>
          </w:tcPr>
          <w:p>
            <w:r>
              <w:rPr>
                <w:b w:val="false"/>
                <w:bCs w:val="false"/>
                <w:sz w:val="20"/>
                <w:szCs w:val="20"/>
              </w:rPr>
              <w:t xml:space="preserve">Plan and control the change; evaluate the consequences of unintended changes; keep documented evidence that this was done deliberately, not left to chance.</w:t>
            </w:r>
          </w:p>
        </w:tc>
      </w:tr>
      <w:tr>
        <w:tc>
          <w:tcPr>
            <w:tcW w:type="dxa" w:w="1600"/>
            <w:tcMar>
              <w:top w:type="dxa" w:w="80"/>
              <w:left w:type="dxa" w:w="100"/>
              <w:bottom w:type="dxa" w:w="80"/>
              <w:right w:type="dxa" w:w="100"/>
            </w:tcMar>
          </w:tcPr>
          <w:p>
            <w:r>
              <w:rPr>
                <w:b w:val="false"/>
                <w:bCs w:val="false"/>
                <w:sz w:val="20"/>
                <w:szCs w:val="20"/>
              </w:rPr>
              <w:t xml:space="preserve">8.2 — Business impact analysis (BIA) and risk assessment</w:t>
            </w:r>
          </w:p>
        </w:tc>
        <w:tc>
          <w:tcPr>
            <w:tcW w:type="dxa" w:w="8000"/>
            <w:tcMar>
              <w:top w:type="dxa" w:w="80"/>
              <w:left w:type="dxa" w:w="100"/>
              <w:bottom w:type="dxa" w:w="80"/>
              <w:right w:type="dxa" w:w="100"/>
            </w:tcMar>
          </w:tcPr>
          <w:p>
            <w:r>
              <w:rPr>
                <w:b w:val="false"/>
                <w:bCs w:val="false"/>
                <w:sz w:val="20"/>
                <w:szCs w:val="20"/>
              </w:rPr>
              <w:t xml:space="preserve">Reassess recovery time/point objectives (RTO/RPO) and dependencies if the module changes data volume, integrations, or criticality of either system.</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8.3 — Business continuity strategies and solutions</w:t>
            </w:r>
          </w:p>
        </w:tc>
        <w:tc>
          <w:tcPr>
            <w:tcW w:type="dxa" w:w="8000"/>
            <w:shd w:fill="F2F2F2" w:color="auto" w:val="clear"/>
            <w:tcMar>
              <w:top w:type="dxa" w:w="80"/>
              <w:left w:type="dxa" w:w="100"/>
              <w:bottom w:type="dxa" w:w="80"/>
              <w:right w:type="dxa" w:w="100"/>
            </w:tcMar>
          </w:tcPr>
          <w:p>
            <w:r>
              <w:rPr>
                <w:b w:val="false"/>
                <w:bCs w:val="false"/>
                <w:sz w:val="20"/>
                <w:szCs w:val="20"/>
              </w:rPr>
              <w:t xml:space="preserve">Confirm existing continuity arrangements (backups, redundancy, failover) still cover the system once the module is live.</w:t>
            </w:r>
          </w:p>
        </w:tc>
      </w:tr>
      <w:tr>
        <w:tc>
          <w:tcPr>
            <w:tcW w:type="dxa" w:w="1600"/>
            <w:tcMar>
              <w:top w:type="dxa" w:w="80"/>
              <w:left w:type="dxa" w:w="100"/>
              <w:bottom w:type="dxa" w:w="80"/>
              <w:right w:type="dxa" w:w="100"/>
            </w:tcMar>
          </w:tcPr>
          <w:p>
            <w:r>
              <w:rPr>
                <w:b w:val="false"/>
                <w:bCs w:val="false"/>
                <w:sz w:val="20"/>
                <w:szCs w:val="20"/>
              </w:rPr>
              <w:t xml:space="preserve">8.4 — Business continuity plans and procedures</w:t>
            </w:r>
          </w:p>
        </w:tc>
        <w:tc>
          <w:tcPr>
            <w:tcW w:type="dxa" w:w="8000"/>
            <w:tcMar>
              <w:top w:type="dxa" w:w="80"/>
              <w:left w:type="dxa" w:w="100"/>
              <w:bottom w:type="dxa" w:w="80"/>
              <w:right w:type="dxa" w:w="100"/>
            </w:tcMar>
          </w:tcPr>
          <w:p>
            <w:r>
              <w:rPr>
                <w:b w:val="false"/>
                <w:bCs w:val="false"/>
                <w:sz w:val="20"/>
                <w:szCs w:val="20"/>
              </w:rPr>
              <w:t xml:space="preserve">Update recovery procedures/runbooks if the module changes how the system is restored or operated during disruption.</w:t>
            </w:r>
          </w:p>
        </w:tc>
      </w:tr>
      <w:tr>
        <w:tc>
          <w:tcPr>
            <w:tcW w:type="dxa" w:w="1600"/>
            <w:shd w:fill="F2F2F2" w:color="auto" w:val="clear"/>
            <w:tcMar>
              <w:top w:type="dxa" w:w="80"/>
              <w:left w:type="dxa" w:w="100"/>
              <w:bottom w:type="dxa" w:w="80"/>
              <w:right w:type="dxa" w:w="100"/>
            </w:tcMar>
          </w:tcPr>
          <w:p>
            <w:r>
              <w:rPr>
                <w:b w:val="false"/>
                <w:bCs w:val="false"/>
                <w:sz w:val="20"/>
                <w:szCs w:val="20"/>
              </w:rPr>
              <w:t xml:space="preserve">8.5 — Exercise programme</w:t>
            </w:r>
          </w:p>
        </w:tc>
        <w:tc>
          <w:tcPr>
            <w:tcW w:type="dxa" w:w="8000"/>
            <w:shd w:fill="F2F2F2" w:color="auto" w:val="clear"/>
            <w:tcMar>
              <w:top w:type="dxa" w:w="80"/>
              <w:left w:type="dxa" w:w="100"/>
              <w:bottom w:type="dxa" w:w="80"/>
              <w:right w:type="dxa" w:w="100"/>
            </w:tcMar>
          </w:tcPr>
          <w:p>
            <w:r>
              <w:rPr>
                <w:b w:val="false"/>
                <w:bCs w:val="false"/>
                <w:sz w:val="20"/>
                <w:szCs w:val="20"/>
              </w:rPr>
              <w:t xml:space="preserve">Consider whether the next continuity exercise/test should specifically cover the changed system, or whether a targeted test is warranted before go-live for a high-impact module.</w:t>
            </w:r>
          </w:p>
        </w:tc>
      </w:tr>
      <w:tr>
        <w:tc>
          <w:tcPr>
            <w:tcW w:type="dxa" w:w="1600"/>
            <w:tcMar>
              <w:top w:type="dxa" w:w="80"/>
              <w:left w:type="dxa" w:w="100"/>
              <w:bottom w:type="dxa" w:w="80"/>
              <w:right w:type="dxa" w:w="100"/>
            </w:tcMar>
          </w:tcPr>
          <w:p>
            <w:r>
              <w:rPr>
                <w:b w:val="false"/>
                <w:bCs w:val="false"/>
                <w:sz w:val="20"/>
                <w:szCs w:val="20"/>
              </w:rPr>
              <w:t xml:space="preserve">9.1 / 9.2 — Monitoring, measurement, internal audit</w:t>
            </w:r>
          </w:p>
        </w:tc>
        <w:tc>
          <w:tcPr>
            <w:tcW w:type="dxa" w:w="8000"/>
            <w:tcMar>
              <w:top w:type="dxa" w:w="80"/>
              <w:left w:type="dxa" w:w="100"/>
              <w:bottom w:type="dxa" w:w="80"/>
              <w:right w:type="dxa" w:w="100"/>
            </w:tcMar>
          </w:tcPr>
          <w:p>
            <w:r>
              <w:rPr>
                <w:b w:val="false"/>
                <w:bCs w:val="false"/>
                <w:sz w:val="20"/>
                <w:szCs w:val="20"/>
              </w:rPr>
              <w:t xml:space="preserve">Ensure the change is visible to the next internal audit cycle rather than surfacing for the first time at external audit.</w:t>
            </w:r>
          </w:p>
        </w:tc>
      </w:tr>
    </w:tbl>
    <w:p>
      <w:pPr>
        <w:pStyle w:val="Heading1"/>
        <w:spacing w:after="160" w:before="360"/>
      </w:pPr>
      <w:r>
        <w:t xml:space="preserve">5. Current-State Gap Assessment</w:t>
      </w:r>
    </w:p>
    <w:p>
      <w:pPr>
        <w:pStyle w:val="Heading2"/>
        <w:spacing w:after="120" w:before="260"/>
      </w:pPr>
      <w:r>
        <w:t xml:space="preserve">5.1 HRIMS</w:t>
      </w:r>
    </w:p>
    <w:p>
      <w:pPr>
        <w:spacing w:after="140" w:line="276"/>
      </w:pPr>
      <w:r>
        <w:t xml:space="preserve">HRIMS has extensive engineering documentation (implementation notes, fix logs, migration guides) but no formal SDLC/compliance artifacts. For ISO purposes, engineering notes are not a substitute for controlled documentation — they are not versioned as controlled records, not approved, and not indexed against a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400"/>
      </w:tblGrid>
      <w:tr>
        <w:trPr>
          <w:tblHeader/>
        </w:trPr>
        <w:tc>
          <w:tcPr>
            <w:tcW w:type="dxa" w:w="3600"/>
            <w:shd w:fill="1F3864" w:color="auto" w:val="clear"/>
            <w:tcMar>
              <w:top w:type="dxa" w:w="80"/>
              <w:left w:type="dxa" w:w="100"/>
              <w:bottom w:type="dxa" w:w="80"/>
              <w:right w:type="dxa" w:w="100"/>
            </w:tcMar>
          </w:tcPr>
          <w:p>
            <w:r>
              <w:rPr>
                <w:b/>
                <w:bCs/>
                <w:color w:val="FFFFFF"/>
                <w:sz w:val="20"/>
                <w:szCs w:val="20"/>
              </w:rPr>
              <w:t xml:space="preserve">Required artifact</w:t>
            </w:r>
          </w:p>
        </w:tc>
        <w:tc>
          <w:tcPr>
            <w:tcW w:type="dxa" w:w="1600"/>
            <w:shd w:fill="1F3864" w:color="auto" w:val="clear"/>
            <w:tcMar>
              <w:top w:type="dxa" w:w="80"/>
              <w:left w:type="dxa" w:w="100"/>
              <w:bottom w:type="dxa" w:w="80"/>
              <w:right w:type="dxa" w:w="100"/>
            </w:tcMar>
          </w:tcPr>
          <w:p>
            <w:r>
              <w:rPr>
                <w:b/>
                <w:bCs/>
                <w:color w:val="FFFFFF"/>
                <w:sz w:val="20"/>
                <w:szCs w:val="20"/>
              </w:rPr>
              <w:t xml:space="preserve">Status</w:t>
            </w:r>
          </w:p>
        </w:tc>
        <w:tc>
          <w:tcPr>
            <w:tcW w:type="dxa" w:w="4400"/>
            <w:shd w:fill="1F3864" w:color="auto" w:val="clear"/>
            <w:tcMar>
              <w:top w:type="dxa" w:w="80"/>
              <w:left w:type="dxa" w:w="100"/>
              <w:bottom w:type="dxa" w:w="80"/>
              <w:right w:type="dxa" w:w="100"/>
            </w:tcMar>
          </w:tcPr>
          <w:p>
            <w:r>
              <w:rPr>
                <w:b/>
                <w:bCs/>
                <w:color w:val="FFFFFF"/>
                <w:sz w:val="20"/>
                <w:szCs w:val="20"/>
              </w:rPr>
              <w:t xml:space="preserve">Gap</w:t>
            </w:r>
          </w:p>
        </w:tc>
      </w:tr>
      <w:tr>
        <w:tc>
          <w:tcPr>
            <w:tcW w:type="dxa" w:w="3600"/>
            <w:tcMar>
              <w:top w:type="dxa" w:w="80"/>
              <w:left w:type="dxa" w:w="100"/>
              <w:bottom w:type="dxa" w:w="80"/>
              <w:right w:type="dxa" w:w="100"/>
            </w:tcMar>
          </w:tcPr>
          <w:p>
            <w:r>
              <w:rPr>
                <w:b w:val="false"/>
                <w:bCs w:val="false"/>
                <w:sz w:val="20"/>
                <w:szCs w:val="20"/>
              </w:rPr>
              <w:t xml:space="preserve">Asset inventory entry</w:t>
            </w:r>
          </w:p>
        </w:tc>
        <w:tc>
          <w:tcPr>
            <w:tcW w:type="dxa" w:w="1600"/>
            <w:tcMar>
              <w:top w:type="dxa" w:w="80"/>
              <w:left w:type="dxa" w:w="100"/>
              <w:bottom w:type="dxa" w:w="80"/>
              <w:right w:type="dxa" w:w="100"/>
            </w:tcMar>
          </w:tcPr>
          <w:p>
            <w:r>
              <w:rPr>
                <w:b w:val="false"/>
                <w:bCs w:val="false"/>
                <w:sz w:val="20"/>
                <w:szCs w:val="20"/>
              </w:rPr>
              <w:t xml:space="preserve">Missing</w:t>
            </w:r>
          </w:p>
        </w:tc>
        <w:tc>
          <w:tcPr>
            <w:tcW w:type="dxa" w:w="4400"/>
            <w:tcMar>
              <w:top w:type="dxa" w:w="80"/>
              <w:left w:type="dxa" w:w="100"/>
              <w:bottom w:type="dxa" w:w="80"/>
              <w:right w:type="dxa" w:w="100"/>
            </w:tcMar>
          </w:tcPr>
          <w:p>
            <w:r>
              <w:rPr>
                <w:b w:val="false"/>
                <w:bCs w:val="false"/>
                <w:sz w:val="20"/>
                <w:szCs w:val="20"/>
              </w:rPr>
              <w:t xml:space="preserve">HRIMS is not recorded as an information asset with an owner in the ISMS asset register.</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Business case / change request for the module</w:t>
            </w:r>
          </w:p>
        </w:tc>
        <w:tc>
          <w:tcPr>
            <w:tcW w:type="dxa" w:w="1600"/>
            <w:shd w:fill="F2F2F2" w:color="auto" w:val="clear"/>
            <w:tcMar>
              <w:top w:type="dxa" w:w="80"/>
              <w:left w:type="dxa" w:w="100"/>
              <w:bottom w:type="dxa" w:w="80"/>
              <w:right w:type="dxa" w:w="100"/>
            </w:tcMar>
          </w:tcPr>
          <w:p>
            <w:r>
              <w:rPr>
                <w:b w:val="false"/>
                <w:bCs w:val="false"/>
                <w:sz w:val="20"/>
                <w:szCs w:val="20"/>
              </w:rPr>
              <w:t xml:space="preserve">Missing</w:t>
            </w:r>
          </w:p>
        </w:tc>
        <w:tc>
          <w:tcPr>
            <w:tcW w:type="dxa" w:w="4400"/>
            <w:shd w:fill="F2F2F2" w:color="auto" w:val="clear"/>
            <w:tcMar>
              <w:top w:type="dxa" w:w="80"/>
              <w:left w:type="dxa" w:w="100"/>
              <w:bottom w:type="dxa" w:w="80"/>
              <w:right w:type="dxa" w:w="100"/>
            </w:tcMar>
          </w:tcPr>
          <w:p>
            <w:r>
              <w:rPr>
                <w:b w:val="false"/>
                <w:bCs w:val="false"/>
                <w:sz w:val="20"/>
                <w:szCs w:val="20"/>
              </w:rPr>
              <w:t xml:space="preserve">No documented justification, scope or approval trail for the new module.</w:t>
            </w:r>
          </w:p>
        </w:tc>
      </w:tr>
      <w:tr>
        <w:tc>
          <w:tcPr>
            <w:tcW w:type="dxa" w:w="3600"/>
            <w:tcMar>
              <w:top w:type="dxa" w:w="80"/>
              <w:left w:type="dxa" w:w="100"/>
              <w:bottom w:type="dxa" w:w="80"/>
              <w:right w:type="dxa" w:w="100"/>
            </w:tcMar>
          </w:tcPr>
          <w:p>
            <w:r>
              <w:rPr>
                <w:b w:val="false"/>
                <w:bCs w:val="false"/>
                <w:sz w:val="20"/>
                <w:szCs w:val="20"/>
              </w:rPr>
              <w:t xml:space="preserve">Risk assessment (incl. data protection)</w:t>
            </w:r>
          </w:p>
        </w:tc>
        <w:tc>
          <w:tcPr>
            <w:tcW w:type="dxa" w:w="1600"/>
            <w:tcMar>
              <w:top w:type="dxa" w:w="80"/>
              <w:left w:type="dxa" w:w="100"/>
              <w:bottom w:type="dxa" w:w="80"/>
              <w:right w:type="dxa" w:w="100"/>
            </w:tcMar>
          </w:tcPr>
          <w:p>
            <w:r>
              <w:rPr>
                <w:b w:val="false"/>
                <w:bCs w:val="false"/>
                <w:sz w:val="20"/>
                <w:szCs w:val="20"/>
              </w:rPr>
              <w:t xml:space="preserve">Missing</w:t>
            </w:r>
          </w:p>
        </w:tc>
        <w:tc>
          <w:tcPr>
            <w:tcW w:type="dxa" w:w="4400"/>
            <w:tcMar>
              <w:top w:type="dxa" w:w="80"/>
              <w:left w:type="dxa" w:w="100"/>
              <w:bottom w:type="dxa" w:w="80"/>
              <w:right w:type="dxa" w:w="100"/>
            </w:tcMar>
          </w:tcPr>
          <w:p>
            <w:r>
              <w:rPr>
                <w:b w:val="false"/>
                <w:bCs w:val="false"/>
                <w:sz w:val="20"/>
                <w:szCs w:val="20"/>
              </w:rPr>
              <w:t xml:space="preserve">No assessment of how the module affects personal-data handling or security risk.</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SRS (current + module)</w:t>
            </w:r>
          </w:p>
        </w:tc>
        <w:tc>
          <w:tcPr>
            <w:tcW w:type="dxa" w:w="1600"/>
            <w:shd w:fill="F2F2F2" w:color="auto" w:val="clear"/>
            <w:tcMar>
              <w:top w:type="dxa" w:w="80"/>
              <w:left w:type="dxa" w:w="100"/>
              <w:bottom w:type="dxa" w:w="80"/>
              <w:right w:type="dxa" w:w="100"/>
            </w:tcMar>
          </w:tcPr>
          <w:p>
            <w:r>
              <w:rPr>
                <w:b w:val="false"/>
                <w:bCs w:val="false"/>
                <w:sz w:val="20"/>
                <w:szCs w:val="20"/>
              </w:rPr>
              <w:t xml:space="preserve">Missing / informal</w:t>
            </w:r>
          </w:p>
        </w:tc>
        <w:tc>
          <w:tcPr>
            <w:tcW w:type="dxa" w:w="4400"/>
            <w:shd w:fill="F2F2F2" w:color="auto" w:val="clear"/>
            <w:tcMar>
              <w:top w:type="dxa" w:w="80"/>
              <w:left w:type="dxa" w:w="100"/>
              <w:bottom w:type="dxa" w:w="80"/>
              <w:right w:type="dxa" w:w="100"/>
            </w:tcMar>
          </w:tcPr>
          <w:p>
            <w:r>
              <w:rPr>
                <w:b w:val="false"/>
                <w:bCs w:val="false"/>
                <w:sz w:val="20"/>
                <w:szCs w:val="20"/>
              </w:rPr>
              <w:t xml:space="preserve">No consolidated, signed-off requirements specification; requirements exist only as scattered implementation notes.</w:t>
            </w:r>
          </w:p>
        </w:tc>
      </w:tr>
      <w:tr>
        <w:tc>
          <w:tcPr>
            <w:tcW w:type="dxa" w:w="3600"/>
            <w:tcMar>
              <w:top w:type="dxa" w:w="80"/>
              <w:left w:type="dxa" w:w="100"/>
              <w:bottom w:type="dxa" w:w="80"/>
              <w:right w:type="dxa" w:w="100"/>
            </w:tcMar>
          </w:tcPr>
          <w:p>
            <w:r>
              <w:rPr>
                <w:b w:val="false"/>
                <w:bCs w:val="false"/>
                <w:sz w:val="20"/>
                <w:szCs w:val="20"/>
              </w:rPr>
              <w:t xml:space="preserve">Implementation plan</w:t>
            </w:r>
          </w:p>
        </w:tc>
        <w:tc>
          <w:tcPr>
            <w:tcW w:type="dxa" w:w="1600"/>
            <w:tcMar>
              <w:top w:type="dxa" w:w="80"/>
              <w:left w:type="dxa" w:w="100"/>
              <w:bottom w:type="dxa" w:w="80"/>
              <w:right w:type="dxa" w:w="100"/>
            </w:tcMar>
          </w:tcPr>
          <w:p>
            <w:r>
              <w:rPr>
                <w:b w:val="false"/>
                <w:bCs w:val="false"/>
                <w:sz w:val="20"/>
                <w:szCs w:val="20"/>
              </w:rPr>
              <w:t xml:space="preserve">Missing</w:t>
            </w:r>
          </w:p>
        </w:tc>
        <w:tc>
          <w:tcPr>
            <w:tcW w:type="dxa" w:w="4400"/>
            <w:tcMar>
              <w:top w:type="dxa" w:w="80"/>
              <w:left w:type="dxa" w:w="100"/>
              <w:bottom w:type="dxa" w:w="80"/>
              <w:right w:type="dxa" w:w="100"/>
            </w:tcMar>
          </w:tcPr>
          <w:p>
            <w:r>
              <w:rPr>
                <w:b w:val="false"/>
                <w:bCs w:val="false"/>
                <w:sz w:val="20"/>
                <w:szCs w:val="20"/>
              </w:rPr>
              <w:t xml:space="preserve">No documented rollout steps, owners or timeline.</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Test plan (incl. security testing)</w:t>
            </w:r>
          </w:p>
        </w:tc>
        <w:tc>
          <w:tcPr>
            <w:tcW w:type="dxa" w:w="1600"/>
            <w:shd w:fill="F2F2F2" w:color="auto" w:val="clear"/>
            <w:tcMar>
              <w:top w:type="dxa" w:w="80"/>
              <w:left w:type="dxa" w:w="100"/>
              <w:bottom w:type="dxa" w:w="80"/>
              <w:right w:type="dxa" w:w="100"/>
            </w:tcMar>
          </w:tcPr>
          <w:p>
            <w:r>
              <w:rPr>
                <w:b w:val="false"/>
                <w:bCs w:val="false"/>
                <w:sz w:val="20"/>
                <w:szCs w:val="20"/>
              </w:rPr>
              <w:t xml:space="preserve">Missing</w:t>
            </w:r>
          </w:p>
        </w:tc>
        <w:tc>
          <w:tcPr>
            <w:tcW w:type="dxa" w:w="4400"/>
            <w:shd w:fill="F2F2F2" w:color="auto" w:val="clear"/>
            <w:tcMar>
              <w:top w:type="dxa" w:w="80"/>
              <w:left w:type="dxa" w:w="100"/>
              <w:bottom w:type="dxa" w:w="80"/>
              <w:right w:type="dxa" w:w="100"/>
            </w:tcMar>
          </w:tcPr>
          <w:p>
            <w:r>
              <w:rPr>
                <w:b w:val="false"/>
                <w:bCs w:val="false"/>
                <w:sz w:val="20"/>
                <w:szCs w:val="20"/>
              </w:rPr>
              <w:t xml:space="preserve">Testing is evidenced only by ad-hoc "testing checklist" markdown files per feature, not a controlled test plan.</w:t>
            </w:r>
          </w:p>
        </w:tc>
      </w:tr>
      <w:tr>
        <w:tc>
          <w:tcPr>
            <w:tcW w:type="dxa" w:w="3600"/>
            <w:tcMar>
              <w:top w:type="dxa" w:w="80"/>
              <w:left w:type="dxa" w:w="100"/>
              <w:bottom w:type="dxa" w:w="80"/>
              <w:right w:type="dxa" w:w="100"/>
            </w:tcMar>
          </w:tcPr>
          <w:p>
            <w:r>
              <w:rPr>
                <w:b w:val="false"/>
                <w:bCs w:val="false"/>
                <w:sz w:val="20"/>
                <w:szCs w:val="20"/>
              </w:rPr>
              <w:t xml:space="preserve">Pre-UAT checklist / UAT sign-off</w:t>
            </w:r>
          </w:p>
        </w:tc>
        <w:tc>
          <w:tcPr>
            <w:tcW w:type="dxa" w:w="1600"/>
            <w:tcMar>
              <w:top w:type="dxa" w:w="80"/>
              <w:left w:type="dxa" w:w="100"/>
              <w:bottom w:type="dxa" w:w="80"/>
              <w:right w:type="dxa" w:w="100"/>
            </w:tcMar>
          </w:tcPr>
          <w:p>
            <w:r>
              <w:rPr>
                <w:b w:val="false"/>
                <w:bCs w:val="false"/>
                <w:sz w:val="20"/>
                <w:szCs w:val="20"/>
              </w:rPr>
              <w:t xml:space="preserve">Missing</w:t>
            </w:r>
          </w:p>
        </w:tc>
        <w:tc>
          <w:tcPr>
            <w:tcW w:type="dxa" w:w="4400"/>
            <w:tcMar>
              <w:top w:type="dxa" w:w="80"/>
              <w:left w:type="dxa" w:w="100"/>
              <w:bottom w:type="dxa" w:w="80"/>
              <w:right w:type="dxa" w:w="100"/>
            </w:tcMar>
          </w:tcPr>
          <w:p>
            <w:r>
              <w:rPr>
                <w:b w:val="false"/>
                <w:bCs w:val="false"/>
                <w:sz w:val="20"/>
                <w:szCs w:val="20"/>
              </w:rPr>
              <w:t xml:space="preserve">No formal business sign-off before go-live is on record.</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Rollback plan</w:t>
            </w:r>
          </w:p>
        </w:tc>
        <w:tc>
          <w:tcPr>
            <w:tcW w:type="dxa" w:w="1600"/>
            <w:shd w:fill="F2F2F2" w:color="auto" w:val="clear"/>
            <w:tcMar>
              <w:top w:type="dxa" w:w="80"/>
              <w:left w:type="dxa" w:w="100"/>
              <w:bottom w:type="dxa" w:w="80"/>
              <w:right w:type="dxa" w:w="100"/>
            </w:tcMar>
          </w:tcPr>
          <w:p>
            <w:r>
              <w:rPr>
                <w:b w:val="false"/>
                <w:bCs w:val="false"/>
                <w:sz w:val="20"/>
                <w:szCs w:val="20"/>
              </w:rPr>
              <w:t xml:space="preserve">Missing</w:t>
            </w:r>
          </w:p>
        </w:tc>
        <w:tc>
          <w:tcPr>
            <w:tcW w:type="dxa" w:w="4400"/>
            <w:shd w:fill="F2F2F2" w:color="auto" w:val="clear"/>
            <w:tcMar>
              <w:top w:type="dxa" w:w="80"/>
              <w:left w:type="dxa" w:w="100"/>
              <w:bottom w:type="dxa" w:w="80"/>
              <w:right w:type="dxa" w:w="100"/>
            </w:tcMar>
          </w:tcPr>
          <w:p>
            <w:r>
              <w:rPr>
                <w:b w:val="false"/>
                <w:bCs w:val="false"/>
                <w:sz w:val="20"/>
                <w:szCs w:val="20"/>
              </w:rPr>
              <w:t xml:space="preserve">No documented fallback if the module deployment fails.</w:t>
            </w:r>
          </w:p>
        </w:tc>
      </w:tr>
      <w:tr>
        <w:tc>
          <w:tcPr>
            <w:tcW w:type="dxa" w:w="3600"/>
            <w:tcMar>
              <w:top w:type="dxa" w:w="80"/>
              <w:left w:type="dxa" w:w="100"/>
              <w:bottom w:type="dxa" w:w="80"/>
              <w:right w:type="dxa" w:w="100"/>
            </w:tcMar>
          </w:tcPr>
          <w:p>
            <w:r>
              <w:rPr>
                <w:b w:val="false"/>
                <w:bCs w:val="false"/>
                <w:sz w:val="20"/>
                <w:szCs w:val="20"/>
              </w:rPr>
              <w:t xml:space="preserve">Change management procedure (org-level)</w:t>
            </w:r>
          </w:p>
        </w:tc>
        <w:tc>
          <w:tcPr>
            <w:tcW w:type="dxa" w:w="1600"/>
            <w:tcMar>
              <w:top w:type="dxa" w:w="80"/>
              <w:left w:type="dxa" w:w="100"/>
              <w:bottom w:type="dxa" w:w="80"/>
              <w:right w:type="dxa" w:w="100"/>
            </w:tcMar>
          </w:tcPr>
          <w:p>
            <w:r>
              <w:rPr>
                <w:b w:val="false"/>
                <w:bCs w:val="false"/>
                <w:sz w:val="20"/>
                <w:szCs w:val="20"/>
              </w:rPr>
              <w:t xml:space="preserve">Missing</w:t>
            </w:r>
          </w:p>
        </w:tc>
        <w:tc>
          <w:tcPr>
            <w:tcW w:type="dxa" w:w="4400"/>
            <w:tcMar>
              <w:top w:type="dxa" w:w="80"/>
              <w:left w:type="dxa" w:w="100"/>
              <w:bottom w:type="dxa" w:w="80"/>
              <w:right w:type="dxa" w:w="100"/>
            </w:tcMar>
          </w:tcPr>
          <w:p>
            <w:r>
              <w:rPr>
                <w:b w:val="false"/>
                <w:bCs w:val="false"/>
                <w:sz w:val="20"/>
                <w:szCs w:val="20"/>
              </w:rPr>
              <w:t xml:space="preserve">No repeatable process referenced by any of the above — this is the root cause.</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Business continuity documentation</w:t>
            </w:r>
          </w:p>
        </w:tc>
        <w:tc>
          <w:tcPr>
            <w:tcW w:type="dxa" w:w="1600"/>
            <w:shd w:fill="F2F2F2" w:color="auto" w:val="clear"/>
            <w:tcMar>
              <w:top w:type="dxa" w:w="80"/>
              <w:left w:type="dxa" w:w="100"/>
              <w:bottom w:type="dxa" w:w="80"/>
              <w:right w:type="dxa" w:w="100"/>
            </w:tcMar>
          </w:tcPr>
          <w:p>
            <w:r>
              <w:rPr>
                <w:b w:val="false"/>
                <w:bCs w:val="false"/>
                <w:sz w:val="20"/>
                <w:szCs w:val="20"/>
              </w:rPr>
              <w:t xml:space="preserve">Missing</w:t>
            </w:r>
          </w:p>
        </w:tc>
        <w:tc>
          <w:tcPr>
            <w:tcW w:type="dxa" w:w="4400"/>
            <w:shd w:fill="F2F2F2" w:color="auto" w:val="clear"/>
            <w:tcMar>
              <w:top w:type="dxa" w:w="80"/>
              <w:left w:type="dxa" w:w="100"/>
              <w:bottom w:type="dxa" w:w="80"/>
              <w:right w:type="dxa" w:w="100"/>
            </w:tcMar>
          </w:tcPr>
          <w:p>
            <w:r>
              <w:rPr>
                <w:b w:val="false"/>
                <w:bCs w:val="false"/>
                <w:sz w:val="20"/>
                <w:szCs w:val="20"/>
              </w:rPr>
              <w:t xml:space="preserve">No BIA/RTO-RPO statement specific to HRIMS on record.</w:t>
            </w:r>
          </w:p>
        </w:tc>
      </w:tr>
    </w:tbl>
    <w:p>
      <w:pPr>
        <w:pStyle w:val="Heading2"/>
        <w:spacing w:after="120" w:before="260"/>
      </w:pPr>
      <w:r>
        <w:t xml:space="preserve">5.2 The Circle</w:t>
      </w:r>
    </w:p>
    <w:p>
      <w:pPr>
        <w:spacing w:after="140" w:line="276"/>
      </w:pPr>
      <w:r>
        <w:t xml:space="preserve">The Circle has a genuine partial baseline. The task is to extend and reconcile it to cover the new module, not to start from zero.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400"/>
      </w:tblGrid>
      <w:tr>
        <w:trPr>
          <w:tblHeader/>
        </w:trPr>
        <w:tc>
          <w:tcPr>
            <w:tcW w:type="dxa" w:w="3600"/>
            <w:shd w:fill="1F3864" w:color="auto" w:val="clear"/>
            <w:tcMar>
              <w:top w:type="dxa" w:w="80"/>
              <w:left w:type="dxa" w:w="100"/>
              <w:bottom w:type="dxa" w:w="80"/>
              <w:right w:type="dxa" w:w="100"/>
            </w:tcMar>
          </w:tcPr>
          <w:p>
            <w:r>
              <w:rPr>
                <w:b/>
                <w:bCs/>
                <w:color w:val="FFFFFF"/>
                <w:sz w:val="20"/>
                <w:szCs w:val="20"/>
              </w:rPr>
              <w:t xml:space="preserve">Required artifact</w:t>
            </w:r>
          </w:p>
        </w:tc>
        <w:tc>
          <w:tcPr>
            <w:tcW w:type="dxa" w:w="1600"/>
            <w:shd w:fill="1F3864" w:color="auto" w:val="clear"/>
            <w:tcMar>
              <w:top w:type="dxa" w:w="80"/>
              <w:left w:type="dxa" w:w="100"/>
              <w:bottom w:type="dxa" w:w="80"/>
              <w:right w:type="dxa" w:w="100"/>
            </w:tcMar>
          </w:tcPr>
          <w:p>
            <w:r>
              <w:rPr>
                <w:b/>
                <w:bCs/>
                <w:color w:val="FFFFFF"/>
                <w:sz w:val="20"/>
                <w:szCs w:val="20"/>
              </w:rPr>
              <w:t xml:space="preserve">Status</w:t>
            </w:r>
          </w:p>
        </w:tc>
        <w:tc>
          <w:tcPr>
            <w:tcW w:type="dxa" w:w="4400"/>
            <w:shd w:fill="1F3864" w:color="auto" w:val="clear"/>
            <w:tcMar>
              <w:top w:type="dxa" w:w="80"/>
              <w:left w:type="dxa" w:w="100"/>
              <w:bottom w:type="dxa" w:w="80"/>
              <w:right w:type="dxa" w:w="100"/>
            </w:tcMar>
          </w:tcPr>
          <w:p>
            <w:r>
              <w:rPr>
                <w:b/>
                <w:bCs/>
                <w:color w:val="FFFFFF"/>
                <w:sz w:val="20"/>
                <w:szCs w:val="20"/>
              </w:rPr>
              <w:t xml:space="preserve">Gap</w:t>
            </w:r>
          </w:p>
        </w:tc>
      </w:tr>
      <w:tr>
        <w:tc>
          <w:tcPr>
            <w:tcW w:type="dxa" w:w="3600"/>
            <w:tcMar>
              <w:top w:type="dxa" w:w="80"/>
              <w:left w:type="dxa" w:w="100"/>
              <w:bottom w:type="dxa" w:w="80"/>
              <w:right w:type="dxa" w:w="100"/>
            </w:tcMar>
          </w:tcPr>
          <w:p>
            <w:r>
              <w:rPr>
                <w:b w:val="false"/>
                <w:bCs w:val="false"/>
                <w:sz w:val="20"/>
                <w:szCs w:val="20"/>
              </w:rPr>
              <w:t xml:space="preserve">Business case</w:t>
            </w:r>
          </w:p>
        </w:tc>
        <w:tc>
          <w:tcPr>
            <w:tcW w:type="dxa" w:w="1600"/>
            <w:tcMar>
              <w:top w:type="dxa" w:w="80"/>
              <w:left w:type="dxa" w:w="100"/>
              <w:bottom w:type="dxa" w:w="80"/>
              <w:right w:type="dxa" w:w="100"/>
            </w:tcMar>
          </w:tcPr>
          <w:p>
            <w:r>
              <w:rPr>
                <w:b w:val="false"/>
                <w:bCs w:val="false"/>
                <w:sz w:val="20"/>
                <w:szCs w:val="20"/>
              </w:rPr>
              <w:t xml:space="preserve">Exists (v1.0)</w:t>
            </w:r>
          </w:p>
        </w:tc>
        <w:tc>
          <w:tcPr>
            <w:tcW w:type="dxa" w:w="4400"/>
            <w:tcMar>
              <w:top w:type="dxa" w:w="80"/>
              <w:left w:type="dxa" w:w="100"/>
              <w:bottom w:type="dxa" w:w="80"/>
              <w:right w:type="dxa" w:w="100"/>
            </w:tcMar>
          </w:tcPr>
          <w:p>
            <w:r>
              <w:rPr>
                <w:b w:val="false"/>
                <w:bCs w:val="false"/>
                <w:sz w:val="20"/>
                <w:szCs w:val="20"/>
              </w:rPr>
              <w:t xml:space="preserve">Needs review to confirm it still reflects the module's scope, or an addendum.</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Change request</w:t>
            </w:r>
          </w:p>
        </w:tc>
        <w:tc>
          <w:tcPr>
            <w:tcW w:type="dxa" w:w="1600"/>
            <w:shd w:fill="F2F2F2" w:color="auto" w:val="clear"/>
            <w:tcMar>
              <w:top w:type="dxa" w:w="80"/>
              <w:left w:type="dxa" w:w="100"/>
              <w:bottom w:type="dxa" w:w="80"/>
              <w:right w:type="dxa" w:w="100"/>
            </w:tcMar>
          </w:tcPr>
          <w:p>
            <w:r>
              <w:rPr>
                <w:b w:val="false"/>
                <w:bCs w:val="false"/>
                <w:sz w:val="20"/>
                <w:szCs w:val="20"/>
              </w:rPr>
              <w:t xml:space="preserve">Exists — excludes the module</w:t>
            </w:r>
          </w:p>
        </w:tc>
        <w:tc>
          <w:tcPr>
            <w:tcW w:type="dxa" w:w="4400"/>
            <w:shd w:fill="F2F2F2" w:color="auto" w:val="clear"/>
            <w:tcMar>
              <w:top w:type="dxa" w:w="80"/>
              <w:left w:type="dxa" w:w="100"/>
              <w:bottom w:type="dxa" w:w="80"/>
              <w:right w:type="dxa" w:w="100"/>
            </w:tcMar>
          </w:tcPr>
          <w:p>
            <w:r>
              <w:rPr>
                <w:b w:val="false"/>
                <w:bCs w:val="false"/>
                <w:sz w:val="20"/>
                <w:szCs w:val="20"/>
              </w:rPr>
              <w:t xml:space="preserve">Must be updated (or a linked follow-on CR raised) to formally bring the module into scope.</w:t>
            </w:r>
          </w:p>
        </w:tc>
      </w:tr>
      <w:tr>
        <w:tc>
          <w:tcPr>
            <w:tcW w:type="dxa" w:w="3600"/>
            <w:tcMar>
              <w:top w:type="dxa" w:w="80"/>
              <w:left w:type="dxa" w:w="100"/>
              <w:bottom w:type="dxa" w:w="80"/>
              <w:right w:type="dxa" w:w="100"/>
            </w:tcMar>
          </w:tcPr>
          <w:p>
            <w:r>
              <w:rPr>
                <w:b w:val="false"/>
                <w:bCs w:val="false"/>
                <w:sz w:val="20"/>
                <w:szCs w:val="20"/>
              </w:rPr>
              <w:t xml:space="preserve">SRS</w:t>
            </w:r>
          </w:p>
        </w:tc>
        <w:tc>
          <w:tcPr>
            <w:tcW w:type="dxa" w:w="1600"/>
            <w:tcMar>
              <w:top w:type="dxa" w:w="80"/>
              <w:left w:type="dxa" w:w="100"/>
              <w:bottom w:type="dxa" w:w="80"/>
              <w:right w:type="dxa" w:w="100"/>
            </w:tcMar>
          </w:tcPr>
          <w:p>
            <w:r>
              <w:rPr>
                <w:b w:val="false"/>
                <w:bCs w:val="false"/>
                <w:sz w:val="20"/>
                <w:szCs w:val="20"/>
              </w:rPr>
              <w:t xml:space="preserve">Exists — outdated; module has a separate signed SRS</w:t>
            </w:r>
          </w:p>
        </w:tc>
        <w:tc>
          <w:tcPr>
            <w:tcW w:type="dxa" w:w="4400"/>
            <w:tcMar>
              <w:top w:type="dxa" w:w="80"/>
              <w:left w:type="dxa" w:w="100"/>
              <w:bottom w:type="dxa" w:w="80"/>
              <w:right w:type="dxa" w:w="100"/>
            </w:tcMar>
          </w:tcPr>
          <w:p>
            <w:r>
              <w:rPr>
                <w:b w:val="false"/>
                <w:bCs w:val="false"/>
                <w:sz w:val="20"/>
                <w:szCs w:val="20"/>
              </w:rPr>
              <w:t xml:space="preserve">Two SRS documents need to be reconciled into one current, signed, version-controlled specification.</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Implementation plan</w:t>
            </w:r>
          </w:p>
        </w:tc>
        <w:tc>
          <w:tcPr>
            <w:tcW w:type="dxa" w:w="1600"/>
            <w:shd w:fill="F2F2F2" w:color="auto" w:val="clear"/>
            <w:tcMar>
              <w:top w:type="dxa" w:w="80"/>
              <w:left w:type="dxa" w:w="100"/>
              <w:bottom w:type="dxa" w:w="80"/>
              <w:right w:type="dxa" w:w="100"/>
            </w:tcMar>
          </w:tcPr>
          <w:p>
            <w:r>
              <w:rPr>
                <w:b w:val="false"/>
                <w:bCs w:val="false"/>
                <w:sz w:val="20"/>
                <w:szCs w:val="20"/>
              </w:rPr>
              <w:t xml:space="preserve">Exists</w:t>
            </w:r>
          </w:p>
        </w:tc>
        <w:tc>
          <w:tcPr>
            <w:tcW w:type="dxa" w:w="4400"/>
            <w:shd w:fill="F2F2F2" w:color="auto" w:val="clear"/>
            <w:tcMar>
              <w:top w:type="dxa" w:w="80"/>
              <w:left w:type="dxa" w:w="100"/>
              <w:bottom w:type="dxa" w:w="80"/>
              <w:right w:type="dxa" w:w="100"/>
            </w:tcMar>
          </w:tcPr>
          <w:p>
            <w:r>
              <w:rPr>
                <w:b w:val="false"/>
                <w:bCs w:val="false"/>
                <w:sz w:val="20"/>
                <w:szCs w:val="20"/>
              </w:rPr>
              <w:t xml:space="preserve">Needs a module-specific addendum (rollout steps, sequencing, dependencies).</w:t>
            </w:r>
          </w:p>
        </w:tc>
      </w:tr>
      <w:tr>
        <w:tc>
          <w:tcPr>
            <w:tcW w:type="dxa" w:w="3600"/>
            <w:tcMar>
              <w:top w:type="dxa" w:w="80"/>
              <w:left w:type="dxa" w:w="100"/>
              <w:bottom w:type="dxa" w:w="80"/>
              <w:right w:type="dxa" w:w="100"/>
            </w:tcMar>
          </w:tcPr>
          <w:p>
            <w:r>
              <w:rPr>
                <w:b w:val="false"/>
                <w:bCs w:val="false"/>
                <w:sz w:val="20"/>
                <w:szCs w:val="20"/>
              </w:rPr>
              <w:t xml:space="preserve">Test plan</w:t>
            </w:r>
          </w:p>
        </w:tc>
        <w:tc>
          <w:tcPr>
            <w:tcW w:type="dxa" w:w="1600"/>
            <w:tcMar>
              <w:top w:type="dxa" w:w="80"/>
              <w:left w:type="dxa" w:w="100"/>
              <w:bottom w:type="dxa" w:w="80"/>
              <w:right w:type="dxa" w:w="100"/>
            </w:tcMar>
          </w:tcPr>
          <w:p>
            <w:r>
              <w:rPr>
                <w:b w:val="false"/>
                <w:bCs w:val="false"/>
                <w:sz w:val="20"/>
                <w:szCs w:val="20"/>
              </w:rPr>
              <w:t xml:space="preserve">Exists</w:t>
            </w:r>
          </w:p>
        </w:tc>
        <w:tc>
          <w:tcPr>
            <w:tcW w:type="dxa" w:w="4400"/>
            <w:tcMar>
              <w:top w:type="dxa" w:w="80"/>
              <w:left w:type="dxa" w:w="100"/>
              <w:bottom w:type="dxa" w:w="80"/>
              <w:right w:type="dxa" w:w="100"/>
            </w:tcMar>
          </w:tcPr>
          <w:p>
            <w:r>
              <w:rPr>
                <w:b w:val="false"/>
                <w:bCs w:val="false"/>
                <w:sz w:val="20"/>
                <w:szCs w:val="20"/>
              </w:rPr>
              <w:t xml:space="preserve">Needs module-specific test cases, including audit-trail/logging integrity checks.</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Pre-UAT checklist</w:t>
            </w:r>
          </w:p>
        </w:tc>
        <w:tc>
          <w:tcPr>
            <w:tcW w:type="dxa" w:w="1600"/>
            <w:shd w:fill="F2F2F2" w:color="auto" w:val="clear"/>
            <w:tcMar>
              <w:top w:type="dxa" w:w="80"/>
              <w:left w:type="dxa" w:w="100"/>
              <w:bottom w:type="dxa" w:w="80"/>
              <w:right w:type="dxa" w:w="100"/>
            </w:tcMar>
          </w:tcPr>
          <w:p>
            <w:r>
              <w:rPr>
                <w:b w:val="false"/>
                <w:bCs w:val="false"/>
                <w:sz w:val="20"/>
                <w:szCs w:val="20"/>
              </w:rPr>
              <w:t xml:space="preserve">Exists</w:t>
            </w:r>
          </w:p>
        </w:tc>
        <w:tc>
          <w:tcPr>
            <w:tcW w:type="dxa" w:w="4400"/>
            <w:shd w:fill="F2F2F2" w:color="auto" w:val="clear"/>
            <w:tcMar>
              <w:top w:type="dxa" w:w="80"/>
              <w:left w:type="dxa" w:w="100"/>
              <w:bottom w:type="dxa" w:w="80"/>
              <w:right w:type="dxa" w:w="100"/>
            </w:tcMar>
          </w:tcPr>
          <w:p>
            <w:r>
              <w:rPr>
                <w:b w:val="false"/>
                <w:bCs w:val="false"/>
                <w:sz w:val="20"/>
                <w:szCs w:val="20"/>
              </w:rPr>
              <w:t xml:space="preserve">Needs module scenarios added; confirm sign-off is current, not from the original release.</w:t>
            </w:r>
          </w:p>
        </w:tc>
      </w:tr>
      <w:tr>
        <w:tc>
          <w:tcPr>
            <w:tcW w:type="dxa" w:w="3600"/>
            <w:tcMar>
              <w:top w:type="dxa" w:w="80"/>
              <w:left w:type="dxa" w:w="100"/>
              <w:bottom w:type="dxa" w:w="80"/>
              <w:right w:type="dxa" w:w="100"/>
            </w:tcMar>
          </w:tcPr>
          <w:p>
            <w:r>
              <w:rPr>
                <w:b w:val="false"/>
                <w:bCs w:val="false"/>
                <w:sz w:val="20"/>
                <w:szCs w:val="20"/>
              </w:rPr>
              <w:t xml:space="preserve">Rollback plan</w:t>
            </w:r>
          </w:p>
        </w:tc>
        <w:tc>
          <w:tcPr>
            <w:tcW w:type="dxa" w:w="1600"/>
            <w:tcMar>
              <w:top w:type="dxa" w:w="80"/>
              <w:left w:type="dxa" w:w="100"/>
              <w:bottom w:type="dxa" w:w="80"/>
              <w:right w:type="dxa" w:w="100"/>
            </w:tcMar>
          </w:tcPr>
          <w:p>
            <w:r>
              <w:rPr>
                <w:b w:val="false"/>
                <w:bCs w:val="false"/>
                <w:sz w:val="20"/>
                <w:szCs w:val="20"/>
              </w:rPr>
              <w:t xml:space="preserve">Exists</w:t>
            </w:r>
          </w:p>
        </w:tc>
        <w:tc>
          <w:tcPr>
            <w:tcW w:type="dxa" w:w="4400"/>
            <w:tcMar>
              <w:top w:type="dxa" w:w="80"/>
              <w:left w:type="dxa" w:w="100"/>
              <w:bottom w:type="dxa" w:w="80"/>
              <w:right w:type="dxa" w:w="100"/>
            </w:tcMar>
          </w:tcPr>
          <w:p>
            <w:r>
              <w:rPr>
                <w:b w:val="false"/>
                <w:bCs w:val="false"/>
                <w:sz w:val="20"/>
                <w:szCs w:val="20"/>
              </w:rPr>
              <w:t xml:space="preserve">Needs to explicitly cover rolling back the module without corrupting approval history/audit trail.</w:t>
            </w:r>
          </w:p>
        </w:tc>
      </w:tr>
      <w:tr>
        <w:tc>
          <w:tcPr>
            <w:tcW w:type="dxa" w:w="3600"/>
            <w:shd w:fill="F2F2F2" w:color="auto" w:val="clear"/>
            <w:tcMar>
              <w:top w:type="dxa" w:w="80"/>
              <w:left w:type="dxa" w:w="100"/>
              <w:bottom w:type="dxa" w:w="80"/>
              <w:right w:type="dxa" w:w="100"/>
            </w:tcMar>
          </w:tcPr>
          <w:p>
            <w:r>
              <w:rPr>
                <w:b w:val="false"/>
                <w:bCs w:val="false"/>
                <w:sz w:val="20"/>
                <w:szCs w:val="20"/>
              </w:rPr>
              <w:t xml:space="preserve">Document version control</w:t>
            </w:r>
          </w:p>
        </w:tc>
        <w:tc>
          <w:tcPr>
            <w:tcW w:type="dxa" w:w="1600"/>
            <w:shd w:fill="F2F2F2" w:color="auto" w:val="clear"/>
            <w:tcMar>
              <w:top w:type="dxa" w:w="80"/>
              <w:left w:type="dxa" w:w="100"/>
              <w:bottom w:type="dxa" w:w="80"/>
              <w:right w:type="dxa" w:w="100"/>
            </w:tcMar>
          </w:tcPr>
          <w:p>
            <w:r>
              <w:rPr>
                <w:b w:val="false"/>
                <w:bCs w:val="false"/>
                <w:sz w:val="20"/>
                <w:szCs w:val="20"/>
              </w:rPr>
              <w:t xml:space="preserve">Ad hoc (docx files in a folder)</w:t>
            </w:r>
          </w:p>
        </w:tc>
        <w:tc>
          <w:tcPr>
            <w:tcW w:type="dxa" w:w="4400"/>
            <w:shd w:fill="F2F2F2" w:color="auto" w:val="clear"/>
            <w:tcMar>
              <w:top w:type="dxa" w:w="80"/>
              <w:left w:type="dxa" w:w="100"/>
              <w:bottom w:type="dxa" w:w="80"/>
              <w:right w:type="dxa" w:w="100"/>
            </w:tcMar>
          </w:tcPr>
          <w:p>
            <w:r>
              <w:rPr>
                <w:b w:val="false"/>
                <w:bCs w:val="false"/>
                <w:sz w:val="20"/>
                <w:szCs w:val="20"/>
              </w:rPr>
              <w:t xml:space="preserve">No visible version history, author/approver metadata, or change log across the document set.</w:t>
            </w:r>
          </w:p>
        </w:tc>
      </w:tr>
      <w:tr>
        <w:tc>
          <w:tcPr>
            <w:tcW w:type="dxa" w:w="3600"/>
            <w:tcMar>
              <w:top w:type="dxa" w:w="80"/>
              <w:left w:type="dxa" w:w="100"/>
              <w:bottom w:type="dxa" w:w="80"/>
              <w:right w:type="dxa" w:w="100"/>
            </w:tcMar>
          </w:tcPr>
          <w:p>
            <w:r>
              <w:rPr>
                <w:b w:val="false"/>
                <w:bCs w:val="false"/>
                <w:sz w:val="20"/>
                <w:szCs w:val="20"/>
              </w:rPr>
              <w:t xml:space="preserve">Business continuity documentation</w:t>
            </w:r>
          </w:p>
        </w:tc>
        <w:tc>
          <w:tcPr>
            <w:tcW w:type="dxa" w:w="1600"/>
            <w:tcMar>
              <w:top w:type="dxa" w:w="80"/>
              <w:left w:type="dxa" w:w="100"/>
              <w:bottom w:type="dxa" w:w="80"/>
              <w:right w:type="dxa" w:w="100"/>
            </w:tcMar>
          </w:tcPr>
          <w:p>
            <w:r>
              <w:rPr>
                <w:b w:val="false"/>
                <w:bCs w:val="false"/>
                <w:sz w:val="20"/>
                <w:szCs w:val="20"/>
              </w:rPr>
              <w:t xml:space="preserve">Not evidenced</w:t>
            </w:r>
          </w:p>
        </w:tc>
        <w:tc>
          <w:tcPr>
            <w:tcW w:type="dxa" w:w="4400"/>
            <w:tcMar>
              <w:top w:type="dxa" w:w="80"/>
              <w:left w:type="dxa" w:w="100"/>
              <w:bottom w:type="dxa" w:w="80"/>
              <w:right w:type="dxa" w:w="100"/>
            </w:tcMar>
          </w:tcPr>
          <w:p>
            <w:r>
              <w:rPr>
                <w:b w:val="false"/>
                <w:bCs w:val="false"/>
                <w:sz w:val="20"/>
                <w:szCs w:val="20"/>
              </w:rPr>
              <w:t xml:space="preserve">No BIA/RTO-RPO statement or continuity test on record for The Circle.</w:t>
            </w:r>
          </w:p>
        </w:tc>
      </w:tr>
    </w:tbl>
    <w:p>
      <w:pPr>
        <w:pStyle w:val="Heading1"/>
        <w:spacing w:after="160" w:before="360"/>
      </w:pPr>
      <w:r>
        <w:t xml:space="preserve">6. Compliance Roadmap</w:t>
      </w:r>
    </w:p>
    <w:p>
      <w:pPr>
        <w:spacing w:after="140" w:line="276"/>
      </w:pPr>
      <w:r>
        <w:t xml:space="preserve">The roadmap below is organised into five phases. Each phase has been created as a milestone in the relevant GitHub repository (BIS2RTG/HRIMS and BIS2RTG/the_circle), with the individual tasks as issues under it — see the accompanying script/checklist. Work the phases roughly in order; phases 1–2 can run in parallel across both systems.</w:t>
      </w:r>
    </w:p>
    <w:p>
      <w:pPr>
        <w:pStyle w:val="Heading2"/>
        <w:spacing w:after="120" w:before="260"/>
      </w:pPr>
      <w:r>
        <w:t xml:space="preserve">Phase 1 — Baseline &amp; Asset Documentation</w:t>
      </w:r>
    </w:p>
    <w:p>
      <w:pPr>
        <w:spacing w:after="140" w:line="276"/>
      </w:pPr>
      <w:r>
        <w:t xml:space="preserve">Objective: establish the missing information-security baseline so the module change has something documented to sit on top of.</w:t>
      </w:r>
    </w:p>
    <w:p>
      <w:pPr>
        <w:pStyle w:val="ListParagraph"/>
        <w:numPr>
          <w:ilvl w:val="0"/>
          <w:numId w:val="2"/>
        </w:numPr>
        <w:spacing w:after="80" w:line="276"/>
      </w:pPr>
      <w:r>
        <w:t xml:space="preserve">Add HRIMS and The Circle to the ISMS information asset inventory, with named owners.</w:t>
      </w:r>
    </w:p>
    <w:p>
      <w:pPr>
        <w:pStyle w:val="ListParagraph"/>
        <w:numPr>
          <w:ilvl w:val="0"/>
          <w:numId w:val="2"/>
        </w:numPr>
        <w:spacing w:after="80" w:line="276"/>
      </w:pPr>
      <w:r>
        <w:t xml:space="preserve">Document current architecture and data flows for each system (what data, where it lives, who/what touches it).</w:t>
      </w:r>
    </w:p>
    <w:p>
      <w:pPr>
        <w:pStyle w:val="ListParagraph"/>
        <w:numPr>
          <w:ilvl w:val="0"/>
          <w:numId w:val="2"/>
        </w:numPr>
        <w:spacing w:after="80" w:line="276"/>
      </w:pPr>
      <w:r>
        <w:t xml:space="preserve">Consolidate and version-control existing documentation for The Circle; retire or clearly archive superseded ad-hoc notes for HRIMS.</w:t>
      </w:r>
    </w:p>
    <w:p>
      <w:pPr>
        <w:pStyle w:val="Heading2"/>
        <w:spacing w:after="120" w:before="260"/>
      </w:pPr>
      <w:r>
        <w:t xml:space="preserve">Phase 2 — Change Management &amp; Secure SDLC for the Module</w:t>
      </w:r>
    </w:p>
    <w:p>
      <w:pPr>
        <w:spacing w:after="140" w:line="276"/>
      </w:pPr>
      <w:r>
        <w:t xml:space="preserve">Objective: create the forward-looking change record required by Control 8.32 before the module is considered "in progress" for compliance purposes.</w:t>
      </w:r>
    </w:p>
    <w:p>
      <w:pPr>
        <w:pStyle w:val="ListParagraph"/>
        <w:numPr>
          <w:ilvl w:val="0"/>
          <w:numId w:val="2"/>
        </w:numPr>
        <w:spacing w:after="80" w:line="276"/>
      </w:pPr>
      <w:r>
        <w:t xml:space="preserve">Raise a formal change request / business case for the module (or update the existing one for The Circle).</w:t>
      </w:r>
    </w:p>
    <w:p>
      <w:pPr>
        <w:pStyle w:val="ListParagraph"/>
        <w:numPr>
          <w:ilvl w:val="0"/>
          <w:numId w:val="2"/>
        </w:numPr>
        <w:spacing w:after="80" w:line="276"/>
      </w:pPr>
      <w:r>
        <w:t xml:space="preserve">Perform a risk assessment, including a data-protection impact view for HRIMS.</w:t>
      </w:r>
    </w:p>
    <w:p>
      <w:pPr>
        <w:pStyle w:val="ListParagraph"/>
        <w:numPr>
          <w:ilvl w:val="0"/>
          <w:numId w:val="2"/>
        </w:numPr>
        <w:spacing w:after="80" w:line="276"/>
      </w:pPr>
      <w:r>
        <w:t xml:space="preserve">Finalise and obtain sign-off on the SRS (reconcile the two SRS versions for The Circle).</w:t>
      </w:r>
    </w:p>
    <w:p>
      <w:pPr>
        <w:pStyle w:val="ListParagraph"/>
        <w:numPr>
          <w:ilvl w:val="0"/>
          <w:numId w:val="2"/>
        </w:numPr>
        <w:spacing w:after="80" w:line="276"/>
      </w:pPr>
      <w:r>
        <w:t xml:space="preserve">Confirm and record evidence of dev/test/prod environment separation and access control.</w:t>
      </w:r>
    </w:p>
    <w:p>
      <w:pPr>
        <w:pStyle w:val="ListParagraph"/>
        <w:numPr>
          <w:ilvl w:val="0"/>
          <w:numId w:val="2"/>
        </w:numPr>
        <w:spacing w:after="80" w:line="276"/>
      </w:pPr>
      <w:r>
        <w:t xml:space="preserve">Produce an implementation plan (owners, sequencing, timeline, communication).</w:t>
      </w:r>
    </w:p>
    <w:p>
      <w:pPr>
        <w:pStyle w:val="Heading2"/>
        <w:spacing w:after="120" w:before="260"/>
      </w:pPr>
      <w:r>
        <w:t xml:space="preserve">Phase 3 — Testing, UAT &amp; Rollback Evidence</w:t>
      </w:r>
    </w:p>
    <w:p>
      <w:pPr>
        <w:spacing w:after="140" w:line="276"/>
      </w:pPr>
      <w:r>
        <w:t xml:space="preserve">Objective: produce the evidence an auditor will actually ask to see.</w:t>
      </w:r>
    </w:p>
    <w:p>
      <w:pPr>
        <w:pStyle w:val="ListParagraph"/>
        <w:numPr>
          <w:ilvl w:val="0"/>
          <w:numId w:val="2"/>
        </w:numPr>
        <w:spacing w:after="80" w:line="276"/>
      </w:pPr>
      <w:r>
        <w:t xml:space="preserve">Write/extend the test plan to include the module, with explicit security test cases (Control 8.29).</w:t>
      </w:r>
    </w:p>
    <w:p>
      <w:pPr>
        <w:pStyle w:val="ListParagraph"/>
        <w:numPr>
          <w:ilvl w:val="0"/>
          <w:numId w:val="2"/>
        </w:numPr>
        <w:spacing w:after="80" w:line="276"/>
      </w:pPr>
      <w:r>
        <w:t xml:space="preserve">Execute security testing (authentication, authorisation/RBAC, input validation) and record results.</w:t>
      </w:r>
    </w:p>
    <w:p>
      <w:pPr>
        <w:pStyle w:val="ListParagraph"/>
        <w:numPr>
          <w:ilvl w:val="0"/>
          <w:numId w:val="2"/>
        </w:numPr>
        <w:spacing w:after="80" w:line="276"/>
      </w:pPr>
      <w:r>
        <w:t xml:space="preserve">Run the pre-UAT checklist and obtain a dated UAT sign-off from the business owner.</w:t>
      </w:r>
    </w:p>
    <w:p>
      <w:pPr>
        <w:pStyle w:val="ListParagraph"/>
        <w:numPr>
          <w:ilvl w:val="0"/>
          <w:numId w:val="2"/>
        </w:numPr>
        <w:spacing w:after="80" w:line="276"/>
      </w:pPr>
      <w:r>
        <w:t xml:space="preserve">Write/extend the rollback plan so it explicitly covers the module.</w:t>
      </w:r>
    </w:p>
    <w:p>
      <w:pPr>
        <w:pStyle w:val="Heading2"/>
        <w:spacing w:after="120" w:before="260"/>
      </w:pPr>
      <w:r>
        <w:t xml:space="preserve">Phase 4 — Business Continuity Alignment (ISO 22301)</w:t>
      </w:r>
    </w:p>
    <w:p>
      <w:pPr>
        <w:spacing w:after="140" w:line="276"/>
      </w:pPr>
      <w:r>
        <w:t xml:space="preserve">Objective: confirm the module hasn't quietly changed the continuity picture for either system.</w:t>
      </w:r>
    </w:p>
    <w:p>
      <w:pPr>
        <w:pStyle w:val="ListParagraph"/>
        <w:numPr>
          <w:ilvl w:val="0"/>
          <w:numId w:val="2"/>
        </w:numPr>
        <w:spacing w:after="80" w:line="276"/>
      </w:pPr>
      <w:r>
        <w:t xml:space="preserve">Reassess or document RTO/RPO and dependencies (BIA) for HRIMS and The Circle in light of the module.</w:t>
      </w:r>
    </w:p>
    <w:p>
      <w:pPr>
        <w:pStyle w:val="ListParagraph"/>
        <w:numPr>
          <w:ilvl w:val="0"/>
          <w:numId w:val="2"/>
        </w:numPr>
        <w:spacing w:after="80" w:line="276"/>
      </w:pPr>
      <w:r>
        <w:t xml:space="preserve">Confirm backup/recovery procedures still hold; update runbooks if the module changes them.</w:t>
      </w:r>
    </w:p>
    <w:p>
      <w:pPr>
        <w:pStyle w:val="ListParagraph"/>
        <w:numPr>
          <w:ilvl w:val="0"/>
          <w:numId w:val="2"/>
        </w:numPr>
        <w:spacing w:after="80" w:line="276"/>
      </w:pPr>
      <w:r>
        <w:t xml:space="preserve">Decide whether a targeted continuity test is warranted before go-live.</w:t>
      </w:r>
    </w:p>
    <w:p>
      <w:pPr>
        <w:pStyle w:val="Heading2"/>
        <w:spacing w:after="120" w:before="260"/>
      </w:pPr>
      <w:r>
        <w:t xml:space="preserve">Phase 5 — Audit Readiness &amp; Sign-off</w:t>
      </w:r>
    </w:p>
    <w:p>
      <w:pPr>
        <w:spacing w:after="140" w:line="276"/>
      </w:pPr>
      <w:r>
        <w:t xml:space="preserve">Objective: close the loop with evidence, not intentions.</w:t>
      </w:r>
    </w:p>
    <w:p>
      <w:pPr>
        <w:pStyle w:val="ListParagraph"/>
        <w:numPr>
          <w:ilvl w:val="0"/>
          <w:numId w:val="2"/>
        </w:numPr>
        <w:spacing w:after="80" w:line="276"/>
      </w:pPr>
      <w:r>
        <w:t xml:space="preserve">Compile an evidence register: where each control's evidence for this change lives (link documents, approvals, test results).</w:t>
      </w:r>
    </w:p>
    <w:p>
      <w:pPr>
        <w:pStyle w:val="ListParagraph"/>
        <w:numPr>
          <w:ilvl w:val="0"/>
          <w:numId w:val="2"/>
        </w:numPr>
        <w:spacing w:after="80" w:line="276"/>
      </w:pPr>
      <w:r>
        <w:t xml:space="preserve">Run an internal review of the change against the Annex A controls in Section 3.</w:t>
      </w:r>
    </w:p>
    <w:p>
      <w:pPr>
        <w:pStyle w:val="ListParagraph"/>
        <w:numPr>
          <w:ilvl w:val="0"/>
          <w:numId w:val="2"/>
        </w:numPr>
        <w:spacing w:after="80" w:line="276"/>
      </w:pPr>
      <w:r>
        <w:t xml:space="preserve">Obtain formal go-live approval from the Head of IT Services &amp; Enterprise Architecture.</w:t>
      </w:r>
    </w:p>
    <w:p>
      <w:pPr>
        <w:pStyle w:val="Heading1"/>
        <w:spacing w:after="160" w:before="360"/>
      </w:pPr>
      <w:r>
        <w:t xml:space="preserve">7. Staying Compliant Going Forward</w:t>
      </w:r>
    </w:p>
    <w:p>
      <w:pPr>
        <w:spacing w:after="140" w:line="276"/>
      </w:pPr>
      <w:r>
        <w:t xml:space="preserve">Closing the gap for this one module is necessary but not sufficient — without a standing process, the same gap reopens on the next module. To prevent that:</w:t>
      </w:r>
    </w:p>
    <w:p>
      <w:pPr>
        <w:pStyle w:val="ListParagraph"/>
        <w:numPr>
          <w:ilvl w:val="0"/>
          <w:numId w:val="2"/>
        </w:numPr>
        <w:spacing w:after="80" w:line="276"/>
      </w:pPr>
      <w:r>
        <w:rPr>
          <w:b/>
          <w:bCs/>
        </w:rPr>
        <w:t xml:space="preserve">Adopt one change-management procedure for all in-house BIS applications </w:t>
      </w:r>
      <w:r>
        <w:t xml:space="preserve">(Control 8.32), independent of which system is changing. Every production change — however small — gets a change record: what, why, risk, test evidence, approver, rollback.</w:t>
      </w:r>
    </w:p>
    <w:p>
      <w:pPr>
        <w:pStyle w:val="ListParagraph"/>
        <w:numPr>
          <w:ilvl w:val="0"/>
          <w:numId w:val="2"/>
        </w:numPr>
        <w:spacing w:after="80" w:line="276"/>
      </w:pPr>
      <w:r>
        <w:rPr>
          <w:b/>
          <w:bCs/>
        </w:rPr>
        <w:t xml:space="preserve">Adopt one secure-SDLC baseline </w:t>
      </w:r>
      <w:r>
        <w:t xml:space="preserve">(Control 8.25) that defines, at minimum: security requirements before coding, environment separation, a testing gate (including security testing) before promotion, and a documented approval before release.</w:t>
      </w:r>
    </w:p>
    <w:p>
      <w:pPr>
        <w:pStyle w:val="ListParagraph"/>
        <w:numPr>
          <w:ilvl w:val="0"/>
          <w:numId w:val="2"/>
        </w:numPr>
        <w:spacing w:after="80" w:line="276"/>
      </w:pPr>
      <w:r>
        <w:rPr>
          <w:b/>
          <w:bCs/>
        </w:rPr>
        <w:t xml:space="preserve">Keep documentation living, not archival. </w:t>
      </w:r>
      <w:r>
        <w:t xml:space="preserve">Each repository's docs/ folder should hold the controlled versions — business case, SRS, test plan, rollback plan — each with a version number, date, author and approver, updated at every material change rather than left to go stale (as happened to The Circle's SRS).</w:t>
      </w:r>
    </w:p>
    <w:p>
      <w:pPr>
        <w:pStyle w:val="ListParagraph"/>
        <w:numPr>
          <w:ilvl w:val="0"/>
          <w:numId w:val="2"/>
        </w:numPr>
        <w:spacing w:after="80" w:line="276"/>
      </w:pPr>
      <w:r>
        <w:rPr>
          <w:b/>
          <w:bCs/>
        </w:rPr>
        <w:t xml:space="preserve">Review before every audit cycle, </w:t>
      </w:r>
      <w:r>
        <w:t xml:space="preserve">not only when a new module ships: a short internal check of the SoA against what's actually documented and evidenced for each in-scope system.</w:t>
      </w:r>
    </w:p>
    <w:p>
      <w:pPr>
        <w:pStyle w:val="ListParagraph"/>
        <w:numPr>
          <w:ilvl w:val="0"/>
          <w:numId w:val="2"/>
        </w:numPr>
        <w:spacing w:after="80" w:line="276"/>
      </w:pPr>
      <w:r>
        <w:rPr>
          <w:b/>
          <w:bCs/>
        </w:rPr>
        <w:t xml:space="preserve">Treat GitHub as the evidence trail. </w:t>
      </w:r>
      <w:r>
        <w:t xml:space="preserve">Link change requests, risk assessments, sign-offs and test evidence into the issues/PRs for each change, so the audit trail is where the engineering work already happens rather than a separate paper exercise.</w:t>
      </w:r>
    </w:p>
    <w:p>
      <w:pPr>
        <w:pStyle w:val="Heading1"/>
        <w:spacing w:after="160" w:before="360"/>
      </w:pPr>
      <w:r>
        <w:t xml:space="preserve">8. Immediate Next Steps</w:t>
      </w:r>
    </w:p>
    <w:p>
      <w:pPr>
        <w:pStyle w:val="ListParagraph"/>
        <w:numPr>
          <w:ilvl w:val="0"/>
          <w:numId w:val="3"/>
        </w:numPr>
        <w:spacing w:after="100" w:line="276"/>
      </w:pPr>
      <w:r>
        <w:t xml:space="preserve">Review the control mapping in Sections 3–4 against RTG's current Statement of Applicability, and flag anything marked "not applicable" that should now be reconsidered.</w:t>
      </w:r>
    </w:p>
    <w:p>
      <w:pPr>
        <w:pStyle w:val="ListParagraph"/>
        <w:numPr>
          <w:ilvl w:val="0"/>
          <w:numId w:val="3"/>
        </w:numPr>
        <w:spacing w:after="100" w:line="276"/>
      </w:pPr>
      <w:r>
        <w:t xml:space="preserve">Confirm with the Head of IT Services &amp; Enterprise Architecture whether an organisation-wide change-management/secure-SDLC procedure already exists that this work should reference (rather than creating a competing one).</w:t>
      </w:r>
    </w:p>
    <w:p>
      <w:pPr>
        <w:pStyle w:val="ListParagraph"/>
        <w:numPr>
          <w:ilvl w:val="0"/>
          <w:numId w:val="3"/>
        </w:numPr>
        <w:spacing w:after="100" w:line="276"/>
      </w:pPr>
      <w:r>
        <w:t xml:space="preserve">Work Phase 1 for both systems in parallel — it unblocks everything else.</w:t>
      </w:r>
    </w:p>
    <w:p>
      <w:pPr>
        <w:pStyle w:val="ListParagraph"/>
        <w:numPr>
          <w:ilvl w:val="0"/>
          <w:numId w:val="3"/>
        </w:numPr>
        <w:spacing w:after="100" w:line="276"/>
      </w:pPr>
      <w:r>
        <w:t xml:space="preserve">Track progress using the GitHub milestones and issues created in BIS2RTG/HRIMS and BIS2RTG/the_circle (see the accompanying script).</w:t>
      </w:r>
    </w:p>
    <w:p>
      <w:pPr>
        <w:pStyle w:val="ListParagraph"/>
        <w:numPr>
          <w:ilvl w:val="0"/>
          <w:numId w:val="3"/>
        </w:numPr>
        <w:spacing w:after="100" w:line="276"/>
      </w:pPr>
      <w:r>
        <w:t xml:space="preserve">Before go-live of the new module, complete the Phase 5 evidence register and obtain sign-off.</w:t>
      </w:r>
    </w:p>
    <w:p>
      <w:pPr>
        <w:spacing w:after="140" w:line="276"/>
      </w:pPr>
      <w:r>
        <w:t xml:space="preserve"/>
      </w:r>
    </w:p>
    <w:p>
      <w:pPr>
        <w:pBdr>
          <w:bottom w:val="single" w:color="AAAAAA" w:sz="6" w:space="1"/>
        </w:pBdr>
        <w:spacing w:after="200"/>
      </w:pPr>
    </w:p>
    <w:p>
      <w:pPr>
        <w:spacing w:after="140" w:line="276"/>
      </w:pPr>
      <w:r>
        <w:rPr>
          <w:b/>
          <w:bCs/>
          <w:color w:val="666666"/>
          <w:sz w:val="18"/>
          <w:szCs w:val="18"/>
        </w:rPr>
        <w:t xml:space="preserve">Note: </w:t>
      </w:r>
      <w:r>
        <w:rPr>
          <w:i/>
          <w:iCs/>
          <w:color w:val="666666"/>
          <w:sz w:val="18"/>
          <w:szCs w:val="18"/>
        </w:rPr>
        <w:t xml:space="preserve">This document is a practical compliance guide based on ISO/IEC 27001:2022 and ISO 22301:2019 as generally published, and on the documentation you described for these two systems. It is not legal advice; confirm control applicability against RTG's own Statement of Applicability and BCMS scope statement, and involve your ISMS/BCMS owner or a qualified auditor for anything you're unsure about.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RTG — BIS Department | ISO Compliance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2026-09-10T08:36:35.353Z</dcterms:created>
  <dcterms:modified xsi:type="dcterms:W3CDTF">2026-09-10T08:36:35.373Z</dcterms:modified>
</cp:coreProperties>
</file>

<file path=docProps/custom.xml><?xml version="1.0" encoding="utf-8"?>
<Properties xmlns="http://schemas.openxmlformats.org/officeDocument/2006/custom-properties" xmlns:vt="http://schemas.openxmlformats.org/officeDocument/2006/docPropsVTypes"/>
</file>