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Executive Summary</w:t>
      </w:r>
    </w:p>
    <w:p>
      <w:pPr>
        <w:spacing w:after="300"/>
      </w:pPr>
      <w:r>
        <w:rPr>
          <w:i/>
          <w:iCs/>
          <w:color w:val="555555"/>
        </w:rPr>
        <w:t xml:space="preserve">MBA ZG583 — Management of AI Products — Capstone Assignment | Student: Bhandare Kiran Arun Madhuri | Roll No: 2024BC26620</w:t>
      </w:r>
    </w:p>
    <w:p>
      <w:pPr>
        <w:pBdr>
          <w:bottom w:val="single" w:color="999999" w:sz="6" w:space="1"/>
        </w:pBdr>
        <w:spacing w:after="200"/>
      </w:pPr>
    </w:p>
    <w:p>
      <w:pPr>
        <w:pStyle w:val="Heading1"/>
        <w:spacing w:after="120" w:before="300"/>
      </w:pPr>
      <w:r>
        <w:t xml:space="preserve">Problem</w:t>
      </w:r>
    </w:p>
    <w:p>
      <w:pPr>
        <w:spacing w:after="160"/>
      </w:pPr>
      <w:r>
        <w:t xml:space="preserve">IT infrastructure and security teams manually gather audit evidence — patch logs, access-control records, backup logs, and configuration baselines — across disconnected systems (ticketing tools, cloud consoles, IAM systems, monitoring dashboards) to satisfy compliance audits such as ISO 27001, SOC 2, and internal governance reviews. Today this is slow, inconsistent across reviewers, and a common source of audit findings and re-work.</w:t>
      </w:r>
    </w:p>
    <w:p>
      <w:pPr>
        <w:pStyle w:val="Heading1"/>
        <w:spacing w:after="120" w:before="300"/>
      </w:pPr>
      <w:r>
        <w:t xml:space="preserve">Target User / Customer</w:t>
      </w:r>
    </w:p>
    <w:p>
      <w:pPr>
        <w:spacing w:after="160"/>
      </w:pPr>
      <w:r>
        <w:t xml:space="preserve">Primary: IT Infrastructure Managers and GRC/compliance analysts who own audit preparation. Secondary: internal and external auditors who review the evidence that is submitted.</w:t>
      </w:r>
    </w:p>
    <w:p>
      <w:pPr>
        <w:pStyle w:val="Heading1"/>
        <w:spacing w:after="120" w:before="300"/>
      </w:pPr>
      <w:r>
        <w:t xml:space="preserve">Product Concept</w:t>
      </w:r>
    </w:p>
    <w:p>
      <w:pPr>
        <w:spacing w:after="160"/>
      </w:pPr>
      <w:r>
        <w:t xml:space="preserve">AI Compliance Evidence Collector — an AI-powered copilot that ingests a framework's control requirements (e.g., ISO 27001 Annex A), maps them to existing evidence sources, flags gaps automatically, and drafts plain-language evidence summaries for auditor review. It turns weeks of manual evidence-chasing into a guided, continuously-updated checklist.</w:t>
      </w:r>
    </w:p>
    <w:p>
      <w:pPr>
        <w:pStyle w:val="Heading1"/>
        <w:spacing w:after="120" w:before="300"/>
      </w:pPr>
      <w:r>
        <w:t xml:space="preserve">Why AI?</w:t>
      </w:r>
    </w:p>
    <w:p>
      <w:pPr>
        <w:spacing w:after="160"/>
      </w:pPr>
      <w:r>
        <w:t xml:space="preserve">Control-to-evidence mapping is not a fixed lookup. Evidence formats vary by system, control wording varies by framework, and judging whether a given artifact satisfies a control requires reading and reasoning over unstructured text (configuration exports, log excerpts, policy documents). A static checklist or keyword rule cannot handle that variability reliably. A language-model-based approach can read an evidence artifact, compare it against the intent of a control, and explain in plain language why it matches or falls short — while every AI-generated match or gap flag still requires human sign-off before it is used in an actual audit submission.</w:t>
      </w:r>
    </w:p>
    <w:p>
      <w:pPr>
        <w:pStyle w:val="Heading1"/>
        <w:spacing w:after="120" w:before="300"/>
      </w:pPr>
      <w:r>
        <w:t xml:space="preserve">Recommendation</w:t>
      </w:r>
    </w:p>
    <w:p>
      <w:pPr>
        <w:spacing w:after="160"/>
      </w:pPr>
      <w:r>
        <w:t xml:space="preserve">Prototype. Build a narrow MVP against one framework (ISO 27001 Annex A, a representative subset of controls) using a small evidence set, to prove that the matching and gap-flagging logic is accurate and explainable enough to trust, before proposing a pilot with real audit data from a live audit cycle.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2026-08-18T15:56:27.530Z</dcterms:created>
  <dcterms:modified xsi:type="dcterms:W3CDTF">2026-08-18T15:56:27.553Z</dcterms:modified>
</cp:coreProperties>
</file>

<file path=docProps/custom.xml><?xml version="1.0" encoding="utf-8"?>
<Properties xmlns="http://schemas.openxmlformats.org/officeDocument/2006/custom-properties" xmlns:vt="http://schemas.openxmlformats.org/officeDocument/2006/docPropsVTypes"/>
</file>