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Problem Statement</w:t>
      </w:r>
    </w:p>
    <w:p>
      <w:pPr>
        <w:spacing w:after="300"/>
      </w:pPr>
      <w:r>
        <w:rPr>
          <w:i/>
          <w:iCs/>
          <w:color w:val="555555"/>
        </w:rPr>
        <w:t xml:space="preserve">MBA ZG583 — Management of AI Products — Capstone Assignment | Student: Bhandare Kiran Arun Madhuri | Roll No: 2024BC26620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20" w:before="300"/>
      </w:pPr>
      <w:r>
        <w:t xml:space="preserve">Context</w:t>
      </w:r>
    </w:p>
    <w:p>
      <w:pPr>
        <w:spacing w:after="160"/>
      </w:pPr>
      <w:r>
        <w:t xml:space="preserve">Every organization operating IT infrastructure at scale is subject to periodic compliance audits — ISO 27001 certification/surveillance audits, SOC 2 Type II reports, and internally-mandated governance reviews. Each audit cycle requires the IT/security team to demonstrate, control by control, that required safeguards are actually in place and operating: patching cadence, access reviews, backup verification, change management records, and configuration baselines, among others.</w:t>
      </w:r>
    </w:p>
    <w:p>
      <w:pPr>
        <w:pStyle w:val="Heading1"/>
        <w:spacing w:after="120" w:before="300"/>
      </w:pPr>
      <w:r>
        <w:t xml:space="preserve">The Problem</w:t>
      </w:r>
    </w:p>
    <w:p>
      <w:pPr>
        <w:spacing w:after="160"/>
      </w:pPr>
      <w:r>
        <w:t xml:space="preserve">Today this evidence-gathering is a manual, repeated slog: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 lives across many disconnected systems — ticketing tools, cloud consoles, IAM platforms, monitoring dashboards, spreadsheets.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There is no single map from "control requirement" to "where the matching evidence lives." Each cycle, someone re-derives this mapping from memory or from the last audit's notes.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 formats are inconsistent (screenshots, CSV exports, PDF reports, raw logs), so a reviewer must manually judge whether an artifact actually satisfies a control's intent.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process is done under time pressure right before the audit window, increasing the chance of missing or mismatched evidence.</w:t>
      </w:r>
    </w:p>
    <w:p>
      <w:pPr>
        <w:pStyle w:val="Heading1"/>
        <w:spacing w:after="120" w:before="300"/>
      </w:pPr>
      <w:r>
        <w:t xml:space="preserve">Business Impact</w:t>
      </w:r>
    </w:p>
    <w:p>
      <w:pPr>
        <w:spacing w:after="160"/>
      </w:pPr>
      <w:r>
        <w:t xml:space="preserve">Missing or mismatched evidence is one of the most common causes of audit findings and follow-up remediation cycles. Each finding costs additional analyst time, delays certification, and creates reputational/customer-trust risk (SOC 2 reports and ISO certificates are frequently shared with enterprise customers as a precondition of doing business). The current process also does not scale: as more frameworks and more systems are added, the manual mapping effort grows roughly linearly with headcount that most infra teams do not have.</w:t>
      </w:r>
    </w:p>
    <w:p>
      <w:pPr>
        <w:pStyle w:val="Heading1"/>
        <w:spacing w:after="120" w:before="300"/>
      </w:pPr>
      <w:r>
        <w:t xml:space="preserve">Target User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5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Infrastructure Manager / GRC analyst preparing for an audit cycle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Secondary user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Internal/external auditor reviewing submitted evidence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Frequency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Recurring — quarterly to annual audit cycles, plus continuous evidence collection for SOC 2 Type II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tools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Spreadsheets, shared drives, email threads, ad-hoc screenshots</w:t>
            </w:r>
          </w:p>
        </w:tc>
      </w:tr>
    </w:tbl>
    <w:p>
      <w:pPr>
        <w:pStyle w:val="Heading1"/>
        <w:spacing w:after="120" w:before="300"/>
      </w:pPr>
      <w:r>
        <w:t xml:space="preserve">Jobs-to-be-Done</w:t>
      </w:r>
    </w:p>
    <w:p>
      <w:pPr>
        <w:spacing w:after="160"/>
      </w:pPr>
      <w:r>
        <w:t xml:space="preserve">When I am preparing for a compliance audit cycle, I want to quickly map required controls to the evidence I already have (or identify what is missing), so that I can close evidence gaps early instead of scrambling during audit week and reduce the risk of audit findings.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2026-08-18T15:56:27.690Z</dcterms:created>
  <dcterms:modified xsi:type="dcterms:W3CDTF">2026-08-18T15:56:27.690Z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