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Product Strategy</w:t>
      </w:r>
    </w:p>
    <w:p>
      <w:pPr>
        <w:spacing w:after="300"/>
      </w:pPr>
      <w:r>
        <w:rPr>
          <w:i/>
          <w:iCs/>
          <w:color w:val="555555"/>
        </w:rPr>
        <w:t xml:space="preserve">MBA ZG583 — Management of AI Products — Capstone Assignment | Student: Bhandare Kiran Arun Madhuri | Roll No: 2024BC26620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20" w:before="300"/>
      </w:pPr>
      <w:r>
        <w:t xml:space="preserve">Product Vision</w:t>
      </w:r>
    </w:p>
    <w:p>
      <w:pPr>
        <w:spacing w:after="160"/>
      </w:pPr>
      <w:r>
        <w:t xml:space="preserve">Make every audit cycle start from a living, evidence-mapped control list instead of a blank spreadsheet — so IT teams spend their time closing real gaps, not rediscovering where evidence lives.</w:t>
      </w:r>
    </w:p>
    <w:p>
      <w:pPr>
        <w:pStyle w:val="Heading1"/>
        <w:spacing w:after="120" w:before="300"/>
      </w:pPr>
      <w:r>
        <w:t xml:space="preserve">Jobs-to-be-Done</w:t>
      </w:r>
    </w:p>
    <w:p>
      <w:pPr>
        <w:spacing w:after="160"/>
      </w:pPr>
      <w:r>
        <w:t xml:space="preserve">When I am preparing for a compliance audit cycle, I want to map required controls to the evidence I already have (or identify what is missing), so that I can close evidence gaps early instead of scrambling during audit week.</w:t>
      </w:r>
    </w:p>
    <w:p>
      <w:pPr>
        <w:pStyle w:val="Heading1"/>
        <w:spacing w:after="120" w:before="300"/>
      </w:pPr>
      <w:r>
        <w:t xml:space="preserve">Opportunity Framing</w:t>
      </w:r>
    </w:p>
    <w:p>
      <w:pPr>
        <w:pStyle w:val="Heading2"/>
        <w:spacing w:after="100" w:before="200"/>
      </w:pPr>
      <w:r>
        <w:t xml:space="preserve">Why this problem matters</w:t>
      </w:r>
    </w:p>
    <w:p>
      <w:pPr>
        <w:spacing w:after="160"/>
      </w:pPr>
      <w:r>
        <w:t xml:space="preserve">Audit findings caused by missing/mismatched evidence delay certifications that enterprise customers require as a condition of doing business, and consume scarce infra-team time during already-busy audit windows.</w:t>
      </w:r>
    </w:p>
    <w:p>
      <w:pPr>
        <w:pStyle w:val="Heading2"/>
        <w:spacing w:after="100" w:before="200"/>
      </w:pPr>
      <w:r>
        <w:t xml:space="preserve">Why current alternatives are weak</w:t>
      </w:r>
    </w:p>
    <w:p>
      <w:pPr>
        <w:spacing w:after="160"/>
      </w:pPr>
      <w:r>
        <w:t xml:space="preserve">Spreadsheet-based tracking requires someone to manually maintain the control-to-evidence mapping and re-verify it every cycle; generic GRC platforms (e.g., Vanta, Drata) automate some evidence collection for cloud-native SaaS controls but are expensive, heavyweight to roll out, and still weak at judging whether unstructured evidence (policy text, exported logs) actually satisfies a control's intent.</w:t>
      </w:r>
    </w:p>
    <w:p>
      <w:pPr>
        <w:pStyle w:val="Heading2"/>
        <w:spacing w:after="100" w:before="200"/>
      </w:pPr>
      <w:r>
        <w:t xml:space="preserve">Why AI may help</w:t>
      </w:r>
    </w:p>
    <w:p>
      <w:pPr>
        <w:spacing w:after="160"/>
      </w:pPr>
      <w:r>
        <w:t xml:space="preserve">Matching control intent to unstructured evidence is a reading-comprehension and reasoning task, not a lookup — exactly where language models add value over rule engines, provided the output stays advisory and human-reviewed.</w:t>
      </w:r>
    </w:p>
    <w:p>
      <w:pPr>
        <w:pStyle w:val="Heading1"/>
        <w:spacing w:after="120" w:before="300"/>
      </w:pPr>
      <w:r>
        <w:t xml:space="preserve">Opportunity Matrix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2000"/>
        <w:gridCol w:w="2100"/>
      </w:tblGrid>
      <w:tr>
        <w:trPr>
          <w:tblHeader/>
        </w:trPr>
        <w:tc>
          <w:tcPr>
            <w:tcW w:type="dxa" w:w="32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Idea</w:t>
            </w:r>
          </w:p>
        </w:tc>
        <w:tc>
          <w:tcPr>
            <w:tcW w:type="dxa" w:w="22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Business Value</w:t>
            </w:r>
          </w:p>
        </w:tc>
        <w:tc>
          <w:tcPr>
            <w:tcW w:type="dxa" w:w="20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Feasibility</w:t>
            </w:r>
          </w:p>
        </w:tc>
        <w:tc>
          <w:tcPr>
            <w:tcW w:type="dxa" w:w="21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Control-to-evidence matching (core)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Gap flagging + summary drafting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Multi-framework support (SOC2, ISO, internal)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Auditor-facing review portal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 (later)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</w:tr>
    </w:tbl>
    <w:p>
      <w:pPr>
        <w:pStyle w:val="Heading1"/>
        <w:spacing w:after="120" w:before="300"/>
      </w:pPr>
      <w:r>
        <w:t xml:space="preserve">Build vs Buy vs Partner/API</w:t>
      </w:r>
    </w:p>
    <w:p>
      <w:pPr>
        <w:spacing w:after="160"/>
      </w:pPr>
      <w:r>
        <w:t xml:space="preserve">Recommended path: Build a thin product layer on top of a hosted LLM API (buy the model capability, build the workflow/UX and evidence-handling logic).</w:t>
      </w:r>
    </w:p>
    <w:p>
      <w:pPr>
        <w:spacing w:after="160"/>
      </w:pPr>
      <w:r>
        <w:t xml:space="preserve">Why: The differentiated value is in the workflow (control taxonomy, evidence handling, human-review loop, auditability), not in training a foundation model. Building the full model stack would be slow and unnecessary.</w:t>
      </w:r>
    </w:p>
    <w:p>
      <w:pPr>
        <w:spacing w:after="160"/>
      </w:pPr>
      <w:r>
        <w:t xml:space="preserve">Main trade-offs: Dependence on a third-party model API introduces data-residency and vendor-risk questions for sensitive security evidence — mitigated by processing evidence through an enterprise-grade API with a data-processing agreement, and by keeping raw sensitive artifacts out of prompts where possible (using redacted excerpts or metadata).</w:t>
      </w:r>
    </w:p>
    <w:p>
      <w:pPr>
        <w:pStyle w:val="Heading1"/>
        <w:spacing w:after="120" w:before="300"/>
      </w:pPr>
      <w:r>
        <w:t xml:space="preserve">First Wedge</w:t>
      </w:r>
    </w:p>
    <w:p>
      <w:pPr>
        <w:spacing w:after="160"/>
      </w:pPr>
      <w:r>
        <w:t xml:space="preserve">Start narrow: one framework (ISO 27001 Annex A), one evidence type (access-control exports and patch-management logs), for a single team's audit prep — prove the matching/gap-flagging loop is trustworthy before expanding to more frameworks and evidence types.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2026-08-18T15:57:25.926Z</dcterms:created>
  <dcterms:modified xsi:type="dcterms:W3CDTF">2026-08-18T15:57:25.926Z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