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AI Intelligence Layer — Data, Model, and Evaluation Strategy</w:t>
      </w:r>
    </w:p>
    <w:p>
      <w:pPr>
        <w:spacing w:after="300"/>
      </w:pPr>
      <w:r>
        <w:rPr>
          <w:i/>
          <w:iCs/>
          <w:color w:val="555555"/>
        </w:rPr>
        <w:t xml:space="preserve">MBA ZG583 — Management of AI Products — Capstone Assignment | Student: Bhandare Kiran Arun Madhuri | Roll No: 2024BC26620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300"/>
      </w:pPr>
      <w:r>
        <w:t xml:space="preserve">Problem Translated into an AI/ML Task</w:t>
      </w:r>
    </w:p>
    <w:p>
      <w:pPr>
        <w:spacing w:after="160"/>
      </w:pPr>
      <w:r>
        <w:t xml:space="preserve">Given (a) a control description from a compliance framework and (b) a set of candidate evidence artifacts, produce: a ranked list of the most likely matching artifacts, a confidence score per match, and a plain-language rationale. This is framed as a retrieval + classification task: retrieve candidate evidence via semantic similarity, then classify each candidate as sufficient / partial / insufficient evidence for the control, with an LLM generating the rationale.</w:t>
      </w:r>
    </w:p>
    <w:p>
      <w:pPr>
        <w:pStyle w:val="Heading1"/>
        <w:spacing w:after="120" w:before="300"/>
      </w:pPr>
      <w:r>
        <w:t xml:space="preserve">Data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text: published framework documents (e.g., ISO 27001 Annex A control descriptions) — public, structured.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artifacts: internal IT/security exports — access logs, patch reports, backup logs, configuration baselines, policy documents. Sensitive; access-restricted.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the MVP/prototype: a small synthetic evidence set built to mirror real artifact types, so the demo does not expose actual organizational data.</w:t>
      </w:r>
    </w:p>
    <w:p>
      <w:pPr>
        <w:pStyle w:val="Heading1"/>
        <w:spacing w:after="120" w:before="300"/>
      </w:pPr>
      <w:r>
        <w:t xml:space="preserve">Model Approach</w:t>
      </w:r>
    </w:p>
    <w:p>
      <w:pPr>
        <w:spacing w:after="160"/>
      </w:pPr>
      <w:r>
        <w:t xml:space="preserve">Retrieval: embed control text and evidence text/metadata; use vector similarity to shortlist candidate evidence per control.</w:t>
      </w:r>
    </w:p>
    <w:p>
      <w:pPr>
        <w:spacing w:after="160"/>
      </w:pPr>
      <w:r>
        <w:t xml:space="preserve">Classification + rationale: pass the control text and shortlisted evidence excerpt to an LLM with a structured prompt asking it to output a match label (sufficient / partial / insufficient), a confidence score, and a one-paragraph rationale citing the specific evidence content used.</w:t>
      </w:r>
    </w:p>
    <w:p>
      <w:pPr>
        <w:spacing w:after="160"/>
      </w:pPr>
      <w:r>
        <w:t xml:space="preserve">This two-stage design (retrieval, then LLM judgment) keeps the expensive/slow LLM call limited to a small shortlist rather than every control-evidence pair, which matters for cost and latency at scale.</w:t>
      </w:r>
    </w:p>
    <w:p>
      <w:pPr>
        <w:pStyle w:val="Heading1"/>
        <w:spacing w:after="120" w:before="300"/>
      </w:pPr>
      <w:r>
        <w:t xml:space="preserve">Evaluation Strategy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700"/>
      </w:tblGrid>
      <w:tr>
        <w:trPr>
          <w:tblHeader/>
        </w:trP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 for MVP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 precision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 the matches the AI labels "sufficient," how many a human reviewer agrees with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and review manually; no numeric MVP target yet — human-labeled small test set only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recall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 the controls a human would flag as gapped, how many the AI also flags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Bias toward catching more potential gaps (favor recall over precision for the gap-flagging path)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Rationale usefulness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Reviewer rating of whether the generated rationale was clear and checkable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Qualitative review with a handful of test cases for the prototype stage</w:t>
            </w:r>
          </w:p>
        </w:tc>
      </w:tr>
    </w:tbl>
    <w:p>
      <w:pPr>
        <w:pStyle w:val="Heading1"/>
        <w:spacing w:after="120" w:before="300"/>
      </w:pPr>
      <w:r>
        <w:t xml:space="preserve">Confidence &amp; Uncertainty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confidence + human-approved pattern: still surfaced for review, never silently auto-approved, given audit-grade stakes.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confidence: routed to "needs human review" queue with the rationale shown, not hidden.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candidate evidence found: labeled "gap — no evidence located," prompting the user to add evidence manually.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2026-08-18T15:58:11.639Z</dcterms:created>
  <dcterms:modified xsi:type="dcterms:W3CDTF">2026-08-18T15:58:11.640Z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