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MVP, Roadmap, and Success Metrics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MVP Definition</w:t>
      </w:r>
    </w:p>
    <w:p>
      <w:pPr>
        <w:spacing w:after="160"/>
      </w:pPr>
      <w:r>
        <w:t xml:space="preserve">A working prototype that: (1) ingests a fixed control list for ISO 27001 Annex A, (2) ingests a small sample evidence set, (3) produces a control-to-evidence match table with confidence scores and rationale text, and (4) lets a reviewer accept/reject each match. This is the minimum version that proves the core value — faster, more consistent evidence triage — without needing live system integrations.</w:t>
      </w:r>
    </w:p>
    <w:p>
      <w:pPr>
        <w:pStyle w:val="Heading1"/>
        <w:spacing w:after="120" w:before="300"/>
      </w:pPr>
      <w:r>
        <w:t xml:space="preserve">Feature Prioritization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300"/>
        <w:gridCol w:w="1500"/>
        <w:gridCol w:w="1300"/>
      </w:tblGrid>
      <w:tr>
        <w:trPr>
          <w:tblHeader/>
        </w:trP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Value</w:t>
            </w:r>
          </w:p>
        </w:tc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Control-evidence matching engine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scoring + rationale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accept/reject UI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queue with owner assignment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Multi-framework support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system integrations (IAM, cloud console pulls)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120" w:before="300"/>
      </w:pPr>
      <w:r>
        <w:t xml:space="preserve">Roadmap</w:t>
      </w:r>
    </w:p>
    <w:p>
      <w:pPr>
        <w:pStyle w:val="Heading2"/>
        <w:spacing w:after="100" w:before="200"/>
      </w:pPr>
      <w:r>
        <w:t xml:space="preserve">Phase 1 — Prototype (this capstone)</w:t>
      </w:r>
    </w:p>
    <w:p>
      <w:pPr>
        <w:spacing w:after="160"/>
      </w:pPr>
      <w:r>
        <w:t xml:space="preserve">Single framework, synthetic evidence set, core matching + review loop, run locally/as a script or simple UI.</w:t>
      </w:r>
    </w:p>
    <w:p>
      <w:pPr>
        <w:pStyle w:val="Heading2"/>
        <w:spacing w:after="100" w:before="200"/>
      </w:pPr>
      <w:r>
        <w:t xml:space="preserve">Phase 2 — Pilot</w:t>
      </w:r>
    </w:p>
    <w:p>
      <w:pPr>
        <w:spacing w:after="160"/>
      </w:pPr>
      <w:r>
        <w:t xml:space="preserve">Run against one real audit cycle for one team, with real (access-controlled) evidence, human review on every output, measure time saved vs. the prior manual process.</w:t>
      </w:r>
    </w:p>
    <w:p>
      <w:pPr>
        <w:pStyle w:val="Heading2"/>
        <w:spacing w:after="100" w:before="200"/>
      </w:pPr>
      <w:r>
        <w:t xml:space="preserve">Phase 3 — Scale</w:t>
      </w:r>
    </w:p>
    <w:p>
      <w:pPr>
        <w:spacing w:after="160"/>
      </w:pPr>
      <w:r>
        <w:t xml:space="preserve">Add additional frameworks (SOC 2, internal governance policies), add live system connectors so evidence does not need manual upload, and add an auditor-facing review portal.</w:t>
      </w:r>
    </w:p>
    <w:p>
      <w:pPr>
        <w:pStyle w:val="Heading1"/>
        <w:spacing w:after="120" w:before="300"/>
      </w:pPr>
      <w:r>
        <w:t xml:space="preserve">Success Metrics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metric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first complete control-to-evidence mapping per audit cycle (target: reduce from days to hours)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metric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audit findings attributable to missing/mismatched evidence (target: reduction cycle over cycle)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/ guardrail metric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override rate on AI suggestions (tracked, not minimized to zero — a healthy override rate signals reviewers are actually scrutinizing, not rubber-stamping)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2026-08-18T15:58:55.310Z</dcterms:created>
  <dcterms:modified xsi:type="dcterms:W3CDTF">2026-08-18T15:58:55.311Z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