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Business, Economics, and Scaling View</w:t>
      </w:r>
    </w:p>
    <w:p>
      <w:pPr>
        <w:spacing w:after="300"/>
      </w:pPr>
      <w:r>
        <w:rPr>
          <w:i/>
          <w:iCs/>
          <w:color w:val="555555"/>
        </w:rPr>
        <w:t xml:space="preserve">MBA ZG583 — Management of AI Products — Capstone Assignment | Student: Bhandare Kiran Arun Madhuri | Roll No: 2024BC26620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20" w:before="300"/>
      </w:pPr>
      <w:r>
        <w:t xml:space="preserve">Value Case</w:t>
      </w:r>
    </w:p>
    <w:p>
      <w:pPr>
        <w:spacing w:after="160"/>
      </w:pPr>
      <w:r>
        <w:t xml:space="preserve">For a mid-size IT organization running one to three audit cycles a year across a few dozen controls each, manual evidence gathering commonly consumes tens of analyst-hours per cycle. Even a partial reduction in that time — by pre-mapping the majority of "easy" controls automatically and directing human attention only to genuine gaps — frees analyst time for higher-judgment work and shortens the audit-readiness window.</w:t>
      </w:r>
    </w:p>
    <w:p>
      <w:pPr>
        <w:pStyle w:val="Heading1"/>
        <w:spacing w:after="120" w:before="300"/>
      </w:pPr>
      <w:r>
        <w:t xml:space="preserve">Cost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LLM/embedding API usage cost — scales with number of controls × candidate evidence documents processed per cycle; kept low by the two-stage retrieval-then-LLM design (Section 05) that limits expensive calls to a shortlist.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Engineering/product time to build and maintain the matching workflow and integrations.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time — human reviewers still spend time per control, but on judgment (verifying a suggested match) rather than search (finding the evidence at all).</w:t>
      </w:r>
    </w:p>
    <w:p>
      <w:pPr>
        <w:pStyle w:val="Heading1"/>
        <w:spacing w:after="120" w:before="300"/>
      </w:pPr>
      <w:r>
        <w:t xml:space="preserve">Unit Economics (illustrative, MVP scale)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700"/>
      </w:tblGrid>
      <w:tr>
        <w:trPr>
          <w:tblHeader/>
        </w:trPr>
        <w:tc>
          <w:tcPr>
            <w:tcW w:type="dxa" w:w="5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7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Controls per framework (e.g., ISO 27001 Annex A)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~93 controls</w:t>
            </w:r>
          </w:p>
        </w:tc>
      </w:tr>
      <w:tr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evidence docs shortlisted per control (avg.)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3–5</w:t>
            </w:r>
          </w:p>
        </w:tc>
      </w:tr>
      <w:tr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calls per audit cycle (approx.)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~300–500 calls</w:t>
            </w:r>
          </w:p>
        </w:tc>
      </w:tr>
      <w:tr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cost driver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API usage (small relative to analyst-hours saved at this scale)</w:t>
            </w:r>
          </w:p>
        </w:tc>
      </w:tr>
    </w:tbl>
    <w:p>
      <w:pPr>
        <w:pStyle w:val="Heading1"/>
        <w:spacing w:after="120" w:before="300"/>
      </w:pPr>
      <w:r>
        <w:t xml:space="preserve">Build vs Buy Economics</w:t>
      </w:r>
    </w:p>
    <w:p>
      <w:pPr>
        <w:spacing w:after="160"/>
      </w:pPr>
      <w:r>
        <w:t xml:space="preserve">Building on top of a hosted LLM API keeps upfront cost low and avoids the cost/complexity of training or hosting a custom model — appropriate given the differentiated value sits in workflow design and evidence handling, not model research.</w:t>
      </w:r>
    </w:p>
    <w:p>
      <w:pPr>
        <w:pStyle w:val="Heading1"/>
        <w:spacing w:after="120" w:before="300"/>
      </w:pPr>
      <w:r>
        <w:t xml:space="preserve">Scaling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Adding frameworks (SOC 2, internal policies) mostly adds new control lists, not new architecture — the matching engine is framework-agnostic by design.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Adding live system connectors (pulling evidence directly from IAM/cloud consoles) removes manual upload friction but adds integration and access-control engineering cost — appropriately sequenced to Phase 3 after the core loop is validated.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evidence volume grows, retrieval (the first stage) needs to remain fast and cheap; this is a solved problem with standard vector-search approaches at this scale.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2026-08-18T15:58:55.386Z</dcterms:created>
  <dcterms:modified xsi:type="dcterms:W3CDTF">2026-08-18T15:58:55.386Z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