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Ethics, Governance, and Risk Note</w:t>
      </w:r>
    </w:p>
    <w:p>
      <w:pPr>
        <w:spacing w:after="300"/>
      </w:pPr>
      <w:r>
        <w:rPr>
          <w:i/>
          <w:iCs/>
          <w:color w:val="555555"/>
        </w:rPr>
        <w:t xml:space="preserve">MBA ZG583 — Management of AI Products — Capstone Assignment | Student: Bhandare Kiran Arun Madhuri | Roll No: 2024BC26620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20" w:before="300"/>
      </w:pPr>
      <w:r>
        <w:t xml:space="preserve">Key Risks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00"/>
      </w:tblGrid>
      <w:tr>
        <w:trPr>
          <w:tblHeader/>
        </w:trPr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3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 sufficiency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marks evidence as satisfying a control when it does not, creating a false sense of audit readiness.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"sufficient" label still requires human accept before status changes; rationale is always shown for verification.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Missed evidence (false gap)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fails to find evidence that actually exists, in an unfamiliar format.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"mark as matched" override always available; gap queue is reviewed by a human, not auto-closed.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Reviewer over-trust / automation bias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Reviewers rubber-stamp AI suggestions without real scrutiny — a known failure mode in manual audits already.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and periodically review override rates; surface rationale prominently rather than a bare accept button; treat a near-zero override rate as a warning sign, not a success metric.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Sensitive data exposure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 artifacts (configs, access logs) are sensitive; sending them to an external LLM API creates data-handling risk.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Role-restricted access to the tool; prefer redacted excerpts/metadata over raw sensitive content in prompts where feasible; use an enterprise API with a data-processing agreement and no training on submitted data.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Model/vendor dependency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matching quality depends on a third-party LLM provider's availability and behavior.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to a manual checklist view if the AI service is unavailable (Section 03); avoid hard-coding to a single provider's API where practical.</w:t>
            </w:r>
          </w:p>
        </w:tc>
      </w:tr>
    </w:tbl>
    <w:p>
      <w:pPr>
        <w:pStyle w:val="Heading1"/>
        <w:spacing w:after="120" w:before="300"/>
      </w:pPr>
      <w:r>
        <w:t xml:space="preserve">Governance and Oversight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control's final audit-ready status is set by a named human reviewer, never by the AI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AI-suggested matches, rationales, and reviewer decisions (accept/reject/reassign) are logged, so the evidence package is itself auditable — who confirmed what, and why.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thresholds and the human-review requirement are configuration, not something a user can silently disable, to prevent well-intentioned shortcuts from becoming unsupervised submissions.</w:t>
      </w:r>
    </w:p>
    <w:p>
      <w:pPr>
        <w:pStyle w:val="Heading1"/>
        <w:spacing w:after="120" w:before="300"/>
      </w:pPr>
      <w:r>
        <w:t xml:space="preserve">Fairness / Bias Considerations</w:t>
      </w:r>
    </w:p>
    <w:p>
      <w:pPr>
        <w:spacing w:after="160"/>
      </w:pPr>
      <w:r>
        <w:t xml:space="preserve">The main fairness concern here is not demographic bias but consistency bias — the AI should apply the same matching standard to every control and every reviewer's evidence, rather than being more lenient for some systems/teams than others due to how their evidence happens to be formatted. This is checked qualitatively during evaluation (Section 05) by testing the same control against differently-formatted but equally valid evidence.</w:t>
      </w:r>
    </w:p>
    <w:p>
      <w:pPr>
        <w:pStyle w:val="Heading1"/>
        <w:spacing w:after="120" w:before="300"/>
      </w:pPr>
      <w:r>
        <w:t xml:space="preserve">What Happens When the Model Is Wrong</w:t>
      </w:r>
    </w:p>
    <w:p>
      <w:pPr>
        <w:spacing w:after="160"/>
      </w:pPr>
      <w:r>
        <w:t xml:space="preserve">A wrong "sufficient" label that a reviewer fails to catch could result in an actual audit finding — the same downside as today's manual process, not a new category of risk, provided the human-review step is not bypassed. The mitigation is procedural (mandatory review, visible rationale, logged decisions) rather than purely technical, because no matching model will be perfectly accurate.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2026-08-18T15:59:42.906Z</dcterms:created>
  <dcterms:modified xsi:type="dcterms:W3CDTF">2026-08-18T15:59:42.906Z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