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mbria" w:cs="Cambria" w:eastAsia="Cambria" w:hAnsi="Cambria"/>
          <w:b/>
          <w:bCs/>
          <w:color w:val="001C4A"/>
          <w:sz w:val="56"/>
          <w:szCs w:val="56"/>
        </w:rPr>
        <w:t xml:space="preserve">MedGuardian AI</w:t>
      </w:r>
    </w:p>
    <w:p>
      <w:pPr>
        <w:spacing w:after="80"/>
      </w:pPr>
      <w:r>
        <w:rPr>
          <w:rFonts w:ascii="Cambria" w:cs="Cambria" w:eastAsia="Cambria" w:hAnsi="Cambria"/>
          <w:color w:val="0A53BE"/>
          <w:sz w:val="34"/>
          <w:szCs w:val="34"/>
        </w:rPr>
        <w:t xml:space="preserve">MVP 1 Specification</w:t>
      </w:r>
    </w:p>
    <w:p>
      <w:pPr>
        <w:spacing w:after="160"/>
      </w:pPr>
      <w:r>
        <w:rPr>
          <w:i/>
          <w:iCs/>
          <w:color w:val="5B6B85"/>
        </w:rPr>
        <w:t xml:space="preserve">Management of AI Products (MBACC ZG583) — Phase 1 build specification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1. Purpose &amp; Scope</w:t>
      </w:r>
    </w:p>
    <w:p>
      <w:pPr>
        <w:spacing w:after="160"/>
      </w:pPr>
      <w:r>
        <w:t xml:space="preserve">This document specifies exactly what “MVP 1” means for MedGuardian AI: the version that would actually ship to a pilot clinic or PBM first. It is deliberately narrower than the full product vision described in the main product proposal — it exists so a pilot partner, a regulatory reviewer, or a course evaluator can see precisely what is being proposed for the first release, with no ambiguity about what is included and what is deferred.</w:t>
      </w:r>
    </w:p>
    <w:p>
      <w:pPr>
        <w:spacing w:after="160"/>
      </w:pPr>
      <w:r>
        <w:rPr>
          <w:b/>
          <w:bCs/>
        </w:rPr>
        <w:t xml:space="preserve">Source of truth: </w:t>
      </w:r>
      <w:r>
        <w:t xml:space="preserve">this scope is derived directly from Section 11 (Product Roadmap, Phase 1) and Section 6 (RICE Feature Prioritization, P0 items) of the MedGuardian AI Product Proposal — not invented separately from it.</w:t>
      </w:r>
    </w:p>
    <w:p>
      <w:pPr>
        <w:pStyle w:val="Heading1"/>
        <w:spacing w:after="160" w:before="320"/>
      </w:pPr>
      <w:r>
        <w:t xml:space="preserve">2. In Scope (P0)</w:t>
      </w:r>
    </w:p>
    <w:p>
      <w:pPr>
        <w:spacing w:after="160"/>
      </w:pPr>
      <w:r>
        <w:t xml:space="preserve">Every item below is marked P0 — MVP in the proposal's RICE table. Nothing else ships in this build.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Medication capture — </w:t>
      </w:r>
      <w:r>
        <w:t xml:space="preserve">Barcode/photo medication capture, matched against a real drug reference dataset rather than manual free-text entry.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Interaction engine — </w:t>
      </w:r>
      <w:r>
        <w:t xml:space="preserve">A deterministic, rules-based interaction lookup against a small reference interaction table. No machine learning, no generative AI.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Adherence check-in — </w:t>
      </w:r>
      <w:r>
        <w:t xml:space="preserve">A single, low-friction daily tap — Taken / Skipped / Remind me later.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Pharmacist review queue — </w:t>
      </w:r>
      <w:r>
        <w:t xml:space="preserve">Every moderate- or high-risk flag, and any medication the reference dataset cannot identify, is held for a pharmacist to approve or dismiss before the patient sees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Single condition — </w:t>
      </w:r>
      <w:r>
        <w:t xml:space="preserve">Type 2 diabetes with cardiometabolic comorbidities (hypertension, high cholesterol) — matches the worked example named in the proposal's own roadmap.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One language — </w:t>
      </w:r>
      <w:r>
        <w:t xml:space="preserve">English only. Multilingual support is explicitly Phase 2.</w:t>
      </w:r>
    </w:p>
    <w:p>
      <w:pPr>
        <w:pStyle w:val="Heading1"/>
        <w:spacing w:after="160" w:before="320"/>
      </w:pPr>
      <w:r>
        <w:t xml:space="preserve">3. Out of Scope — and Where It Belongs Instead</w:t>
      </w:r>
    </w:p>
    <w:p>
      <w:pPr>
        <w:spacing w:after="160"/>
      </w:pPr>
      <w:r>
        <w:t xml:space="preserve">Explicitly deferred, so nothing here is mistaken for an MVP 1 gap rather than a deliberate sequencing choice: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0A53BE" w:color="auto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00"/>
            <w:shd w:fill="0A53BE" w:color="auto" w:val="clear"/>
          </w:tcPr>
          <w:p>
            <w:r>
              <w:rPr>
                <w:b/>
                <w:bCs/>
                <w:color w:val="FFFFFF"/>
              </w:rPr>
              <w:t xml:space="preserve">Why it's excluded from MVP 1</w:t>
            </w:r>
          </w:p>
        </w:tc>
        <w:tc>
          <w:tcPr>
            <w:tcW w:type="dxa" w:w="1900"/>
            <w:shd w:fill="0A53BE" w:color="auto" w:val="clear"/>
          </w:tcPr>
          <w:p>
            <w:r>
              <w:rPr>
                <w:b/>
                <w:bCs/>
                <w:color w:val="FFFFFF"/>
              </w:rPr>
              <w:t xml:space="preserve">Where it belongs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GenAI plain-language explanations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RICE-tagged P1 — “Fast follow,” not P0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Caregiver dashboard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RICE-tagged P1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Multilingual / low-literacy UX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Explicitly Phase 2 in the roadmap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Personalized adherence-risk prediction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Needs real usage data at scale to be meaningful; not buildable pre-launch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Phase 4 (Scale)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EHR / pharmacy system integration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Long enterprise sales &amp; security-review cycle, independent of product readiness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Phase 4 (Scale)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Physician View &amp; Pharma Program Insights (specialty pharma extension)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Requires a real physician data-sharing agreement and a pharma manufacturer contract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Phase 3+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AI-generated PM/status reporting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Internal tooling, not a patient-facing product feature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Not on the product roadmap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4. User Flows</w:t>
      </w:r>
    </w:p>
    <w:p>
      <w:pPr>
        <w:pStyle w:val="Heading2"/>
        <w:spacing w:after="120" w:before="240"/>
      </w:pPr>
      <w:r>
        <w:t xml:space="preserve">4.1 Add a medication</w:t>
      </w:r>
    </w:p>
    <w:p>
      <w:pPr>
        <w:spacing w:after="160"/>
      </w:pPr>
      <w:r>
        <w:t xml:space="preserve">Patient opens Scan or Search → confirms the matched drug → system runs the interaction check against their current list → no-risk: added immediately; moderate/high risk: patient sees the plain-language reason and the item is simultaneously routed to the pharmacist queue → unmatched drug: patient is told it isn't yet in the reference set and it is routed to the pharmacist rather than silently accepted.</w:t>
      </w:r>
    </w:p>
    <w:p>
      <w:pPr>
        <w:pStyle w:val="Heading2"/>
        <w:spacing w:after="120" w:before="240"/>
      </w:pPr>
      <w:r>
        <w:t xml:space="preserve">4.2 Daily check-in</w:t>
      </w:r>
    </w:p>
    <w:p>
      <w:pPr>
        <w:spacing w:after="160"/>
      </w:pPr>
      <w:r>
        <w:t xml:space="preserve">Patient taps Taken, Skipped, or Remind me later once per day. No form, no LLM call — a single state write.</w:t>
      </w:r>
    </w:p>
    <w:p>
      <w:pPr>
        <w:pStyle w:val="Heading2"/>
        <w:spacing w:after="120" w:before="240"/>
      </w:pPr>
      <w:r>
        <w:t xml:space="preserve">4.3 Pharmacist review</w:t>
      </w:r>
    </w:p>
    <w:p>
      <w:pPr>
        <w:spacing w:after="160"/>
      </w:pPr>
      <w:r>
        <w:t xml:space="preserve">Pharmacist sees every pending item with severity, the two drugs involved (or the unmatched drug name), and the reference explanation, and can Approve to patient or Dismiss as a false positive.</w:t>
      </w:r>
    </w:p>
    <w:p>
      <w:pPr>
        <w:pStyle w:val="Heading1"/>
        <w:spacing w:after="160" w:before="320"/>
      </w:pPr>
      <w:r>
        <w:t xml:space="preserve">5. Acceptance Criteria — Graduation Gate to Phase 2</w:t>
      </w:r>
    </w:p>
    <w:p>
      <w:pPr>
        <w:spacing w:after="160"/>
      </w:pPr>
      <w:r>
        <w:t xml:space="preserve">Taken directly from Section 4.3 (MVP Strategy — Staged Automation) of the product proposal: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Primary gate — </w:t>
      </w:r>
      <w:r>
        <w:t xml:space="preserve">≥ 95% pharmacist agreement with the system's flagged risk level, sustained over a 60-day pilot.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Secondary gate — </w:t>
      </w:r>
      <w:r>
        <w:t xml:space="preserve">False-positive interaction rate &lt; 5%, pharmacist-audited (from the KPI framework, Section 7).</w:t>
      </w:r>
    </w:p>
    <w:p>
      <w:pPr>
        <w:spacing w:after="160"/>
      </w:pPr>
      <w:r>
        <w:t xml:space="preserve">Automation does not expand to Phase 2 (GenAI explanations, multilingual UX) until both are met. This is a hard sequencing rule, not a target to aspire to.</w:t>
      </w:r>
    </w:p>
    <w:p>
      <w:pPr>
        <w:pStyle w:val="Heading1"/>
        <w:spacing w:after="160" w:before="320"/>
      </w:pPr>
      <w:r>
        <w:t xml:space="preserve">6. Data &amp; Regulatory Posture</w:t>
      </w:r>
    </w:p>
    <w:p>
      <w:pPr>
        <w:spacing w:after="160"/>
      </w:pPr>
      <w:r>
        <w:rPr>
          <w:b/>
          <w:bCs/>
        </w:rPr>
        <w:t xml:space="preserve">Medication identity: </w:t>
      </w:r>
      <w:r>
        <w:t xml:space="preserve">real. Drawn from the FDA's public openFDA Orange Book API (~2,300 unique active ingredients) — not a hand-picked list.</w:t>
      </w:r>
    </w:p>
    <w:p>
      <w:pPr>
        <w:spacing w:after="160"/>
      </w:pPr>
      <w:r>
        <w:rPr>
          <w:b/>
          <w:bCs/>
        </w:rPr>
        <w:t xml:space="preserve">Interaction pairs: </w:t>
      </w:r>
      <w:r>
        <w:t xml:space="preserve">still illustrative. A production build requires a licensed interaction database (DrugBank) or openFDA's structured label/FAERS data, per Section 8 of the proposal.</w:t>
      </w:r>
    </w:p>
    <w:p>
      <w:pPr>
        <w:spacing w:after="160"/>
      </w:pPr>
      <w:r>
        <w:rPr>
          <w:b/>
          <w:bCs/>
        </w:rPr>
        <w:t xml:space="preserve">Regulatory classification: </w:t>
      </w:r>
      <w:r>
        <w:t xml:space="preserve">non-SaMD by design (Section 9.7). MVP 1 has zero generative-AI involvement — every decision is a deterministic lookup with mandatory human review — which places it on the lightest end of that classification, even lighter than the rest of the product.</w:t>
      </w:r>
    </w:p>
    <w:p>
      <w:pPr>
        <w:spacing w:after="160"/>
      </w:pPr>
      <w:r>
        <w:rPr>
          <w:b/>
          <w:bCs/>
        </w:rPr>
        <w:t xml:space="preserve">Not yet production-ready: </w:t>
      </w:r>
      <w:r>
        <w:t xml:space="preserve">no authentication, no encryption, no HIPAA/DPDP-compliant data handling. Required before any real patient data touches this build — tracked in the Risk Register, Section 9.</w:t>
      </w:r>
    </w:p>
    <w:p>
      <w:pPr>
        <w:pStyle w:val="Heading1"/>
        <w:spacing w:after="160" w:before="320"/>
      </w:pPr>
      <w:r>
        <w:t xml:space="preserve">7. Success Metrics (Phase 1 subset)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200"/>
            <w:shd w:fill="0A53BE" w:color="auto" w:val="clear"/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900"/>
            <w:shd w:fill="0A53BE" w:color="auto" w:val="clear"/>
          </w:tcPr>
          <w:p>
            <w:r>
              <w:rPr>
                <w:b/>
                <w:bCs/>
                <w:color w:val="FFFFFF"/>
              </w:rPr>
              <w:t xml:space="preserve">Threshold</w:t>
            </w:r>
          </w:p>
        </w:tc>
        <w:tc>
          <w:tcPr>
            <w:tcW w:type="dxa" w:w="2600"/>
            <w:shd w:fill="0A53BE" w:color="auto" w:val="clea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Medication adherence rate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≥ 85% at 90 days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Clinical Lead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Interaction alerts acted on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≥ 70%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Product Lead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False-positive interaction rate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&lt; 5%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ML Lead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Pharmacist review turnaround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&lt; 2 hours for high-risk flags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Clinical Ops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8. Technical Architecture</w:t>
      </w:r>
    </w:p>
    <w:p>
      <w:pPr>
        <w:spacing w:after="160"/>
      </w:pPr>
      <w:r>
        <w:t xml:space="preserve">Deliberately the simplest architecture that satisfies the scope above — no external AI API calls anywhere in this build: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Presentation — </w:t>
      </w:r>
      <w:r>
        <w:t xml:space="preserve">Streamlit UI — 3 pages: Patient Dashboard, Pharmacist Review Queue, KPI Dashboard.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Interaction engine — </w:t>
      </w:r>
      <w:r>
        <w:t xml:space="preserve">A pure-Python deterministic lookup against a fixed interaction table. No model inference.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Data — </w:t>
      </w:r>
      <w:r>
        <w:t xml:space="preserve">FDA openFDA Orange Book CSV, loaded at startup for medication search and RxNorm-style name normalization.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Persistence — </w:t>
      </w:r>
      <w:r>
        <w:t xml:space="preserve">Session-local (Streamlit session_state). A real deployment needs a persistent database — out of scope for this prototype.</w:t>
      </w:r>
    </w:p>
    <w:p>
      <w:pPr>
        <w:pStyle w:val="Heading1"/>
        <w:spacing w:after="160" w:before="320"/>
      </w:pPr>
      <w:r>
        <w:t xml:space="preserve">9. Repository Layout</w:t>
      </w:r>
    </w:p>
    <w:p>
      <w:pPr>
        <w:spacing w:after="160"/>
      </w:pPr>
      <w:r>
        <w:t xml:space="preserve">This MVP 1 build lives in its own folder, separate from the full-vision demo in the project root, so it can be handed to a pilot partner as a scoped, honest artifact on its own: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mvp1/app.py — UI, zero AI/LLM calls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mvp1/mock_data.py — real FDA data + illustrative interaction rules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mvp1/requirements.txt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mvp1/README.md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data/orange_book_drugs.csv — shared real FDA dataset (~56,000 records)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data/orange_book_interactions.csv</w:t>
      </w:r>
    </w:p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mbria" w:cs="Cambria" w:eastAsia="Cambria" w:hAnsi="Cambria"/>
      <w:b/>
      <w:bCs/>
      <w:color w:val="001C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mbria" w:cs="Cambria" w:eastAsia="Cambria" w:hAnsi="Cambria"/>
      <w:b/>
      <w:bCs/>
      <w:color w:val="0A53B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2026-08-16T15:56:56.426Z</dcterms:created>
  <dcterms:modified xsi:type="dcterms:W3CDTF">2026-08-16T15:56:56.427Z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