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B7F35" w14:textId="77777777" w:rsidR="004838D0" w:rsidRPr="00820F25" w:rsidRDefault="004838D0">
      <w:pPr>
        <w:spacing w:before="800"/>
        <w:rPr>
          <w:rFonts w:ascii="Times New Roman" w:hAnsi="Times New Roman" w:cs="Times New Roman"/>
          <w:sz w:val="22"/>
          <w:szCs w:val="22"/>
        </w:rPr>
      </w:pPr>
    </w:p>
    <w:p w14:paraId="253BEC4C" w14:textId="77777777" w:rsidR="004838D0" w:rsidRPr="005231E8" w:rsidRDefault="00000000">
      <w:pPr>
        <w:spacing w:after="120"/>
        <w:jc w:val="center"/>
        <w:rPr>
          <w:rFonts w:ascii="Times New Roman" w:hAnsi="Times New Roman" w:cs="Times New Roman"/>
          <w:color w:val="134163" w:themeColor="accent6" w:themeShade="80"/>
          <w:sz w:val="72"/>
          <w:szCs w:val="72"/>
        </w:rPr>
      </w:pPr>
      <w:r w:rsidRPr="005231E8">
        <w:rPr>
          <w:rFonts w:ascii="Times New Roman" w:hAnsi="Times New Roman" w:cs="Times New Roman"/>
          <w:b/>
          <w:bCs/>
          <w:color w:val="134163" w:themeColor="accent6" w:themeShade="80"/>
          <w:sz w:val="72"/>
          <w:szCs w:val="72"/>
        </w:rPr>
        <w:t>MedGuardian AI</w:t>
      </w:r>
    </w:p>
    <w:p w14:paraId="06E4E380" w14:textId="77777777" w:rsidR="004838D0" w:rsidRPr="00820F25" w:rsidRDefault="00000000">
      <w:pPr>
        <w:spacing w:after="400"/>
        <w:jc w:val="center"/>
        <w:rPr>
          <w:rFonts w:ascii="Times New Roman" w:hAnsi="Times New Roman" w:cs="Times New Roman"/>
          <w:sz w:val="22"/>
          <w:szCs w:val="22"/>
        </w:rPr>
      </w:pPr>
      <w:r w:rsidRPr="00820F25">
        <w:rPr>
          <w:rFonts w:ascii="Times New Roman" w:hAnsi="Times New Roman" w:cs="Times New Roman"/>
          <w:i/>
          <w:iCs/>
          <w:color w:val="595959"/>
          <w:sz w:val="22"/>
          <w:szCs w:val="22"/>
        </w:rPr>
        <w:t>An AI-Powered Medication Adherence &amp; Drug-Interaction Copilot</w:t>
      </w:r>
    </w:p>
    <w:p w14:paraId="15F84858" w14:textId="77777777" w:rsidR="004838D0" w:rsidRPr="00820F25" w:rsidRDefault="00000000">
      <w:pPr>
        <w:spacing w:after="80"/>
        <w:jc w:val="center"/>
        <w:rPr>
          <w:rFonts w:ascii="Times New Roman" w:hAnsi="Times New Roman" w:cs="Times New Roman"/>
          <w:sz w:val="22"/>
          <w:szCs w:val="22"/>
        </w:rPr>
      </w:pPr>
      <w:r w:rsidRPr="00820F25">
        <w:rPr>
          <w:rFonts w:ascii="Times New Roman" w:hAnsi="Times New Roman" w:cs="Times New Roman"/>
          <w:color w:val="595959"/>
          <w:sz w:val="22"/>
          <w:szCs w:val="22"/>
        </w:rPr>
        <w:t>AI Product Proposal — Management of AI Products (MBACC ZG583)</w:t>
      </w:r>
    </w:p>
    <w:p w14:paraId="12F92770" w14:textId="77777777" w:rsidR="004838D0" w:rsidRPr="00820F25" w:rsidRDefault="00000000">
      <w:pPr>
        <w:rPr>
          <w:rFonts w:ascii="Times New Roman" w:hAnsi="Times New Roman" w:cs="Times New Roman"/>
          <w:sz w:val="22"/>
          <w:szCs w:val="22"/>
        </w:rPr>
      </w:pPr>
      <w:r w:rsidRPr="00820F25">
        <w:rPr>
          <w:rFonts w:ascii="Times New Roman" w:hAnsi="Times New Roman" w:cs="Times New Roman"/>
          <w:sz w:val="22"/>
          <w:szCs w:val="22"/>
        </w:rPr>
        <w:br w:type="page"/>
      </w:r>
    </w:p>
    <w:p w14:paraId="7B6ABB8A" w14:textId="77777777" w:rsidR="004838D0" w:rsidRPr="00820F25" w:rsidRDefault="00000000">
      <w:pPr>
        <w:pStyle w:val="Heading1"/>
        <w:rPr>
          <w:rFonts w:ascii="Times New Roman" w:hAnsi="Times New Roman" w:cs="Times New Roman"/>
        </w:rPr>
      </w:pPr>
      <w:r w:rsidRPr="00820F25">
        <w:rPr>
          <w:rFonts w:ascii="Times New Roman" w:hAnsi="Times New Roman" w:cs="Times New Roman"/>
        </w:rPr>
        <w:lastRenderedPageBreak/>
        <w:t>1. Executive Summary</w:t>
      </w:r>
    </w:p>
    <w:p w14:paraId="48A9A4C1" w14:textId="77777777" w:rsidR="004838D0" w:rsidRPr="00820F25" w:rsidRDefault="00000000">
      <w:pPr>
        <w:spacing w:after="160"/>
        <w:rPr>
          <w:rFonts w:ascii="Times New Roman" w:hAnsi="Times New Roman" w:cs="Times New Roman"/>
          <w:sz w:val="22"/>
          <w:szCs w:val="22"/>
        </w:rPr>
      </w:pPr>
      <w:r w:rsidRPr="00820F25">
        <w:rPr>
          <w:rFonts w:ascii="Times New Roman" w:hAnsi="Times New Roman" w:cs="Times New Roman"/>
          <w:sz w:val="22"/>
          <w:szCs w:val="22"/>
        </w:rPr>
        <w:t>MedGuardian AI is an AI-powered medication adherence and drug-interaction copilot for patients managing multiple chronic-disease prescriptions (“polypharmacy”). It combines a rules-grounded interaction engine (built on open pharmacological data) with a generative-AI explanation layer, delivered as a mobile companion app that can also be embedded as a feature inside an existing pharmacy, health-insurer, or hospital app.</w:t>
      </w:r>
    </w:p>
    <w:p w14:paraId="2F225143" w14:textId="77777777" w:rsidR="004838D0" w:rsidRPr="00820F25" w:rsidRDefault="00000000">
      <w:pPr>
        <w:spacing w:after="160"/>
        <w:rPr>
          <w:rFonts w:ascii="Times New Roman" w:hAnsi="Times New Roman" w:cs="Times New Roman"/>
          <w:sz w:val="22"/>
          <w:szCs w:val="22"/>
        </w:rPr>
      </w:pPr>
      <w:r w:rsidRPr="00820F25">
        <w:rPr>
          <w:rFonts w:ascii="Times New Roman" w:hAnsi="Times New Roman" w:cs="Times New Roman"/>
          <w:sz w:val="22"/>
          <w:szCs w:val="22"/>
        </w:rPr>
        <w:t>Missed doses and unrecognized drug-drug interactions are a leading, preventable cause of hospital readmission among patients on three or more chronic medications. MedGuardian addresses this with daily adherence nudges, plain-language interaction alerts, and a human-pharmacist escalation path for high-risk cases — an explicit human-in-the-loop MVP design rather than full automation from day one.</w:t>
      </w:r>
    </w:p>
    <w:p w14:paraId="52944650" w14:textId="77777777" w:rsidR="004838D0" w:rsidRPr="00820F25" w:rsidRDefault="00000000">
      <w:pPr>
        <w:pStyle w:val="Heading1"/>
        <w:rPr>
          <w:rFonts w:ascii="Times New Roman" w:hAnsi="Times New Roman" w:cs="Times New Roman"/>
        </w:rPr>
      </w:pPr>
      <w:r w:rsidRPr="00820F25">
        <w:rPr>
          <w:rFonts w:ascii="Times New Roman" w:hAnsi="Times New Roman" w:cs="Times New Roman"/>
        </w:rPr>
        <w:t>2. AI Opportunity Assessment</w:t>
      </w:r>
    </w:p>
    <w:p w14:paraId="1D5A5623" w14:textId="77777777" w:rsidR="004838D0" w:rsidRPr="00820F25" w:rsidRDefault="00000000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820F25">
        <w:rPr>
          <w:rFonts w:ascii="Times New Roman" w:hAnsi="Times New Roman" w:cs="Times New Roman"/>
          <w:sz w:val="22"/>
          <w:szCs w:val="22"/>
        </w:rPr>
        <w:t>2.1 Business Problem → AI Problem</w:t>
      </w:r>
    </w:p>
    <w:p w14:paraId="2DA745D9" w14:textId="77777777" w:rsidR="004838D0" w:rsidRPr="00820F25" w:rsidRDefault="00000000">
      <w:pPr>
        <w:spacing w:after="160"/>
        <w:rPr>
          <w:rFonts w:ascii="Times New Roman" w:hAnsi="Times New Roman" w:cs="Times New Roman"/>
          <w:sz w:val="22"/>
          <w:szCs w:val="22"/>
        </w:rPr>
      </w:pPr>
      <w:r w:rsidRPr="00820F25">
        <w:rPr>
          <w:rFonts w:ascii="Times New Roman" w:hAnsi="Times New Roman" w:cs="Times New Roman"/>
          <w:sz w:val="22"/>
          <w:szCs w:val="22"/>
        </w:rPr>
        <w:t>Business problem: Patients on multiple chronic medications frequently miss doses or unknowingly combine drugs in ways that cause adverse events, driving avoidable ER visits and non-adherence-related disease progression.</w:t>
      </w:r>
    </w:p>
    <w:p w14:paraId="052F541A" w14:textId="77777777" w:rsidR="004838D0" w:rsidRPr="00820F25" w:rsidRDefault="00000000">
      <w:pPr>
        <w:spacing w:after="160"/>
        <w:rPr>
          <w:rFonts w:ascii="Times New Roman" w:hAnsi="Times New Roman" w:cs="Times New Roman"/>
          <w:sz w:val="22"/>
          <w:szCs w:val="22"/>
        </w:rPr>
      </w:pPr>
      <w:r w:rsidRPr="00820F25">
        <w:rPr>
          <w:rFonts w:ascii="Times New Roman" w:hAnsi="Times New Roman" w:cs="Times New Roman"/>
          <w:sz w:val="22"/>
          <w:szCs w:val="22"/>
        </w:rPr>
        <w:t>AI problem framing: (1) A prediction/classification problem — given a patient's current medication list, dosing history, and a candidate new prescription, predict interaction risk and adherence-drop-off risk. (2) A generative problem — translate structured interaction/adherence data into a plain-language, personalized explanation and nudge.</w:t>
      </w:r>
    </w:p>
    <w:p>
      <w:r>
        <w:rPr>
          <w:b/>
        </w:rPr>
        <w:t xml:space="preserve">Why this isn't already solved: </w:t>
      </w:r>
      <w:r>
        <w:t>a prescribing physician and a dispensing pharmacist each check interactions against the medication list they know about, at a single moment — prescribing or dispensing. Neither has continuous visibility into what a patient adds afterward: an over-the-counter painkiller bought without a prescription, a supplement never mentioned at a visit, or a second prescription from a different specialist on a different record system. The gap this product closes is not a knowledge gap in medicine — it is a visibility gap between a fragmented set of point-in-time checks and what a patient is actually taking, continuously, after they leave the pharmacy counter.</w:t>
      </w:r>
    </w:p>
    <w:p>
      <w:r>
        <w:rPr>
          <w:b/>
        </w:rPr>
        <w:t xml:space="preserve">Adherence is a related but separate gap: </w:t>
      </w:r>
      <w:r>
        <w:t>even a warning given correctly once, at prescribing time, does not reliably survive weeks of unsupervised daily dosing without reinforcement. Closing that gap requires presence at the moment of risk, not a single conversation in an exam room.</w:t>
      </w:r>
    </w:p>
    <w:p w14:paraId="03BA1AC1" w14:textId="77777777" w:rsidR="004838D0" w:rsidRPr="00820F25" w:rsidRDefault="00000000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820F25">
        <w:rPr>
          <w:rFonts w:ascii="Times New Roman" w:hAnsi="Times New Roman" w:cs="Times New Roman"/>
          <w:sz w:val="22"/>
          <w:szCs w:val="22"/>
        </w:rPr>
        <w:t>2.2 Value vs Feasibility (AI Opportunity Matrix)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4"/>
        <w:gridCol w:w="7056"/>
      </w:tblGrid>
      <w:tr w:rsidR="004838D0" w:rsidRPr="00820F25" w14:paraId="564716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24" w:type="dxa"/>
            <w:shd w:val="clear" w:color="auto" w:fill="2F52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0FF29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Dimension</w:t>
            </w:r>
          </w:p>
        </w:tc>
        <w:tc>
          <w:tcPr>
            <w:tcW w:w="7056" w:type="dxa"/>
            <w:shd w:val="clear" w:color="auto" w:fill="2F52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97F57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Assessment</w:t>
            </w:r>
          </w:p>
        </w:tc>
      </w:tr>
      <w:tr w:rsidR="004838D0" w:rsidRPr="00820F25" w14:paraId="65C1D6D0" w14:textId="77777777">
        <w:tblPrEx>
          <w:tblCellMar>
            <w:top w:w="0" w:type="dxa"/>
            <w:bottom w:w="0" w:type="dxa"/>
          </w:tblCellMar>
        </w:tblPrEx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079AC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Business value</w:t>
            </w:r>
          </w:p>
        </w:tc>
        <w:tc>
          <w:tcPr>
            <w:tcW w:w="70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87733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High — addresses a </w:t>
            </w:r>
            <w:proofErr w:type="gramStart"/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top-3</w:t>
            </w:r>
            <w:proofErr w:type="gramEnd"/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driver of preventable hospital readmission; strong willingness-to-pay from health plans/PBMs who bear readmission cost.</w:t>
            </w:r>
          </w:p>
        </w:tc>
      </w:tr>
      <w:tr w:rsidR="004838D0" w:rsidRPr="00820F25" w14:paraId="2137D522" w14:textId="77777777">
        <w:tblPrEx>
          <w:tblCellMar>
            <w:top w:w="0" w:type="dxa"/>
            <w:bottom w:w="0" w:type="dxa"/>
          </w:tblCellMar>
        </w:tblPrEx>
        <w:tc>
          <w:tcPr>
            <w:tcW w:w="3024" w:type="dxa"/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AD861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AI feasibility</w:t>
            </w:r>
          </w:p>
        </w:tc>
        <w:tc>
          <w:tcPr>
            <w:tcW w:w="7056" w:type="dxa"/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BF3E1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High for MVP — core interaction logic can run on existing open pharmacological datasets without training a novel model; GenAI explanation layer is a thin wrapper, not a research problem.</w:t>
            </w:r>
          </w:p>
        </w:tc>
      </w:tr>
      <w:tr w:rsidR="004838D0" w:rsidRPr="00820F25" w14:paraId="77BDAD3C" w14:textId="77777777">
        <w:tblPrEx>
          <w:tblCellMar>
            <w:top w:w="0" w:type="dxa"/>
            <w:bottom w:w="0" w:type="dxa"/>
          </w:tblCellMar>
        </w:tblPrEx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83D62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Data availability</w:t>
            </w:r>
          </w:p>
        </w:tc>
        <w:tc>
          <w:tcPr>
            <w:tcW w:w="70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7D61B" w14:textId="322FDC94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High</w:t>
            </w:r>
            <w:r w:rsidR="002340E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: </w:t>
            </w:r>
            <w:proofErr w:type="spellStart"/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DrugBank</w:t>
            </w:r>
            <w:proofErr w:type="spellEnd"/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RxNorm</w:t>
            </w:r>
            <w:proofErr w:type="spellEnd"/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, and </w:t>
            </w:r>
            <w:proofErr w:type="spellStart"/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openFDA</w:t>
            </w:r>
            <w:proofErr w:type="spellEnd"/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are free, structured, and API-accessible today (see Section 8).</w:t>
            </w:r>
          </w:p>
        </w:tc>
      </w:tr>
      <w:tr w:rsidR="004838D0" w:rsidRPr="00820F25" w14:paraId="24BAF78A" w14:textId="77777777">
        <w:tblPrEx>
          <w:tblCellMar>
            <w:top w:w="0" w:type="dxa"/>
            <w:bottom w:w="0" w:type="dxa"/>
          </w:tblCellMar>
        </w:tblPrEx>
        <w:tc>
          <w:tcPr>
            <w:tcW w:w="3024" w:type="dxa"/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BD86C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Placement on matrix</w:t>
            </w:r>
          </w:p>
        </w:tc>
        <w:tc>
          <w:tcPr>
            <w:tcW w:w="7056" w:type="dxa"/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A8A5D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Quadrant: High Value / High Feasibility — prioritize as a near-term build rather than a long-horizon bet.</w:t>
            </w:r>
          </w:p>
        </w:tc>
      </w:tr>
    </w:tbl>
    <w:p w14:paraId="33B7363C" w14:textId="77777777" w:rsidR="004838D0" w:rsidRPr="00820F25" w:rsidRDefault="00000000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820F25">
        <w:rPr>
          <w:rFonts w:ascii="Times New Roman" w:hAnsi="Times New Roman" w:cs="Times New Roman"/>
          <w:sz w:val="22"/>
          <w:szCs w:val="22"/>
        </w:rPr>
        <w:t>2.3 Build vs Buy vs API Strategy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1"/>
        <w:gridCol w:w="2016"/>
        <w:gridCol w:w="5443"/>
      </w:tblGrid>
      <w:tr w:rsidR="004838D0" w:rsidRPr="00820F25" w14:paraId="61B526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21" w:type="dxa"/>
            <w:shd w:val="clear" w:color="auto" w:fill="2F52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8721E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lastRenderedPageBreak/>
              <w:t>Component</w:t>
            </w:r>
          </w:p>
        </w:tc>
        <w:tc>
          <w:tcPr>
            <w:tcW w:w="2016" w:type="dxa"/>
            <w:shd w:val="clear" w:color="auto" w:fill="2F52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EA5F7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Decision</w:t>
            </w:r>
          </w:p>
        </w:tc>
        <w:tc>
          <w:tcPr>
            <w:tcW w:w="5443" w:type="dxa"/>
            <w:shd w:val="clear" w:color="auto" w:fill="2F52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1CFFF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Rationale</w:t>
            </w:r>
          </w:p>
        </w:tc>
      </w:tr>
      <w:tr w:rsidR="004838D0" w:rsidRPr="00820F25" w14:paraId="56B14143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9636D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Drug interaction &amp; label data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8484F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Buy/API</w:t>
            </w:r>
          </w:p>
        </w:tc>
        <w:tc>
          <w:tcPr>
            <w:tcW w:w="544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AADFB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Use </w:t>
            </w:r>
            <w:proofErr w:type="spellStart"/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DrugBank</w:t>
            </w:r>
            <w:proofErr w:type="spellEnd"/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RxNorm</w:t>
            </w:r>
            <w:proofErr w:type="spellEnd"/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(NLM), and </w:t>
            </w:r>
            <w:proofErr w:type="spellStart"/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openFDA</w:t>
            </w:r>
            <w:proofErr w:type="spellEnd"/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rather than building a pharmacological database from scratch.</w:t>
            </w:r>
          </w:p>
        </w:tc>
      </w:tr>
      <w:tr w:rsidR="004838D0" w:rsidRPr="00820F25" w14:paraId="384351E8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18154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Interaction reasoning + risk scoring</w:t>
            </w:r>
          </w:p>
        </w:tc>
        <w:tc>
          <w:tcPr>
            <w:tcW w:w="2016" w:type="dxa"/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B5320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Build</w:t>
            </w:r>
          </w:p>
        </w:tc>
        <w:tc>
          <w:tcPr>
            <w:tcW w:w="5443" w:type="dxa"/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0C3C6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Proprietary layer combining patient-specific factors (age, renal function proxy, adherence history) is the product's core IP.</w:t>
            </w:r>
          </w:p>
        </w:tc>
      </w:tr>
      <w:tr w:rsidR="004838D0" w:rsidRPr="00820F25" w14:paraId="5BAC5206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9F5FE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Explanation / conversational layer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EDA67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Buy foundation model + Build prompts/guardrails</w:t>
            </w:r>
          </w:p>
        </w:tc>
        <w:tc>
          <w:tcPr>
            <w:tcW w:w="544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D860B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Use a general-purpose LLM API for language generation; build the clinical-safety prompt layer and human-review workflow in-house.</w:t>
            </w:r>
          </w:p>
        </w:tc>
      </w:tr>
      <w:tr w:rsidR="004838D0" w:rsidRPr="00820F25" w14:paraId="758D2BA1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39DF2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Distribution</w:t>
            </w:r>
          </w:p>
        </w:tc>
        <w:tc>
          <w:tcPr>
            <w:tcW w:w="2016" w:type="dxa"/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F5116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Partner</w:t>
            </w:r>
          </w:p>
        </w:tc>
        <w:tc>
          <w:tcPr>
            <w:tcW w:w="5443" w:type="dxa"/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6A2B8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Go to market via health plans/PBMs and pharmacy chains rather than pure direct-to-consumer acquisition.</w:t>
            </w:r>
          </w:p>
        </w:tc>
      </w:tr>
    </w:tbl>
    <w:p w14:paraId="43CFC7EF" w14:textId="77777777" w:rsidR="004838D0" w:rsidRPr="00820F25" w:rsidRDefault="00000000">
      <w:pPr>
        <w:pStyle w:val="Heading1"/>
        <w:rPr>
          <w:rFonts w:ascii="Times New Roman" w:hAnsi="Times New Roman" w:cs="Times New Roman"/>
        </w:rPr>
      </w:pPr>
      <w:r w:rsidRPr="00820F25">
        <w:rPr>
          <w:rFonts w:ascii="Times New Roman" w:hAnsi="Times New Roman" w:cs="Times New Roman"/>
        </w:rPr>
        <w:t>3. Customer Segmentation</w:t>
      </w:r>
    </w:p>
    <w:p w14:paraId="1535ECD3" w14:textId="77777777" w:rsidR="004838D0" w:rsidRPr="00820F25" w:rsidRDefault="00000000">
      <w:pPr>
        <w:spacing w:after="160"/>
        <w:rPr>
          <w:rFonts w:ascii="Times New Roman" w:hAnsi="Times New Roman" w:cs="Times New Roman"/>
          <w:sz w:val="22"/>
          <w:szCs w:val="22"/>
        </w:rPr>
      </w:pPr>
      <w:r w:rsidRPr="00820F25">
        <w:rPr>
          <w:rFonts w:ascii="Times New Roman" w:hAnsi="Times New Roman" w:cs="Times New Roman"/>
          <w:i/>
          <w:iCs/>
          <w:color w:val="595959"/>
          <w:sz w:val="22"/>
          <w:szCs w:val="22"/>
        </w:rPr>
        <w:t>Segmentation objective: decide which user group to design the MVP around, and which channel to prioritize for go-to-market.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3"/>
        <w:gridCol w:w="2218"/>
        <w:gridCol w:w="2218"/>
        <w:gridCol w:w="2016"/>
        <w:gridCol w:w="1915"/>
      </w:tblGrid>
      <w:tr w:rsidR="004838D0" w:rsidRPr="00820F25" w14:paraId="737393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14" w:type="dxa"/>
            <w:shd w:val="clear" w:color="auto" w:fill="2F52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B1BB0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Segment</w:t>
            </w:r>
          </w:p>
        </w:tc>
        <w:tc>
          <w:tcPr>
            <w:tcW w:w="2218" w:type="dxa"/>
            <w:shd w:val="clear" w:color="auto" w:fill="2F52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22241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Defining Traits</w:t>
            </w:r>
          </w:p>
        </w:tc>
        <w:tc>
          <w:tcPr>
            <w:tcW w:w="2218" w:type="dxa"/>
            <w:shd w:val="clear" w:color="auto" w:fill="2F52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8DFFE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Needs</w:t>
            </w:r>
          </w:p>
        </w:tc>
        <w:tc>
          <w:tcPr>
            <w:tcW w:w="2016" w:type="dxa"/>
            <w:shd w:val="clear" w:color="auto" w:fill="2F52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5FEF3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Economics</w:t>
            </w:r>
          </w:p>
        </w:tc>
        <w:tc>
          <w:tcPr>
            <w:tcW w:w="1915" w:type="dxa"/>
            <w:shd w:val="clear" w:color="auto" w:fill="2F52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2646D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20F25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Behavior</w:t>
            </w:r>
            <w:proofErr w:type="spellEnd"/>
          </w:p>
        </w:tc>
      </w:tr>
      <w:tr w:rsidR="004838D0" w:rsidRPr="00820F25" w14:paraId="3CD9AE49" w14:textId="77777777">
        <w:tblPrEx>
          <w:tblCellMar>
            <w:top w:w="0" w:type="dxa"/>
            <w:bottom w:w="0" w:type="dxa"/>
          </w:tblCellMar>
        </w:tblPrEx>
        <w:tc>
          <w:tcPr>
            <w:tcW w:w="171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3156D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Polypharmacy patients (primary)</w:t>
            </w:r>
          </w:p>
        </w:tc>
        <w:tc>
          <w:tcPr>
            <w:tcW w:w="221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9C859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Age 45–75, 3+ chronic-condition prescriptions (diabetes, hypertension, cardiac)</w:t>
            </w:r>
          </w:p>
        </w:tc>
        <w:tc>
          <w:tcPr>
            <w:tcW w:w="221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7B854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Simple, low-effort dose reminders; plain-language interaction warnings; reassurance, not alarm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7389E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Low direct willingness-to-pay; pays indirectly via insurer/PBM program</w:t>
            </w:r>
          </w:p>
        </w:tc>
        <w:tc>
          <w:tcPr>
            <w:tcW w:w="191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3F7E3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Moderate smartphone comfort; high trust in pharmacist/doctor over app alone</w:t>
            </w:r>
          </w:p>
        </w:tc>
      </w:tr>
      <w:tr w:rsidR="004838D0" w:rsidRPr="00820F25" w14:paraId="1E40CF05" w14:textId="77777777">
        <w:tblPrEx>
          <w:tblCellMar>
            <w:top w:w="0" w:type="dxa"/>
            <w:bottom w:w="0" w:type="dxa"/>
          </w:tblCellMar>
        </w:tblPrEx>
        <w:tc>
          <w:tcPr>
            <w:tcW w:w="1714" w:type="dxa"/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FF2E0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Family caregivers</w:t>
            </w:r>
          </w:p>
        </w:tc>
        <w:tc>
          <w:tcPr>
            <w:tcW w:w="2218" w:type="dxa"/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5325F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Adult children managing meds for an elderly parent, often remotely</w:t>
            </w:r>
          </w:p>
        </w:tc>
        <w:tc>
          <w:tcPr>
            <w:tcW w:w="2218" w:type="dxa"/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A4CCB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Visibility into parent's adherence; alerts they can act on</w:t>
            </w:r>
          </w:p>
        </w:tc>
        <w:tc>
          <w:tcPr>
            <w:tcW w:w="2016" w:type="dxa"/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0B8E6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Will pay a modest subscription directly</w:t>
            </w:r>
          </w:p>
        </w:tc>
        <w:tc>
          <w:tcPr>
            <w:tcW w:w="1915" w:type="dxa"/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22F64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Highly engaged, checks app daily</w:t>
            </w:r>
          </w:p>
        </w:tc>
      </w:tr>
      <w:tr w:rsidR="004838D0" w:rsidRPr="00820F25" w14:paraId="67F0316E" w14:textId="77777777">
        <w:tblPrEx>
          <w:tblCellMar>
            <w:top w:w="0" w:type="dxa"/>
            <w:bottom w:w="0" w:type="dxa"/>
          </w:tblCellMar>
        </w:tblPrEx>
        <w:tc>
          <w:tcPr>
            <w:tcW w:w="171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2B56E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Health plans / PBMs (B2B channel)</w:t>
            </w:r>
          </w:p>
        </w:tc>
        <w:tc>
          <w:tcPr>
            <w:tcW w:w="221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702CA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Bear the cost of avoidable readmissions; run care-management programs</w:t>
            </w:r>
          </w:p>
        </w:tc>
        <w:tc>
          <w:tcPr>
            <w:tcW w:w="221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30AAC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Measurable reduction in adverse events and readmissions; auditable safety logs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D5C1A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Per-member-per-month (PMPM) contracts; strong willingness to pay </w:t>
            </w: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lastRenderedPageBreak/>
              <w:t>for proven outcomes</w:t>
            </w:r>
          </w:p>
        </w:tc>
        <w:tc>
          <w:tcPr>
            <w:tcW w:w="191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30F56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lastRenderedPageBreak/>
              <w:t>Procurement-driven; needs pilot data and clinical validation before scaling</w:t>
            </w:r>
          </w:p>
        </w:tc>
      </w:tr>
      <w:tr w:rsidR="004838D0" w:rsidRPr="00820F25" w14:paraId="57B74D13" w14:textId="77777777">
        <w:tblPrEx>
          <w:tblCellMar>
            <w:top w:w="0" w:type="dxa"/>
            <w:bottom w:w="0" w:type="dxa"/>
          </w:tblCellMar>
        </w:tblPrEx>
        <w:tc>
          <w:tcPr>
            <w:tcW w:w="1714" w:type="dxa"/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524FA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Newly diagnosed chronic patients</w:t>
            </w:r>
          </w:p>
        </w:tc>
        <w:tc>
          <w:tcPr>
            <w:tcW w:w="2218" w:type="dxa"/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84065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Just started a new chronic prescription</w:t>
            </w:r>
          </w:p>
        </w:tc>
        <w:tc>
          <w:tcPr>
            <w:tcW w:w="2218" w:type="dxa"/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B37A9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Education-heavy onboarding moment; highest anxiety, highest attention</w:t>
            </w:r>
          </w:p>
        </w:tc>
        <w:tc>
          <w:tcPr>
            <w:tcW w:w="2016" w:type="dxa"/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3277D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Acquisition moment for the B2C funnel</w:t>
            </w:r>
          </w:p>
        </w:tc>
        <w:tc>
          <w:tcPr>
            <w:tcW w:w="1915" w:type="dxa"/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E98C4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High initial engagement, adherence risk drops over first 90 days</w:t>
            </w:r>
          </w:p>
        </w:tc>
      </w:tr>
    </w:tbl>
    <w:p w14:paraId="2E14C2BF" w14:textId="77777777" w:rsidR="004838D0" w:rsidRPr="00820F25" w:rsidRDefault="00000000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820F25">
        <w:rPr>
          <w:rFonts w:ascii="Times New Roman" w:hAnsi="Times New Roman" w:cs="Times New Roman"/>
          <w:sz w:val="22"/>
          <w:szCs w:val="22"/>
        </w:rPr>
        <w:t>Segment Prioritization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9"/>
        <w:gridCol w:w="2016"/>
        <w:gridCol w:w="1411"/>
        <w:gridCol w:w="2621"/>
        <w:gridCol w:w="1613"/>
      </w:tblGrid>
      <w:tr w:rsidR="004838D0" w:rsidRPr="00820F25" w14:paraId="32FA9D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19" w:type="dxa"/>
            <w:shd w:val="clear" w:color="auto" w:fill="2F52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FE1FD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Segment</w:t>
            </w:r>
          </w:p>
        </w:tc>
        <w:tc>
          <w:tcPr>
            <w:tcW w:w="2016" w:type="dxa"/>
            <w:shd w:val="clear" w:color="auto" w:fill="2F52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DA77C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Size</w:t>
            </w:r>
          </w:p>
        </w:tc>
        <w:tc>
          <w:tcPr>
            <w:tcW w:w="1411" w:type="dxa"/>
            <w:shd w:val="clear" w:color="auto" w:fill="2F52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F348F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Growth</w:t>
            </w:r>
          </w:p>
        </w:tc>
        <w:tc>
          <w:tcPr>
            <w:tcW w:w="2621" w:type="dxa"/>
            <w:shd w:val="clear" w:color="auto" w:fill="2F52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03D19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Right to Win</w:t>
            </w:r>
          </w:p>
        </w:tc>
        <w:tc>
          <w:tcPr>
            <w:tcW w:w="1613" w:type="dxa"/>
            <w:shd w:val="clear" w:color="auto" w:fill="2F52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4B82F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Priority</w:t>
            </w:r>
          </w:p>
        </w:tc>
      </w:tr>
      <w:tr w:rsidR="004838D0" w:rsidRPr="00820F25" w14:paraId="16B7A09D" w14:textId="77777777">
        <w:tblPrEx>
          <w:tblCellMar>
            <w:top w:w="0" w:type="dxa"/>
            <w:bottom w:w="0" w:type="dxa"/>
          </w:tblCellMar>
        </w:tblPrEx>
        <w:tc>
          <w:tcPr>
            <w:tcW w:w="241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E4563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Polypharmacy patients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8B93C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Very large (chronic disease prevalence rising)</w:t>
            </w:r>
          </w:p>
        </w:tc>
        <w:tc>
          <w:tcPr>
            <w:tcW w:w="141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71D91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Steady</w:t>
            </w:r>
          </w:p>
        </w:tc>
        <w:tc>
          <w:tcPr>
            <w:tcW w:w="262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63DA8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High — direct pain point, clear data fit</w:t>
            </w:r>
          </w:p>
        </w:tc>
        <w:tc>
          <w:tcPr>
            <w:tcW w:w="16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84B25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 — core end user</w:t>
            </w:r>
          </w:p>
        </w:tc>
      </w:tr>
      <w:tr w:rsidR="004838D0" w:rsidRPr="00820F25" w14:paraId="43ABCBB5" w14:textId="77777777">
        <w:tblPrEx>
          <w:tblCellMar>
            <w:top w:w="0" w:type="dxa"/>
            <w:bottom w:w="0" w:type="dxa"/>
          </w:tblCellMar>
        </w:tblPrEx>
        <w:tc>
          <w:tcPr>
            <w:tcW w:w="2419" w:type="dxa"/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9562B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Health plans / PBMs</w:t>
            </w:r>
          </w:p>
        </w:tc>
        <w:tc>
          <w:tcPr>
            <w:tcW w:w="2016" w:type="dxa"/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B6CC4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Concentrated (fewer, larger accounts)</w:t>
            </w:r>
          </w:p>
        </w:tc>
        <w:tc>
          <w:tcPr>
            <w:tcW w:w="1411" w:type="dxa"/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85712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High</w:t>
            </w:r>
          </w:p>
        </w:tc>
        <w:tc>
          <w:tcPr>
            <w:tcW w:w="2621" w:type="dxa"/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12C66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High — monetization + distribution</w:t>
            </w:r>
          </w:p>
        </w:tc>
        <w:tc>
          <w:tcPr>
            <w:tcW w:w="1613" w:type="dxa"/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11D3F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 — go-to-market channel</w:t>
            </w:r>
          </w:p>
        </w:tc>
      </w:tr>
      <w:tr w:rsidR="004838D0" w:rsidRPr="00820F25" w14:paraId="299784E3" w14:textId="77777777">
        <w:tblPrEx>
          <w:tblCellMar>
            <w:top w:w="0" w:type="dxa"/>
            <w:bottom w:w="0" w:type="dxa"/>
          </w:tblCellMar>
        </w:tblPrEx>
        <w:tc>
          <w:tcPr>
            <w:tcW w:w="241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2C615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Family caregivers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5D99C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Large, growing (aging population)</w:t>
            </w:r>
          </w:p>
        </w:tc>
        <w:tc>
          <w:tcPr>
            <w:tcW w:w="141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A288A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High</w:t>
            </w:r>
          </w:p>
        </w:tc>
        <w:tc>
          <w:tcPr>
            <w:tcW w:w="262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1FB12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Medium — secondary UX, not core loop</w:t>
            </w:r>
          </w:p>
        </w:tc>
        <w:tc>
          <w:tcPr>
            <w:tcW w:w="16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99937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</w:t>
            </w:r>
          </w:p>
        </w:tc>
      </w:tr>
      <w:tr w:rsidR="004838D0" w:rsidRPr="00820F25" w14:paraId="65AE3367" w14:textId="77777777">
        <w:tblPrEx>
          <w:tblCellMar>
            <w:top w:w="0" w:type="dxa"/>
            <w:bottom w:w="0" w:type="dxa"/>
          </w:tblCellMar>
        </w:tblPrEx>
        <w:tc>
          <w:tcPr>
            <w:tcW w:w="2419" w:type="dxa"/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1B665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Newly diagnosed patients</w:t>
            </w:r>
          </w:p>
        </w:tc>
        <w:tc>
          <w:tcPr>
            <w:tcW w:w="2016" w:type="dxa"/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F0C2E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Large but transient per-cohort</w:t>
            </w:r>
          </w:p>
        </w:tc>
        <w:tc>
          <w:tcPr>
            <w:tcW w:w="1411" w:type="dxa"/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32DD8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Steady</w:t>
            </w:r>
          </w:p>
        </w:tc>
        <w:tc>
          <w:tcPr>
            <w:tcW w:w="2621" w:type="dxa"/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293B5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Medium — strong acquisition hook</w:t>
            </w:r>
          </w:p>
        </w:tc>
        <w:tc>
          <w:tcPr>
            <w:tcW w:w="1613" w:type="dxa"/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9513C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</w:t>
            </w:r>
          </w:p>
        </w:tc>
      </w:tr>
    </w:tbl>
    <w:p w14:paraId="66F6D0A1" w14:textId="77777777" w:rsidR="004838D0" w:rsidRPr="00820F25" w:rsidRDefault="00000000">
      <w:pPr>
        <w:spacing w:after="160"/>
        <w:rPr>
          <w:rFonts w:ascii="Times New Roman" w:hAnsi="Times New Roman" w:cs="Times New Roman"/>
          <w:sz w:val="22"/>
          <w:szCs w:val="22"/>
        </w:rPr>
      </w:pPr>
      <w:r w:rsidRPr="00820F25">
        <w:rPr>
          <w:rFonts w:ascii="Times New Roman" w:hAnsi="Times New Roman" w:cs="Times New Roman"/>
          <w:sz w:val="22"/>
          <w:szCs w:val="22"/>
        </w:rPr>
        <w:t xml:space="preserve">Strategic implication: design the core product experience around the polypharmacy </w:t>
      </w:r>
      <w:proofErr w:type="gramStart"/>
      <w:r w:rsidRPr="00820F25">
        <w:rPr>
          <w:rFonts w:ascii="Times New Roman" w:hAnsi="Times New Roman" w:cs="Times New Roman"/>
          <w:sz w:val="22"/>
          <w:szCs w:val="22"/>
        </w:rPr>
        <w:t>patient, but</w:t>
      </w:r>
      <w:proofErr w:type="gramEnd"/>
      <w:r w:rsidRPr="00820F25">
        <w:rPr>
          <w:rFonts w:ascii="Times New Roman" w:hAnsi="Times New Roman" w:cs="Times New Roman"/>
          <w:sz w:val="22"/>
          <w:szCs w:val="22"/>
        </w:rPr>
        <w:t xml:space="preserve"> build the MVP's clinical-safety and reporting features to satisfy a health-plan/PBM buyer from day one — that buyer, not the patient, is who funds the product.</w:t>
      </w:r>
    </w:p>
    <w:p w14:paraId="25AEA501" w14:textId="77777777" w:rsidR="004838D0" w:rsidRPr="00820F25" w:rsidRDefault="00000000">
      <w:pPr>
        <w:pStyle w:val="Heading1"/>
        <w:rPr>
          <w:rFonts w:ascii="Times New Roman" w:hAnsi="Times New Roman" w:cs="Times New Roman"/>
        </w:rPr>
      </w:pPr>
      <w:r w:rsidRPr="00820F25">
        <w:rPr>
          <w:rFonts w:ascii="Times New Roman" w:hAnsi="Times New Roman" w:cs="Times New Roman"/>
        </w:rPr>
        <w:t>4. Product Strategy</w:t>
      </w:r>
    </w:p>
    <w:p w14:paraId="37FCDC26" w14:textId="77777777" w:rsidR="004838D0" w:rsidRPr="00820F25" w:rsidRDefault="00000000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820F25">
        <w:rPr>
          <w:rFonts w:ascii="Times New Roman" w:hAnsi="Times New Roman" w:cs="Times New Roman"/>
          <w:sz w:val="22"/>
          <w:szCs w:val="22"/>
        </w:rPr>
        <w:t>4.1 Jobs-to-be-Done</w:t>
      </w:r>
    </w:p>
    <w:p w14:paraId="7A966DE6" w14:textId="77777777" w:rsidR="004838D0" w:rsidRPr="00820F25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sz w:val="22"/>
          <w:szCs w:val="22"/>
        </w:rPr>
      </w:pPr>
      <w:r w:rsidRPr="00820F25">
        <w:rPr>
          <w:rFonts w:ascii="Times New Roman" w:hAnsi="Times New Roman" w:cs="Times New Roman"/>
          <w:sz w:val="22"/>
          <w:szCs w:val="22"/>
        </w:rPr>
        <w:t>When I get a new prescription, help me understand quickly and calmly whether it's safe to take with what I already take, so I don't have to call three different doctors to find out.</w:t>
      </w:r>
    </w:p>
    <w:p w14:paraId="7803176C" w14:textId="77777777" w:rsidR="004838D0" w:rsidRPr="00820F25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sz w:val="22"/>
          <w:szCs w:val="22"/>
        </w:rPr>
      </w:pPr>
      <w:r w:rsidRPr="00820F25">
        <w:rPr>
          <w:rFonts w:ascii="Times New Roman" w:hAnsi="Times New Roman" w:cs="Times New Roman"/>
          <w:sz w:val="22"/>
          <w:szCs w:val="22"/>
        </w:rPr>
        <w:t>When I'm juggling multiple daily medications, remind me in a way that fits my routine, so I don't forget a dose or double up.</w:t>
      </w:r>
    </w:p>
    <w:p w14:paraId="29A688A4" w14:textId="77777777" w:rsidR="004838D0" w:rsidRPr="00820F25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sz w:val="22"/>
          <w:szCs w:val="22"/>
        </w:rPr>
      </w:pPr>
      <w:r w:rsidRPr="00820F25">
        <w:rPr>
          <w:rFonts w:ascii="Times New Roman" w:hAnsi="Times New Roman" w:cs="Times New Roman"/>
          <w:sz w:val="22"/>
          <w:szCs w:val="22"/>
        </w:rPr>
        <w:t>When something looks risky, tell me clearly what to do next and who to talk to, so I feel supported, not just alarmed.</w:t>
      </w:r>
    </w:p>
    <w:p w14:paraId="74D4BF89" w14:textId="77777777" w:rsidR="004838D0" w:rsidRPr="00820F25" w:rsidRDefault="00000000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820F25">
        <w:rPr>
          <w:rFonts w:ascii="Times New Roman" w:hAnsi="Times New Roman" w:cs="Times New Roman"/>
          <w:sz w:val="22"/>
          <w:szCs w:val="22"/>
        </w:rPr>
        <w:lastRenderedPageBreak/>
        <w:t>4.2 Product Vision</w:t>
      </w:r>
    </w:p>
    <w:p w14:paraId="20C4E14F" w14:textId="77777777" w:rsidR="004838D0" w:rsidRPr="00820F25" w:rsidRDefault="00000000">
      <w:pPr>
        <w:spacing w:after="160"/>
        <w:rPr>
          <w:rFonts w:ascii="Times New Roman" w:hAnsi="Times New Roman" w:cs="Times New Roman"/>
          <w:sz w:val="22"/>
          <w:szCs w:val="22"/>
        </w:rPr>
      </w:pPr>
      <w:r w:rsidRPr="00820F25">
        <w:rPr>
          <w:rFonts w:ascii="Times New Roman" w:hAnsi="Times New Roman" w:cs="Times New Roman"/>
          <w:sz w:val="22"/>
          <w:szCs w:val="22"/>
        </w:rPr>
        <w:t>Become the trusted layer between “what my doctor prescribed” and “what I actually take,” reducing preventable harm from polypharmacy — delivered first as a consumer companion app, then embedded as an API/feature inside pharmacy, insurer, and EHR platforms.</w:t>
      </w:r>
    </w:p>
    <w:p w14:paraId="3C0454F6" w14:textId="77777777" w:rsidR="004838D0" w:rsidRPr="00820F25" w:rsidRDefault="00000000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820F25">
        <w:rPr>
          <w:rFonts w:ascii="Times New Roman" w:hAnsi="Times New Roman" w:cs="Times New Roman"/>
          <w:sz w:val="22"/>
          <w:szCs w:val="22"/>
        </w:rPr>
        <w:t>4.3 MVP Strategy — Staged Automation (“AI illusion”)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9"/>
        <w:gridCol w:w="3427"/>
        <w:gridCol w:w="3226"/>
        <w:gridCol w:w="2218"/>
      </w:tblGrid>
      <w:tr w:rsidR="004838D0" w:rsidRPr="00820F25" w14:paraId="68ACFC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10" w:type="dxa"/>
            <w:shd w:val="clear" w:color="auto" w:fill="2F52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C433A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Stage</w:t>
            </w:r>
          </w:p>
        </w:tc>
        <w:tc>
          <w:tcPr>
            <w:tcW w:w="3427" w:type="dxa"/>
            <w:shd w:val="clear" w:color="auto" w:fill="2F52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BC416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What's Automated</w:t>
            </w:r>
          </w:p>
        </w:tc>
        <w:tc>
          <w:tcPr>
            <w:tcW w:w="3226" w:type="dxa"/>
            <w:shd w:val="clear" w:color="auto" w:fill="2F52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E6CC9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What's Human-Reviewed</w:t>
            </w:r>
          </w:p>
        </w:tc>
        <w:tc>
          <w:tcPr>
            <w:tcW w:w="2218" w:type="dxa"/>
            <w:shd w:val="clear" w:color="auto" w:fill="2F52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05155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Trigger to Progress</w:t>
            </w:r>
          </w:p>
        </w:tc>
      </w:tr>
      <w:tr w:rsidR="004838D0" w:rsidRPr="00820F25" w14:paraId="6CFA6F54" w14:textId="77777777">
        <w:tblPrEx>
          <w:tblCellMar>
            <w:top w:w="0" w:type="dxa"/>
            <w:bottom w:w="0" w:type="dxa"/>
          </w:tblCellMar>
        </w:tblPrEx>
        <w:tc>
          <w:tcPr>
            <w:tcW w:w="12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087EE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MVP 1</w:t>
            </w:r>
          </w:p>
        </w:tc>
        <w:tc>
          <w:tcPr>
            <w:tcW w:w="342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B9AD7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Interaction lookup + adherence reminders (rules-based, deterministic)</w:t>
            </w:r>
          </w:p>
        </w:tc>
        <w:tc>
          <w:tcPr>
            <w:tcW w:w="32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FFABC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All high-risk interaction alerts reviewed by a licensed pharmacist before being shown to the patient</w:t>
            </w:r>
          </w:p>
        </w:tc>
        <w:tc>
          <w:tcPr>
            <w:tcW w:w="221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29C7E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≥ 95% pharmacist agreement with AI-flagged risk level over a 60-day pilot</w:t>
            </w:r>
          </w:p>
        </w:tc>
      </w:tr>
      <w:tr w:rsidR="004838D0" w:rsidRPr="00820F25" w14:paraId="0CD97095" w14:textId="77777777">
        <w:tblPrEx>
          <w:tblCellMar>
            <w:top w:w="0" w:type="dxa"/>
            <w:bottom w:w="0" w:type="dxa"/>
          </w:tblCellMar>
        </w:tblPrEx>
        <w:tc>
          <w:tcPr>
            <w:tcW w:w="1210" w:type="dxa"/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DE1D9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MVP 2</w:t>
            </w:r>
          </w:p>
        </w:tc>
        <w:tc>
          <w:tcPr>
            <w:tcW w:w="3427" w:type="dxa"/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E3740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Low-risk explanations generated and sent automatically; high-risk still human-reviewed</w:t>
            </w:r>
          </w:p>
        </w:tc>
        <w:tc>
          <w:tcPr>
            <w:tcW w:w="3226" w:type="dxa"/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A3791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High-risk alerts and any low-confidence GenAI output</w:t>
            </w:r>
          </w:p>
        </w:tc>
        <w:tc>
          <w:tcPr>
            <w:tcW w:w="2218" w:type="dxa"/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27AAF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False-positive rate on low-risk alerts &lt; 5%, validated against pharmacist audit sample</w:t>
            </w:r>
          </w:p>
        </w:tc>
      </w:tr>
      <w:tr w:rsidR="004838D0" w:rsidRPr="00820F25" w14:paraId="64A9A132" w14:textId="77777777">
        <w:tblPrEx>
          <w:tblCellMar>
            <w:top w:w="0" w:type="dxa"/>
            <w:bottom w:w="0" w:type="dxa"/>
          </w:tblCellMar>
        </w:tblPrEx>
        <w:tc>
          <w:tcPr>
            <w:tcW w:w="12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0B1EA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Scale</w:t>
            </w:r>
          </w:p>
        </w:tc>
        <w:tc>
          <w:tcPr>
            <w:tcW w:w="342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610CF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Personalized adherence-risk prediction (who is likely to lapse, and when)</w:t>
            </w:r>
          </w:p>
        </w:tc>
        <w:tc>
          <w:tcPr>
            <w:tcW w:w="32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FB4E1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Random audit sample + all edge cases flagged by the model itself</w:t>
            </w:r>
          </w:p>
        </w:tc>
        <w:tc>
          <w:tcPr>
            <w:tcW w:w="221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B1A38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Sustained accuracy + a completed clinical/regulatory review for the jurisdiction of launch</w:t>
            </w:r>
          </w:p>
        </w:tc>
      </w:tr>
    </w:tbl>
    <w:p w14:paraId="5A99E69C" w14:textId="77777777" w:rsidR="004838D0" w:rsidRPr="00820F25" w:rsidRDefault="00000000">
      <w:pPr>
        <w:pStyle w:val="Heading1"/>
        <w:rPr>
          <w:rFonts w:ascii="Times New Roman" w:hAnsi="Times New Roman" w:cs="Times New Roman"/>
        </w:rPr>
      </w:pPr>
      <w:r w:rsidRPr="00820F25">
        <w:rPr>
          <w:rFonts w:ascii="Times New Roman" w:hAnsi="Times New Roman" w:cs="Times New Roman"/>
        </w:rPr>
        <w:t>5. UX Design</w:t>
      </w:r>
    </w:p>
    <w:p w14:paraId="5D30DAA4" w14:textId="77777777" w:rsidR="004838D0" w:rsidRPr="00820F25" w:rsidRDefault="00000000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820F25">
        <w:rPr>
          <w:rFonts w:ascii="Times New Roman" w:hAnsi="Times New Roman" w:cs="Times New Roman"/>
          <w:sz w:val="22"/>
          <w:szCs w:val="22"/>
        </w:rPr>
        <w:t>5.1 Core Experience</w:t>
      </w:r>
    </w:p>
    <w:p w14:paraId="3640BBF7" w14:textId="77777777" w:rsidR="004838D0" w:rsidRPr="00820F25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sz w:val="22"/>
          <w:szCs w:val="22"/>
        </w:rPr>
      </w:pPr>
      <w:r w:rsidRPr="00820F25">
        <w:rPr>
          <w:rFonts w:ascii="Times New Roman" w:hAnsi="Times New Roman" w:cs="Times New Roman"/>
          <w:sz w:val="22"/>
          <w:szCs w:val="22"/>
        </w:rPr>
        <w:t xml:space="preserve">Medication capture: photo/barcode scan of a prescription label or pill bottle, auto-matched against </w:t>
      </w:r>
      <w:proofErr w:type="spellStart"/>
      <w:r w:rsidRPr="00820F25">
        <w:rPr>
          <w:rFonts w:ascii="Times New Roman" w:hAnsi="Times New Roman" w:cs="Times New Roman"/>
          <w:sz w:val="22"/>
          <w:szCs w:val="22"/>
        </w:rPr>
        <w:t>RxNorm</w:t>
      </w:r>
      <w:proofErr w:type="spellEnd"/>
      <w:r w:rsidRPr="00820F25">
        <w:rPr>
          <w:rFonts w:ascii="Times New Roman" w:hAnsi="Times New Roman" w:cs="Times New Roman"/>
          <w:sz w:val="22"/>
          <w:szCs w:val="22"/>
        </w:rPr>
        <w:t xml:space="preserve"> rather than manual free-text entry.</w:t>
      </w:r>
    </w:p>
    <w:p w14:paraId="6C77CC44" w14:textId="77777777" w:rsidR="004838D0" w:rsidRPr="00820F25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sz w:val="22"/>
          <w:szCs w:val="22"/>
        </w:rPr>
      </w:pPr>
      <w:r w:rsidRPr="00820F25">
        <w:rPr>
          <w:rFonts w:ascii="Times New Roman" w:hAnsi="Times New Roman" w:cs="Times New Roman"/>
          <w:sz w:val="22"/>
          <w:szCs w:val="22"/>
        </w:rPr>
        <w:t>Daily check-in: a single, low-friction tap (“Taken” / “Skipped” / “Remind me later”) rather than a form.</w:t>
      </w:r>
    </w:p>
    <w:p w14:paraId="4AE44F3A" w14:textId="77777777" w:rsidR="004838D0" w:rsidRPr="00820F25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sz w:val="22"/>
          <w:szCs w:val="22"/>
        </w:rPr>
      </w:pPr>
      <w:r w:rsidRPr="00820F25">
        <w:rPr>
          <w:rFonts w:ascii="Times New Roman" w:hAnsi="Times New Roman" w:cs="Times New Roman"/>
          <w:sz w:val="22"/>
          <w:szCs w:val="22"/>
        </w:rPr>
        <w:t>Interaction alert card: plain-language explanation (“These two together can raise your risk of dizziness — here's why, and what to do”), with a one-tap “Talk to a pharmacist” escalation.</w:t>
      </w:r>
    </w:p>
    <w:p w14:paraId="33C04E18" w14:textId="77777777" w:rsidR="004838D0" w:rsidRPr="00820F25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sz w:val="22"/>
          <w:szCs w:val="22"/>
        </w:rPr>
      </w:pPr>
      <w:r w:rsidRPr="00820F25">
        <w:rPr>
          <w:rFonts w:ascii="Times New Roman" w:hAnsi="Times New Roman" w:cs="Times New Roman"/>
          <w:sz w:val="22"/>
          <w:szCs w:val="22"/>
        </w:rPr>
        <w:t xml:space="preserve">Explainability panel: every AI-generated explanation carries a “Why am I seeing this?” expandable section showing the underlying source (e.g., </w:t>
      </w:r>
      <w:proofErr w:type="spellStart"/>
      <w:r w:rsidRPr="00820F25">
        <w:rPr>
          <w:rFonts w:ascii="Times New Roman" w:hAnsi="Times New Roman" w:cs="Times New Roman"/>
          <w:sz w:val="22"/>
          <w:szCs w:val="22"/>
        </w:rPr>
        <w:t>openFDA</w:t>
      </w:r>
      <w:proofErr w:type="spellEnd"/>
      <w:r w:rsidRPr="00820F25">
        <w:rPr>
          <w:rFonts w:ascii="Times New Roman" w:hAnsi="Times New Roman" w:cs="Times New Roman"/>
          <w:sz w:val="22"/>
          <w:szCs w:val="22"/>
        </w:rPr>
        <w:t xml:space="preserve"> label data) — building trust and satisfying Module 5's explainability-in-UX principle.</w:t>
      </w:r>
    </w:p>
    <w:p w14:paraId="7380C961" w14:textId="77777777" w:rsidR="004838D0" w:rsidRPr="00820F25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sz w:val="22"/>
          <w:szCs w:val="22"/>
        </w:rPr>
      </w:pPr>
      <w:r w:rsidRPr="00820F25">
        <w:rPr>
          <w:rFonts w:ascii="Times New Roman" w:hAnsi="Times New Roman" w:cs="Times New Roman"/>
          <w:sz w:val="22"/>
          <w:szCs w:val="22"/>
        </w:rPr>
        <w:t>Caregiver view: a permissioned, read-only dashboard for a family member, with its own consent flow.</w:t>
      </w:r>
    </w:p>
    <w:p w14:paraId="2EBA8633" w14:textId="77777777" w:rsidR="004838D0" w:rsidRPr="00820F25" w:rsidRDefault="00000000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820F25">
        <w:rPr>
          <w:rFonts w:ascii="Times New Roman" w:hAnsi="Times New Roman" w:cs="Times New Roman"/>
          <w:sz w:val="22"/>
          <w:szCs w:val="22"/>
        </w:rPr>
        <w:t>5.2 Designing for Uncertainty</w:t>
      </w:r>
    </w:p>
    <w:p w14:paraId="44BB2506" w14:textId="77777777" w:rsidR="004838D0" w:rsidRPr="00820F25" w:rsidRDefault="00000000">
      <w:pPr>
        <w:spacing w:after="160"/>
        <w:rPr>
          <w:rFonts w:ascii="Times New Roman" w:hAnsi="Times New Roman" w:cs="Times New Roman"/>
          <w:sz w:val="22"/>
          <w:szCs w:val="22"/>
        </w:rPr>
      </w:pPr>
      <w:r w:rsidRPr="00820F25">
        <w:rPr>
          <w:rFonts w:ascii="Times New Roman" w:hAnsi="Times New Roman" w:cs="Times New Roman"/>
          <w:sz w:val="22"/>
          <w:szCs w:val="22"/>
        </w:rPr>
        <w:t xml:space="preserve">Interaction risk is shown as a three-tier plain-language band (Low / Moderate / Talk to your pharmacist) rather than a raw probability score — patients act on clear guidance, not confidence intervals. Any output the model is </w:t>
      </w:r>
      <w:r w:rsidRPr="00820F25">
        <w:rPr>
          <w:rFonts w:ascii="Times New Roman" w:hAnsi="Times New Roman" w:cs="Times New Roman"/>
          <w:sz w:val="22"/>
          <w:szCs w:val="22"/>
        </w:rPr>
        <w:lastRenderedPageBreak/>
        <w:t>not confident about is routed to the pharmacist-review queue rather than shown directly to the patient, consistent with the human-in-the-loop MVP design in Section 4.3.</w:t>
      </w:r>
    </w:p>
    <w:p w14:paraId="5A88307E" w14:textId="77777777" w:rsidR="004838D0" w:rsidRPr="00820F25" w:rsidRDefault="00000000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820F25">
        <w:rPr>
          <w:rFonts w:ascii="Times New Roman" w:hAnsi="Times New Roman" w:cs="Times New Roman"/>
          <w:sz w:val="22"/>
          <w:szCs w:val="22"/>
        </w:rPr>
        <w:t>5.3 Trust &amp; Transparency</w:t>
      </w:r>
    </w:p>
    <w:p w14:paraId="35B93F65" w14:textId="77777777" w:rsidR="004838D0" w:rsidRPr="00820F25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sz w:val="22"/>
          <w:szCs w:val="22"/>
        </w:rPr>
      </w:pPr>
      <w:r w:rsidRPr="00820F25">
        <w:rPr>
          <w:rFonts w:ascii="Times New Roman" w:hAnsi="Times New Roman" w:cs="Times New Roman"/>
          <w:sz w:val="22"/>
          <w:szCs w:val="22"/>
        </w:rPr>
        <w:t>Every alert cites its data source (e.g., “Based on FDA label data”) rather than presenting AI output as an unattributed fact.</w:t>
      </w:r>
    </w:p>
    <w:p w14:paraId="1EC1D591" w14:textId="77777777" w:rsidR="004838D0" w:rsidRPr="00820F25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sz w:val="22"/>
          <w:szCs w:val="22"/>
        </w:rPr>
      </w:pPr>
      <w:r w:rsidRPr="00820F25">
        <w:rPr>
          <w:rFonts w:ascii="Times New Roman" w:hAnsi="Times New Roman" w:cs="Times New Roman"/>
          <w:sz w:val="22"/>
          <w:szCs w:val="22"/>
        </w:rPr>
        <w:t>The app is explicit that it does not replace a doctor or pharmacist, with a persistent, one-tap path to a human.</w:t>
      </w:r>
    </w:p>
    <w:p w14:paraId="0D2AE748" w14:textId="77777777" w:rsidR="004838D0" w:rsidRPr="00820F25" w:rsidRDefault="00000000">
      <w:pPr>
        <w:pStyle w:val="Heading1"/>
        <w:rPr>
          <w:rFonts w:ascii="Times New Roman" w:hAnsi="Times New Roman" w:cs="Times New Roman"/>
        </w:rPr>
      </w:pPr>
      <w:r w:rsidRPr="00820F25">
        <w:rPr>
          <w:rFonts w:ascii="Times New Roman" w:hAnsi="Times New Roman" w:cs="Times New Roman"/>
        </w:rPr>
        <w:t>6. Feature Prioritization (RICE)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3"/>
        <w:gridCol w:w="1210"/>
        <w:gridCol w:w="1210"/>
        <w:gridCol w:w="1411"/>
        <w:gridCol w:w="1210"/>
        <w:gridCol w:w="2016"/>
      </w:tblGrid>
      <w:tr w:rsidR="004838D0" w:rsidRPr="00820F25" w14:paraId="6097B5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24" w:type="dxa"/>
            <w:shd w:val="clear" w:color="auto" w:fill="2F52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77332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Feature</w:t>
            </w:r>
          </w:p>
        </w:tc>
        <w:tc>
          <w:tcPr>
            <w:tcW w:w="1210" w:type="dxa"/>
            <w:shd w:val="clear" w:color="auto" w:fill="2F52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B2E4A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Reach</w:t>
            </w:r>
          </w:p>
        </w:tc>
        <w:tc>
          <w:tcPr>
            <w:tcW w:w="1210" w:type="dxa"/>
            <w:shd w:val="clear" w:color="auto" w:fill="2F52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BA0A7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Impact</w:t>
            </w:r>
          </w:p>
        </w:tc>
        <w:tc>
          <w:tcPr>
            <w:tcW w:w="1411" w:type="dxa"/>
            <w:shd w:val="clear" w:color="auto" w:fill="2F52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F035C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Confidence</w:t>
            </w:r>
          </w:p>
        </w:tc>
        <w:tc>
          <w:tcPr>
            <w:tcW w:w="1210" w:type="dxa"/>
            <w:shd w:val="clear" w:color="auto" w:fill="2F52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087FC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Effort</w:t>
            </w:r>
          </w:p>
        </w:tc>
        <w:tc>
          <w:tcPr>
            <w:tcW w:w="2016" w:type="dxa"/>
            <w:shd w:val="clear" w:color="auto" w:fill="2F52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DA4CA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Priority</w:t>
            </w:r>
          </w:p>
        </w:tc>
      </w:tr>
      <w:tr w:rsidR="004838D0" w:rsidRPr="00820F25" w14:paraId="17551C65" w14:textId="77777777">
        <w:tblPrEx>
          <w:tblCellMar>
            <w:top w:w="0" w:type="dxa"/>
            <w:bottom w:w="0" w:type="dxa"/>
          </w:tblCellMar>
        </w:tblPrEx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7FEDA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Barcode/photo medication capture</w:t>
            </w:r>
          </w:p>
        </w:tc>
        <w:tc>
          <w:tcPr>
            <w:tcW w:w="12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8D3CE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High</w:t>
            </w:r>
          </w:p>
        </w:tc>
        <w:tc>
          <w:tcPr>
            <w:tcW w:w="12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23AD0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High</w:t>
            </w:r>
          </w:p>
        </w:tc>
        <w:tc>
          <w:tcPr>
            <w:tcW w:w="141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70126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High</w:t>
            </w:r>
          </w:p>
        </w:tc>
        <w:tc>
          <w:tcPr>
            <w:tcW w:w="12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3E27F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Medium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51E38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P0 — MVP</w:t>
            </w:r>
          </w:p>
        </w:tc>
      </w:tr>
      <w:tr w:rsidR="004838D0" w:rsidRPr="00820F25" w14:paraId="187ED027" w14:textId="77777777">
        <w:tblPrEx>
          <w:tblCellMar>
            <w:top w:w="0" w:type="dxa"/>
            <w:bottom w:w="0" w:type="dxa"/>
          </w:tblCellMar>
        </w:tblPrEx>
        <w:tc>
          <w:tcPr>
            <w:tcW w:w="3024" w:type="dxa"/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EFE32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Interaction alert (rules-based + pharmacist review)</w:t>
            </w:r>
          </w:p>
        </w:tc>
        <w:tc>
          <w:tcPr>
            <w:tcW w:w="1210" w:type="dxa"/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AA426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High</w:t>
            </w:r>
          </w:p>
        </w:tc>
        <w:tc>
          <w:tcPr>
            <w:tcW w:w="1210" w:type="dxa"/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8136D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High</w:t>
            </w:r>
          </w:p>
        </w:tc>
        <w:tc>
          <w:tcPr>
            <w:tcW w:w="1411" w:type="dxa"/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E43B2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High</w:t>
            </w:r>
          </w:p>
        </w:tc>
        <w:tc>
          <w:tcPr>
            <w:tcW w:w="1210" w:type="dxa"/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7CA53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Medium</w:t>
            </w:r>
          </w:p>
        </w:tc>
        <w:tc>
          <w:tcPr>
            <w:tcW w:w="2016" w:type="dxa"/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990A4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P0 — MVP</w:t>
            </w:r>
          </w:p>
        </w:tc>
      </w:tr>
      <w:tr w:rsidR="004838D0" w:rsidRPr="00820F25" w14:paraId="1E98B1F7" w14:textId="77777777">
        <w:tblPrEx>
          <w:tblCellMar>
            <w:top w:w="0" w:type="dxa"/>
            <w:bottom w:w="0" w:type="dxa"/>
          </w:tblCellMar>
        </w:tblPrEx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42336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Daily adherence check-in &amp; reminders</w:t>
            </w:r>
          </w:p>
        </w:tc>
        <w:tc>
          <w:tcPr>
            <w:tcW w:w="12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7AD8D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High</w:t>
            </w:r>
          </w:p>
        </w:tc>
        <w:tc>
          <w:tcPr>
            <w:tcW w:w="12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9D962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Medium</w:t>
            </w:r>
          </w:p>
        </w:tc>
        <w:tc>
          <w:tcPr>
            <w:tcW w:w="141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5524E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High</w:t>
            </w:r>
          </w:p>
        </w:tc>
        <w:tc>
          <w:tcPr>
            <w:tcW w:w="12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33BAD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Low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51E4F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P0 — MVP</w:t>
            </w:r>
          </w:p>
        </w:tc>
      </w:tr>
      <w:tr w:rsidR="004838D0" w:rsidRPr="00820F25" w14:paraId="22525696" w14:textId="77777777">
        <w:tblPrEx>
          <w:tblCellMar>
            <w:top w:w="0" w:type="dxa"/>
            <w:bottom w:w="0" w:type="dxa"/>
          </w:tblCellMar>
        </w:tblPrEx>
        <w:tc>
          <w:tcPr>
            <w:tcW w:w="3024" w:type="dxa"/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00E78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GenAI plain-language explanations</w:t>
            </w:r>
          </w:p>
        </w:tc>
        <w:tc>
          <w:tcPr>
            <w:tcW w:w="1210" w:type="dxa"/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80536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High</w:t>
            </w:r>
          </w:p>
        </w:tc>
        <w:tc>
          <w:tcPr>
            <w:tcW w:w="1210" w:type="dxa"/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CA682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Medium</w:t>
            </w:r>
          </w:p>
        </w:tc>
        <w:tc>
          <w:tcPr>
            <w:tcW w:w="1411" w:type="dxa"/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CA469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Medium</w:t>
            </w:r>
          </w:p>
        </w:tc>
        <w:tc>
          <w:tcPr>
            <w:tcW w:w="1210" w:type="dxa"/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C5286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Medium</w:t>
            </w:r>
          </w:p>
        </w:tc>
        <w:tc>
          <w:tcPr>
            <w:tcW w:w="2016" w:type="dxa"/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69441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P1 — Fast follow</w:t>
            </w:r>
          </w:p>
        </w:tc>
      </w:tr>
      <w:tr w:rsidR="004838D0" w:rsidRPr="00820F25" w14:paraId="53EF91EB" w14:textId="77777777">
        <w:tblPrEx>
          <w:tblCellMar>
            <w:top w:w="0" w:type="dxa"/>
            <w:bottom w:w="0" w:type="dxa"/>
          </w:tblCellMar>
        </w:tblPrEx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06B38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Caregiver dashboard</w:t>
            </w:r>
          </w:p>
        </w:tc>
        <w:tc>
          <w:tcPr>
            <w:tcW w:w="12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E1C10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Medium</w:t>
            </w:r>
          </w:p>
        </w:tc>
        <w:tc>
          <w:tcPr>
            <w:tcW w:w="12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747AF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Medium</w:t>
            </w:r>
          </w:p>
        </w:tc>
        <w:tc>
          <w:tcPr>
            <w:tcW w:w="141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5F56B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Medium</w:t>
            </w:r>
          </w:p>
        </w:tc>
        <w:tc>
          <w:tcPr>
            <w:tcW w:w="12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4D27A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Medium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B6C89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P1</w:t>
            </w:r>
          </w:p>
        </w:tc>
      </w:tr>
      <w:tr w:rsidR="004838D0" w:rsidRPr="00820F25" w14:paraId="3AADDF33" w14:textId="77777777">
        <w:tblPrEx>
          <w:tblCellMar>
            <w:top w:w="0" w:type="dxa"/>
            <w:bottom w:w="0" w:type="dxa"/>
          </w:tblCellMar>
        </w:tblPrEx>
        <w:tc>
          <w:tcPr>
            <w:tcW w:w="3024" w:type="dxa"/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DCF85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Personalized adherence-risk prediction</w:t>
            </w:r>
          </w:p>
        </w:tc>
        <w:tc>
          <w:tcPr>
            <w:tcW w:w="1210" w:type="dxa"/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EF16B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Medium</w:t>
            </w:r>
          </w:p>
        </w:tc>
        <w:tc>
          <w:tcPr>
            <w:tcW w:w="1210" w:type="dxa"/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05004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High</w:t>
            </w:r>
          </w:p>
        </w:tc>
        <w:tc>
          <w:tcPr>
            <w:tcW w:w="1411" w:type="dxa"/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A817F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Low (needs data)</w:t>
            </w:r>
          </w:p>
        </w:tc>
        <w:tc>
          <w:tcPr>
            <w:tcW w:w="1210" w:type="dxa"/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6A906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High</w:t>
            </w:r>
          </w:p>
        </w:tc>
        <w:tc>
          <w:tcPr>
            <w:tcW w:w="2016" w:type="dxa"/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F1463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P2 — Scale phase</w:t>
            </w:r>
          </w:p>
        </w:tc>
      </w:tr>
      <w:tr w:rsidR="004838D0" w:rsidRPr="00820F25" w14:paraId="1B9AFD74" w14:textId="77777777">
        <w:tblPrEx>
          <w:tblCellMar>
            <w:top w:w="0" w:type="dxa"/>
            <w:bottom w:w="0" w:type="dxa"/>
          </w:tblCellMar>
        </w:tblPrEx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87B13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EHR/pharmacy system integration (API)</w:t>
            </w:r>
          </w:p>
        </w:tc>
        <w:tc>
          <w:tcPr>
            <w:tcW w:w="12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64FAF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Low initially, high long-term</w:t>
            </w:r>
          </w:p>
        </w:tc>
        <w:tc>
          <w:tcPr>
            <w:tcW w:w="12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BC6DC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High</w:t>
            </w:r>
          </w:p>
        </w:tc>
        <w:tc>
          <w:tcPr>
            <w:tcW w:w="141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8E168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Low</w:t>
            </w:r>
          </w:p>
        </w:tc>
        <w:tc>
          <w:tcPr>
            <w:tcW w:w="12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C1372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High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2CCE3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P2 — Scale phase</w:t>
            </w:r>
          </w:p>
        </w:tc>
      </w:tr>
    </w:tbl>
    <w:p w14:paraId="23FA0E94" w14:textId="77777777" w:rsidR="004838D0" w:rsidRPr="00820F25" w:rsidRDefault="00000000">
      <w:pPr>
        <w:pStyle w:val="Heading1"/>
        <w:rPr>
          <w:rFonts w:ascii="Times New Roman" w:hAnsi="Times New Roman" w:cs="Times New Roman"/>
        </w:rPr>
      </w:pPr>
      <w:r w:rsidRPr="00820F25">
        <w:rPr>
          <w:rFonts w:ascii="Times New Roman" w:hAnsi="Times New Roman" w:cs="Times New Roman"/>
        </w:rPr>
        <w:t>7. Metrics Framework (KPI Architecture)</w:t>
      </w:r>
    </w:p>
    <w:p w14:paraId="4B0E0986" w14:textId="77777777" w:rsidR="004838D0" w:rsidRPr="00820F25" w:rsidRDefault="00000000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820F25">
        <w:rPr>
          <w:rFonts w:ascii="Times New Roman" w:hAnsi="Times New Roman" w:cs="Times New Roman"/>
          <w:sz w:val="22"/>
          <w:szCs w:val="22"/>
        </w:rPr>
        <w:t>Strategic Objective</w:t>
      </w:r>
    </w:p>
    <w:p w14:paraId="749037A3" w14:textId="77777777" w:rsidR="004838D0" w:rsidRPr="00820F25" w:rsidRDefault="00000000">
      <w:pPr>
        <w:spacing w:after="160"/>
        <w:rPr>
          <w:rFonts w:ascii="Times New Roman" w:hAnsi="Times New Roman" w:cs="Times New Roman"/>
          <w:sz w:val="22"/>
          <w:szCs w:val="22"/>
        </w:rPr>
      </w:pPr>
      <w:r w:rsidRPr="00820F25">
        <w:rPr>
          <w:rFonts w:ascii="Times New Roman" w:hAnsi="Times New Roman" w:cs="Times New Roman"/>
          <w:sz w:val="22"/>
          <w:szCs w:val="22"/>
        </w:rPr>
        <w:t xml:space="preserve">Manage two linked decisions: (1) is the product </w:t>
      </w:r>
      <w:proofErr w:type="gramStart"/>
      <w:r w:rsidRPr="00820F25">
        <w:rPr>
          <w:rFonts w:ascii="Times New Roman" w:hAnsi="Times New Roman" w:cs="Times New Roman"/>
          <w:sz w:val="22"/>
          <w:szCs w:val="22"/>
        </w:rPr>
        <w:t>actually reducing</w:t>
      </w:r>
      <w:proofErr w:type="gramEnd"/>
      <w:r w:rsidRPr="00820F25">
        <w:rPr>
          <w:rFonts w:ascii="Times New Roman" w:hAnsi="Times New Roman" w:cs="Times New Roman"/>
          <w:sz w:val="22"/>
          <w:szCs w:val="22"/>
        </w:rPr>
        <w:t xml:space="preserve"> missed doses and dangerous interactions, safely, and (2) is it building the engagement and B2B traction needed to scale.</w:t>
      </w:r>
    </w:p>
    <w:p w14:paraId="5BB35FE0" w14:textId="77777777" w:rsidR="004838D0" w:rsidRPr="00820F25" w:rsidRDefault="00000000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820F25">
        <w:rPr>
          <w:rFonts w:ascii="Times New Roman" w:hAnsi="Times New Roman" w:cs="Times New Roman"/>
          <w:sz w:val="22"/>
          <w:szCs w:val="22"/>
        </w:rPr>
        <w:t>KPI System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98"/>
        <w:gridCol w:w="1279"/>
        <w:gridCol w:w="2599"/>
        <w:gridCol w:w="1403"/>
        <w:gridCol w:w="2201"/>
      </w:tblGrid>
      <w:tr w:rsidR="004838D0" w:rsidRPr="00820F25" w14:paraId="61EEDB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21" w:type="dxa"/>
            <w:shd w:val="clear" w:color="auto" w:fill="2F52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1F15D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lastRenderedPageBreak/>
              <w:t>KPI</w:t>
            </w:r>
          </w:p>
        </w:tc>
        <w:tc>
          <w:tcPr>
            <w:tcW w:w="1210" w:type="dxa"/>
            <w:shd w:val="clear" w:color="auto" w:fill="2F52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54039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2621" w:type="dxa"/>
            <w:shd w:val="clear" w:color="auto" w:fill="2F52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D9077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Decision It Supports</w:t>
            </w:r>
          </w:p>
        </w:tc>
        <w:tc>
          <w:tcPr>
            <w:tcW w:w="1411" w:type="dxa"/>
            <w:shd w:val="clear" w:color="auto" w:fill="2F52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C0332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Owner</w:t>
            </w:r>
          </w:p>
        </w:tc>
        <w:tc>
          <w:tcPr>
            <w:tcW w:w="2218" w:type="dxa"/>
            <w:shd w:val="clear" w:color="auto" w:fill="2F52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34018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Threshold</w:t>
            </w:r>
          </w:p>
        </w:tc>
      </w:tr>
      <w:tr w:rsidR="004838D0" w:rsidRPr="00820F25" w14:paraId="4554BDB3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A821B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Medication adherence rate (doses taken / doses scheduled)</w:t>
            </w:r>
          </w:p>
        </w:tc>
        <w:tc>
          <w:tcPr>
            <w:tcW w:w="12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E0FB0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Outcome</w:t>
            </w:r>
          </w:p>
        </w:tc>
        <w:tc>
          <w:tcPr>
            <w:tcW w:w="262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CB086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Is the product delivering its core clinical value?</w:t>
            </w:r>
          </w:p>
        </w:tc>
        <w:tc>
          <w:tcPr>
            <w:tcW w:w="141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CD97F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Clinical Lead</w:t>
            </w:r>
          </w:p>
        </w:tc>
        <w:tc>
          <w:tcPr>
            <w:tcW w:w="221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0CEA7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≥ 85% at 90 days</w:t>
            </w:r>
          </w:p>
        </w:tc>
      </w:tr>
      <w:tr w:rsidR="004838D0" w:rsidRPr="00820F25" w14:paraId="56B489C5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E5E7B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Interaction alerts acted on (pharmacist contacted / dose adjusted)</w:t>
            </w:r>
          </w:p>
        </w:tc>
        <w:tc>
          <w:tcPr>
            <w:tcW w:w="1210" w:type="dxa"/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B8872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Driver</w:t>
            </w:r>
          </w:p>
        </w:tc>
        <w:tc>
          <w:tcPr>
            <w:tcW w:w="2621" w:type="dxa"/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E6F9B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Are alerts </w:t>
            </w:r>
            <w:proofErr w:type="gramStart"/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actually changing</w:t>
            </w:r>
            <w:proofErr w:type="gramEnd"/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behavior</w:t>
            </w:r>
            <w:proofErr w:type="spellEnd"/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, not just being dismissed?</w:t>
            </w:r>
          </w:p>
        </w:tc>
        <w:tc>
          <w:tcPr>
            <w:tcW w:w="1411" w:type="dxa"/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C6042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Product Lead</w:t>
            </w:r>
          </w:p>
        </w:tc>
        <w:tc>
          <w:tcPr>
            <w:tcW w:w="2218" w:type="dxa"/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57A5F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≥ 70%</w:t>
            </w:r>
          </w:p>
        </w:tc>
      </w:tr>
      <w:tr w:rsidR="004838D0" w:rsidRPr="00820F25" w14:paraId="5D8960D4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61CC3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False-positive interaction rate (pharmacist-audited)</w:t>
            </w:r>
          </w:p>
        </w:tc>
        <w:tc>
          <w:tcPr>
            <w:tcW w:w="12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A48A5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Quality / Driver</w:t>
            </w:r>
          </w:p>
        </w:tc>
        <w:tc>
          <w:tcPr>
            <w:tcW w:w="262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1B9AE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Is alert fatigue eroding trust?</w:t>
            </w:r>
          </w:p>
        </w:tc>
        <w:tc>
          <w:tcPr>
            <w:tcW w:w="141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D3CF3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ML Lead</w:t>
            </w:r>
          </w:p>
        </w:tc>
        <w:tc>
          <w:tcPr>
            <w:tcW w:w="221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80FF8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&lt; 5%</w:t>
            </w:r>
          </w:p>
        </w:tc>
      </w:tr>
      <w:tr w:rsidR="004838D0" w:rsidRPr="00820F25" w14:paraId="6EC1C82A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486A5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30-day retention</w:t>
            </w:r>
          </w:p>
        </w:tc>
        <w:tc>
          <w:tcPr>
            <w:tcW w:w="1210" w:type="dxa"/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E5BC9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Leading</w:t>
            </w:r>
          </w:p>
        </w:tc>
        <w:tc>
          <w:tcPr>
            <w:tcW w:w="2621" w:type="dxa"/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3DA99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Is the daily-use loop working?</w:t>
            </w:r>
          </w:p>
        </w:tc>
        <w:tc>
          <w:tcPr>
            <w:tcW w:w="1411" w:type="dxa"/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622B4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Growth Lead</w:t>
            </w:r>
          </w:p>
        </w:tc>
        <w:tc>
          <w:tcPr>
            <w:tcW w:w="2218" w:type="dxa"/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E4ECC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≥ 40%</w:t>
            </w:r>
          </w:p>
        </w:tc>
      </w:tr>
      <w:tr w:rsidR="004838D0" w:rsidRPr="00820F25" w14:paraId="3FEE8D2A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8EE38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Pharmacist review turnaround time</w:t>
            </w:r>
          </w:p>
        </w:tc>
        <w:tc>
          <w:tcPr>
            <w:tcW w:w="12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790AC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Leading / Operational</w:t>
            </w:r>
          </w:p>
        </w:tc>
        <w:tc>
          <w:tcPr>
            <w:tcW w:w="262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5BE0C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Is the human-in-the-loop step a bottleneck?</w:t>
            </w:r>
          </w:p>
        </w:tc>
        <w:tc>
          <w:tcPr>
            <w:tcW w:w="141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8A89B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Clinical Ops</w:t>
            </w:r>
          </w:p>
        </w:tc>
        <w:tc>
          <w:tcPr>
            <w:tcW w:w="221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8F868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&lt; 2 hours for high-risk flags</w:t>
            </w:r>
          </w:p>
        </w:tc>
      </w:tr>
      <w:tr w:rsidR="004838D0" w:rsidRPr="00820F25" w14:paraId="75EA0233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A66DD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Adverse-event</w:t>
            </w:r>
            <w:proofErr w:type="gramEnd"/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/ readmission proxy reduction (B2B pilot cohort)</w:t>
            </w:r>
          </w:p>
        </w:tc>
        <w:tc>
          <w:tcPr>
            <w:tcW w:w="1210" w:type="dxa"/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9079F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Outcome (lagging)</w:t>
            </w:r>
          </w:p>
        </w:tc>
        <w:tc>
          <w:tcPr>
            <w:tcW w:w="2621" w:type="dxa"/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648B6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Does this justify PBM/insurer contract renewal and pricing?</w:t>
            </w:r>
          </w:p>
        </w:tc>
        <w:tc>
          <w:tcPr>
            <w:tcW w:w="1411" w:type="dxa"/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041CF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Medical Affairs</w:t>
            </w:r>
          </w:p>
        </w:tc>
        <w:tc>
          <w:tcPr>
            <w:tcW w:w="2218" w:type="dxa"/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99E48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Statistically significant reduction vs. control cohort</w:t>
            </w:r>
          </w:p>
        </w:tc>
      </w:tr>
      <w:tr w:rsidR="004838D0" w:rsidRPr="00820F25" w14:paraId="4A1BD0D2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35AC3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B2B pilot-to-contract conversion rate</w:t>
            </w:r>
          </w:p>
        </w:tc>
        <w:tc>
          <w:tcPr>
            <w:tcW w:w="12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DA49C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Outcome</w:t>
            </w:r>
          </w:p>
        </w:tc>
        <w:tc>
          <w:tcPr>
            <w:tcW w:w="262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0D03C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Is the go-to-market channel working?</w:t>
            </w:r>
          </w:p>
        </w:tc>
        <w:tc>
          <w:tcPr>
            <w:tcW w:w="141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16649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BD </w:t>
            </w:r>
            <w:proofErr w:type="gramStart"/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Lead</w:t>
            </w:r>
            <w:proofErr w:type="gramEnd"/>
          </w:p>
        </w:tc>
        <w:tc>
          <w:tcPr>
            <w:tcW w:w="221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DEC38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≥ 30% of pilots convert</w:t>
            </w:r>
          </w:p>
        </w:tc>
      </w:tr>
    </w:tbl>
    <w:p w14:paraId="2826F623" w14:textId="77777777" w:rsidR="004838D0" w:rsidRPr="00820F25" w:rsidRDefault="00000000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820F25">
        <w:rPr>
          <w:rFonts w:ascii="Times New Roman" w:hAnsi="Times New Roman" w:cs="Times New Roman"/>
          <w:sz w:val="22"/>
          <w:szCs w:val="22"/>
        </w:rPr>
        <w:t>Metrics to Remove (Vanity Metrics)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4"/>
        <w:gridCol w:w="7056"/>
      </w:tblGrid>
      <w:tr w:rsidR="004838D0" w:rsidRPr="00820F25" w14:paraId="5D6414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24" w:type="dxa"/>
            <w:shd w:val="clear" w:color="auto" w:fill="2F52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D5B20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Metric</w:t>
            </w:r>
          </w:p>
        </w:tc>
        <w:tc>
          <w:tcPr>
            <w:tcW w:w="7056" w:type="dxa"/>
            <w:shd w:val="clear" w:color="auto" w:fill="2F52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DE697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Why Remove</w:t>
            </w:r>
          </w:p>
        </w:tc>
      </w:tr>
      <w:tr w:rsidR="004838D0" w:rsidRPr="00820F25" w14:paraId="4369C099" w14:textId="77777777">
        <w:tblPrEx>
          <w:tblCellMar>
            <w:top w:w="0" w:type="dxa"/>
            <w:bottom w:w="0" w:type="dxa"/>
          </w:tblCellMar>
        </w:tblPrEx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ED23C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Total app downloads</w:t>
            </w:r>
          </w:p>
        </w:tc>
        <w:tc>
          <w:tcPr>
            <w:tcW w:w="70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43172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Doesn't indicate adherence or safety outcomes — easy to inflate, disconnected from the decisions above.</w:t>
            </w:r>
          </w:p>
        </w:tc>
      </w:tr>
      <w:tr w:rsidR="004838D0" w:rsidRPr="00820F25" w14:paraId="372DDCA2" w14:textId="77777777">
        <w:tblPrEx>
          <w:tblCellMar>
            <w:top w:w="0" w:type="dxa"/>
            <w:bottom w:w="0" w:type="dxa"/>
          </w:tblCellMar>
        </w:tblPrEx>
        <w:tc>
          <w:tcPr>
            <w:tcW w:w="3024" w:type="dxa"/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E93C9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Daily Active Users (in isolation)</w:t>
            </w:r>
          </w:p>
        </w:tc>
        <w:tc>
          <w:tcPr>
            <w:tcW w:w="7056" w:type="dxa"/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85692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A patient checking the app more isn't inherently good — what matters is whether doses are </w:t>
            </w:r>
            <w:proofErr w:type="gramStart"/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actually taken</w:t>
            </w:r>
            <w:proofErr w:type="gramEnd"/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.</w:t>
            </w:r>
          </w:p>
        </w:tc>
      </w:tr>
      <w:tr w:rsidR="004838D0" w:rsidRPr="00820F25" w14:paraId="2693C38E" w14:textId="77777777">
        <w:tblPrEx>
          <w:tblCellMar>
            <w:top w:w="0" w:type="dxa"/>
            <w:bottom w:w="0" w:type="dxa"/>
          </w:tblCellMar>
        </w:tblPrEx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5F22A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lastRenderedPageBreak/>
              <w:t>Number of AI-generated explanations sent</w:t>
            </w:r>
          </w:p>
        </w:tc>
        <w:tc>
          <w:tcPr>
            <w:tcW w:w="70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821C1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An activity metric, not an outcome; volume says nothing about whether explanations were correct or useful.</w:t>
            </w:r>
          </w:p>
        </w:tc>
      </w:tr>
    </w:tbl>
    <w:p w14:paraId="0DC1DB48" w14:textId="77777777" w:rsidR="004838D0" w:rsidRPr="00820F25" w:rsidRDefault="00000000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820F25">
        <w:rPr>
          <w:rFonts w:ascii="Times New Roman" w:hAnsi="Times New Roman" w:cs="Times New Roman"/>
          <w:sz w:val="22"/>
          <w:szCs w:val="22"/>
        </w:rPr>
        <w:t>Review Cadence</w:t>
      </w:r>
    </w:p>
    <w:p w14:paraId="61061193" w14:textId="77777777" w:rsidR="004838D0" w:rsidRPr="00820F25" w:rsidRDefault="00000000">
      <w:pPr>
        <w:spacing w:after="160"/>
        <w:rPr>
          <w:rFonts w:ascii="Times New Roman" w:hAnsi="Times New Roman" w:cs="Times New Roman"/>
          <w:sz w:val="22"/>
          <w:szCs w:val="22"/>
        </w:rPr>
      </w:pPr>
      <w:r w:rsidRPr="00820F25">
        <w:rPr>
          <w:rFonts w:ascii="Times New Roman" w:hAnsi="Times New Roman" w:cs="Times New Roman"/>
          <w:sz w:val="22"/>
          <w:szCs w:val="22"/>
        </w:rPr>
        <w:t>Weekly: clinical-quality review of pharmacist-audited alerts (false-positive/negative rate) by the Clinical Lead and ML Lead. Monthly: product/growth review of adherence, retention, and alert-action metrics. Quarterly: B2B pilot outcomes reviewed with Medical Affairs and BD for contract/renewal decisions. Escalation trigger: any single missed high-risk interaction that reaches a patient without pharmacist review triggers an immediate incident review, independent of the regular cadence.</w:t>
      </w:r>
    </w:p>
    <w:p w14:paraId="40DD2BFD" w14:textId="77777777" w:rsidR="004838D0" w:rsidRPr="00820F25" w:rsidRDefault="00000000">
      <w:pPr>
        <w:pStyle w:val="Heading1"/>
        <w:rPr>
          <w:rFonts w:ascii="Times New Roman" w:hAnsi="Times New Roman" w:cs="Times New Roman"/>
        </w:rPr>
      </w:pPr>
      <w:r w:rsidRPr="00820F25">
        <w:rPr>
          <w:rFonts w:ascii="Times New Roman" w:hAnsi="Times New Roman" w:cs="Times New Roman"/>
        </w:rPr>
        <w:t>8. Data Sources &amp; Feasibility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9"/>
        <w:gridCol w:w="4637"/>
        <w:gridCol w:w="3024"/>
      </w:tblGrid>
      <w:tr w:rsidR="004838D0" w:rsidRPr="00820F25" w14:paraId="03BB9E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19" w:type="dxa"/>
            <w:shd w:val="clear" w:color="auto" w:fill="2F52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D5ED9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Source</w:t>
            </w:r>
          </w:p>
        </w:tc>
        <w:tc>
          <w:tcPr>
            <w:tcW w:w="4637" w:type="dxa"/>
            <w:shd w:val="clear" w:color="auto" w:fill="2F52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CB825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What It Provides</w:t>
            </w:r>
          </w:p>
        </w:tc>
        <w:tc>
          <w:tcPr>
            <w:tcW w:w="3024" w:type="dxa"/>
            <w:shd w:val="clear" w:color="auto" w:fill="2F52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15376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Access</w:t>
            </w:r>
          </w:p>
        </w:tc>
      </w:tr>
      <w:tr w:rsidR="004838D0" w:rsidRPr="00820F25" w14:paraId="0B7FECF9" w14:textId="77777777">
        <w:tblPrEx>
          <w:tblCellMar>
            <w:top w:w="0" w:type="dxa"/>
            <w:bottom w:w="0" w:type="dxa"/>
          </w:tblCellMar>
        </w:tblPrEx>
        <w:tc>
          <w:tcPr>
            <w:tcW w:w="241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E420A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DrugBank</w:t>
            </w:r>
            <w:proofErr w:type="spellEnd"/>
          </w:p>
        </w:tc>
        <w:tc>
          <w:tcPr>
            <w:tcW w:w="463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86A06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Structured drug-drug interaction data, mechanisms, and severity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853B3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Free academic/API access; commercial licensing for production scale</w:t>
            </w:r>
          </w:p>
        </w:tc>
      </w:tr>
      <w:tr w:rsidR="004838D0" w:rsidRPr="00820F25" w14:paraId="59286DA1" w14:textId="77777777">
        <w:tblPrEx>
          <w:tblCellMar>
            <w:top w:w="0" w:type="dxa"/>
            <w:bottom w:w="0" w:type="dxa"/>
          </w:tblCellMar>
        </w:tblPrEx>
        <w:tc>
          <w:tcPr>
            <w:tcW w:w="2419" w:type="dxa"/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2B1FF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RxNorm</w:t>
            </w:r>
            <w:proofErr w:type="spellEnd"/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(U.S. National Library of Medicine)</w:t>
            </w:r>
          </w:p>
        </w:tc>
        <w:tc>
          <w:tcPr>
            <w:tcW w:w="4637" w:type="dxa"/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35D8C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Standardized drug naming/normalization so free-text or scanned labels map to a canonical drug identity</w:t>
            </w:r>
          </w:p>
        </w:tc>
        <w:tc>
          <w:tcPr>
            <w:tcW w:w="3024" w:type="dxa"/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8C2DD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Free public API</w:t>
            </w:r>
          </w:p>
        </w:tc>
      </w:tr>
      <w:tr w:rsidR="004838D0" w:rsidRPr="00820F25" w14:paraId="7694C08D" w14:textId="77777777">
        <w:tblPrEx>
          <w:tblCellMar>
            <w:top w:w="0" w:type="dxa"/>
            <w:bottom w:w="0" w:type="dxa"/>
          </w:tblCellMar>
        </w:tblPrEx>
        <w:tc>
          <w:tcPr>
            <w:tcW w:w="241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28F0E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openFDA</w:t>
            </w:r>
            <w:proofErr w:type="spellEnd"/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(FDA)</w:t>
            </w:r>
          </w:p>
        </w:tc>
        <w:tc>
          <w:tcPr>
            <w:tcW w:w="463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6F690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Structured drug label data, adverse event reports (FAERS) for safety-signal context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DAA22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Free public API</w:t>
            </w:r>
          </w:p>
        </w:tc>
      </w:tr>
      <w:tr w:rsidR="004838D0" w:rsidRPr="00820F25" w14:paraId="2ECC5B7A" w14:textId="77777777">
        <w:tblPrEx>
          <w:tblCellMar>
            <w:top w:w="0" w:type="dxa"/>
            <w:bottom w:w="0" w:type="dxa"/>
          </w:tblCellMar>
        </w:tblPrEx>
        <w:tc>
          <w:tcPr>
            <w:tcW w:w="2419" w:type="dxa"/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BD822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First-party adherence &amp; check-in data</w:t>
            </w:r>
          </w:p>
        </w:tc>
        <w:tc>
          <w:tcPr>
            <w:tcW w:w="4637" w:type="dxa"/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F7462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Patient-specific adherence history used to personalize risk and timing of nudges</w:t>
            </w:r>
          </w:p>
        </w:tc>
        <w:tc>
          <w:tcPr>
            <w:tcW w:w="3024" w:type="dxa"/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099E2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Collected directly, with explicit consent (see Section 10)</w:t>
            </w:r>
          </w:p>
        </w:tc>
      </w:tr>
    </w:tbl>
    <w:p w14:paraId="70DE3221" w14:textId="77777777" w:rsidR="004838D0" w:rsidRPr="00820F25" w:rsidRDefault="00000000">
      <w:pPr>
        <w:pStyle w:val="Heading1"/>
        <w:rPr>
          <w:rFonts w:ascii="Times New Roman" w:hAnsi="Times New Roman" w:cs="Times New Roman"/>
        </w:rPr>
      </w:pPr>
      <w:r w:rsidRPr="00820F25">
        <w:rPr>
          <w:rFonts w:ascii="Times New Roman" w:hAnsi="Times New Roman" w:cs="Times New Roman"/>
        </w:rPr>
        <w:t>9. Risk Assessment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88"/>
        <w:gridCol w:w="1255"/>
        <w:gridCol w:w="1291"/>
        <w:gridCol w:w="5146"/>
      </w:tblGrid>
      <w:tr w:rsidR="004838D0" w:rsidRPr="00820F25" w14:paraId="0A8549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19" w:type="dxa"/>
            <w:shd w:val="clear" w:color="auto" w:fill="2F52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621E3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Risk</w:t>
            </w:r>
          </w:p>
        </w:tc>
        <w:tc>
          <w:tcPr>
            <w:tcW w:w="1210" w:type="dxa"/>
            <w:shd w:val="clear" w:color="auto" w:fill="2F52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ECBB9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Likelihood</w:t>
            </w:r>
          </w:p>
        </w:tc>
        <w:tc>
          <w:tcPr>
            <w:tcW w:w="1210" w:type="dxa"/>
            <w:shd w:val="clear" w:color="auto" w:fill="2F52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A2BE8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Impact</w:t>
            </w:r>
          </w:p>
        </w:tc>
        <w:tc>
          <w:tcPr>
            <w:tcW w:w="5242" w:type="dxa"/>
            <w:shd w:val="clear" w:color="auto" w:fill="2F52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349DD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Mitigation</w:t>
            </w:r>
          </w:p>
        </w:tc>
      </w:tr>
      <w:tr w:rsidR="004838D0" w:rsidRPr="00820F25" w14:paraId="28DEACB6" w14:textId="77777777">
        <w:tblPrEx>
          <w:tblCellMar>
            <w:top w:w="0" w:type="dxa"/>
            <w:bottom w:w="0" w:type="dxa"/>
          </w:tblCellMar>
        </w:tblPrEx>
        <w:tc>
          <w:tcPr>
            <w:tcW w:w="241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2BEA1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Missed or incorrect high-risk interaction reaches a patient unreviewed</w:t>
            </w:r>
          </w:p>
        </w:tc>
        <w:tc>
          <w:tcPr>
            <w:tcW w:w="12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7F32D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Low (with MVP design)</w:t>
            </w:r>
          </w:p>
        </w:tc>
        <w:tc>
          <w:tcPr>
            <w:tcW w:w="12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8EED9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Severe — potential patient harm, liability</w:t>
            </w:r>
          </w:p>
        </w:tc>
        <w:tc>
          <w:tcPr>
            <w:tcW w:w="524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FCB15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Mandatory pharmacist review of all high-risk flags in MVP 1; conservative risk-banding </w:t>
            </w:r>
            <w:proofErr w:type="gramStart"/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that over-flags</w:t>
            </w:r>
            <w:proofErr w:type="gramEnd"/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rather than under-flags; incident-review process (Section 7).</w:t>
            </w:r>
          </w:p>
        </w:tc>
      </w:tr>
      <w:tr w:rsidR="004838D0" w:rsidRPr="00820F25" w14:paraId="300E457D" w14:textId="77777777">
        <w:tblPrEx>
          <w:tblCellMar>
            <w:top w:w="0" w:type="dxa"/>
            <w:bottom w:w="0" w:type="dxa"/>
          </w:tblCellMar>
        </w:tblPrEx>
        <w:tc>
          <w:tcPr>
            <w:tcW w:w="2419" w:type="dxa"/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491EC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lastRenderedPageBreak/>
              <w:t>Regulatory classification as a medical device (e.g., Software as a Medical Device)</w:t>
            </w:r>
          </w:p>
        </w:tc>
        <w:tc>
          <w:tcPr>
            <w:tcW w:w="1210" w:type="dxa"/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EA902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Medium</w:t>
            </w:r>
          </w:p>
        </w:tc>
        <w:tc>
          <w:tcPr>
            <w:tcW w:w="1210" w:type="dxa"/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673E4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High — could halt launch or require clinical trials</w:t>
            </w:r>
          </w:p>
        </w:tc>
        <w:tc>
          <w:tcPr>
            <w:tcW w:w="5242" w:type="dxa"/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8BFAE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Engage regulatory counsel early; design MVP 1 explicitly as a decision-support / information tool with mandatory human review, not an autonomous diagnostic device; track evolving guidance in the target launch market.</w:t>
            </w:r>
          </w:p>
        </w:tc>
      </w:tr>
      <w:tr w:rsidR="004838D0" w:rsidRPr="00820F25" w14:paraId="32E8C33C" w14:textId="77777777">
        <w:tblPrEx>
          <w:tblCellMar>
            <w:top w:w="0" w:type="dxa"/>
            <w:bottom w:w="0" w:type="dxa"/>
          </w:tblCellMar>
        </w:tblPrEx>
        <w:tc>
          <w:tcPr>
            <w:tcW w:w="241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C86A1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Health data privacy breach</w:t>
            </w:r>
          </w:p>
        </w:tc>
        <w:tc>
          <w:tcPr>
            <w:tcW w:w="12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5AD7F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Low–Medium</w:t>
            </w:r>
          </w:p>
        </w:tc>
        <w:tc>
          <w:tcPr>
            <w:tcW w:w="12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DC744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Severe — legal and reputational damage</w:t>
            </w:r>
          </w:p>
        </w:tc>
        <w:tc>
          <w:tcPr>
            <w:tcW w:w="524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24549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Encrypt data at rest/in transit; minimize data retention; comply with applicable health-data regulation (e.g., HIPAA in the U.S., India's DPDP Act) in the launch market; third-party security audit before B2B pilots.</w:t>
            </w:r>
          </w:p>
        </w:tc>
      </w:tr>
      <w:tr w:rsidR="004838D0" w:rsidRPr="00820F25" w14:paraId="63F4310B" w14:textId="77777777">
        <w:tblPrEx>
          <w:tblCellMar>
            <w:top w:w="0" w:type="dxa"/>
            <w:bottom w:w="0" w:type="dxa"/>
          </w:tblCellMar>
        </w:tblPrEx>
        <w:tc>
          <w:tcPr>
            <w:tcW w:w="2419" w:type="dxa"/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693BD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Model/data drift as new drugs or generics enter the market</w:t>
            </w:r>
          </w:p>
        </w:tc>
        <w:tc>
          <w:tcPr>
            <w:tcW w:w="1210" w:type="dxa"/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E8350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Medium</w:t>
            </w:r>
          </w:p>
        </w:tc>
        <w:tc>
          <w:tcPr>
            <w:tcW w:w="1210" w:type="dxa"/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0831B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Medium — stale interaction data</w:t>
            </w:r>
          </w:p>
        </w:tc>
        <w:tc>
          <w:tcPr>
            <w:tcW w:w="5242" w:type="dxa"/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28424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Scheduled sync with </w:t>
            </w:r>
            <w:proofErr w:type="spellStart"/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DrugBank</w:t>
            </w:r>
            <w:proofErr w:type="spellEnd"/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/</w:t>
            </w:r>
            <w:proofErr w:type="spellStart"/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openFDA</w:t>
            </w:r>
            <w:proofErr w:type="spellEnd"/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update cycles; automated alert if a scanned medication has no current match, routed to pharmacist rather than silently ignored.</w:t>
            </w:r>
          </w:p>
        </w:tc>
      </w:tr>
      <w:tr w:rsidR="004838D0" w:rsidRPr="00820F25" w14:paraId="709123E6" w14:textId="77777777">
        <w:tblPrEx>
          <w:tblCellMar>
            <w:top w:w="0" w:type="dxa"/>
            <w:bottom w:w="0" w:type="dxa"/>
          </w:tblCellMar>
        </w:tblPrEx>
        <w:tc>
          <w:tcPr>
            <w:tcW w:w="241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A5647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Automation bias — patients over-trust the app and stop consulting their doctor</w:t>
            </w:r>
          </w:p>
        </w:tc>
        <w:tc>
          <w:tcPr>
            <w:tcW w:w="12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CAF1E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Medium</w:t>
            </w:r>
          </w:p>
        </w:tc>
        <w:tc>
          <w:tcPr>
            <w:tcW w:w="12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6FD1F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Medium–High</w:t>
            </w:r>
          </w:p>
        </w:tc>
        <w:tc>
          <w:tcPr>
            <w:tcW w:w="524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96554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UX explicitly frames the app as a support tool (Section 5.3); persistent, low-friction escalation to a human pharmacist; periodic reminders to review medications with a prescriber.</w:t>
            </w:r>
          </w:p>
        </w:tc>
      </w:tr>
      <w:tr w:rsidR="004838D0" w:rsidRPr="00820F25" w14:paraId="0CA58D13" w14:textId="77777777">
        <w:tblPrEx>
          <w:tblCellMar>
            <w:top w:w="0" w:type="dxa"/>
            <w:bottom w:w="0" w:type="dxa"/>
          </w:tblCellMar>
        </w:tblPrEx>
        <w:tc>
          <w:tcPr>
            <w:tcW w:w="2419" w:type="dxa"/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2D56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Low adoption among lower digital-literacy or non-English-speaking patients, widening health disparities</w:t>
            </w:r>
          </w:p>
        </w:tc>
        <w:tc>
          <w:tcPr>
            <w:tcW w:w="1210" w:type="dxa"/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6FC9B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Medium</w:t>
            </w:r>
          </w:p>
        </w:tc>
        <w:tc>
          <w:tcPr>
            <w:tcW w:w="1210" w:type="dxa"/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5A146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Medium</w:t>
            </w:r>
          </w:p>
        </w:tc>
        <w:tc>
          <w:tcPr>
            <w:tcW w:w="5242" w:type="dxa"/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8C18A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Multilingual support and a low-literacy UX mode from MVP; caregiver-assisted onboarding flow; usability testing with the target demographic before launch.</w:t>
            </w:r>
          </w:p>
        </w:tc>
      </w:tr>
    </w:tbl>
    <w:p>
      <w:pPr>
        <w:pStyle w:val="Heading2"/>
      </w:pPr>
      <w:r>
        <w:t>9.7 Regulatory Positioning &amp; Timeline</w:t>
      </w:r>
    </w:p>
    <w:p>
      <w:r>
        <w:rPr>
          <w:b/>
        </w:rPr>
        <w:t xml:space="preserve">Target classification: </w:t>
      </w:r>
      <w:r>
        <w:t>MVP 1 is deliberately positioned as a non-SaMD (Software as a Medical Device) wellness and adherence tool with clinician-facing decision support, not an autonomous diagnostic system. Under FDA and IMDRF guidance, software only qualifies as SaMD when it independently produces a medical conclusion — diagnosing, treating, or monitoring disease on its own. MedGuardian's design keeps every moderate- or high-risk output behind a mandatory pharmacist review (Section 4.3) and never issues an autonomous treatment recommendation, which is what keeps it on the lighter side of that line.</w:t>
      </w:r>
    </w:p>
    <w:p>
      <w:r>
        <w:rPr>
          <w:b/>
        </w:rPr>
        <w:t xml:space="preserve">Why this matters: </w:t>
      </w:r>
      <w:r>
        <w:t>regulatory classification is the single largest driver of time-to-launch for a clinical AI product. The table below states this as an explicit planning assumption — the exact figures should be validated with regulatory counsel before any launch date is committed to, but the directional gap between the two paths is large enough to be a first-order product decision, not a detail.</w:t>
      </w:r>
    </w:p>
    <w:tbl>
      <w:tblPr>
        <w:tblW w:type="auto" w:w="0"/>
        <w:tblBorders>
          <w:top w:val="single" w:sz="4" w:space="0" w:color="B7C6E3"/>
          <w:left w:val="single" w:sz="4" w:space="0" w:color="B7C6E3"/>
          <w:bottom w:val="single" w:sz="4" w:space="0" w:color="B7C6E3"/>
          <w:right w:val="single" w:sz="4" w:space="0" w:color="B7C6E3"/>
          <w:insideH w:val="single" w:sz="4" w:space="0" w:color="B7C6E3"/>
          <w:insideV w:val="single" w:sz="4" w:space="0" w:color="B7C6E3"/>
        </w:tblBorders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0A53BE"/>
          </w:tcPr>
          <w:p>
            <w:r/>
            <w:r>
              <w:rPr>
                <w:b/>
                <w:color w:val="FFFFFF"/>
              </w:rPr>
              <w:t>Path</w:t>
            </w:r>
          </w:p>
        </w:tc>
        <w:tc>
          <w:tcPr>
            <w:tcW w:type="dxa" w:w="3360"/>
            <w:shd w:val="clear" w:color="auto" w:fill="0A53BE"/>
          </w:tcPr>
          <w:p>
            <w:r/>
            <w:r>
              <w:rPr>
                <w:b/>
                <w:color w:val="FFFFFF"/>
              </w:rPr>
              <w:t>Positioning</w:t>
            </w:r>
          </w:p>
        </w:tc>
        <w:tc>
          <w:tcPr>
            <w:tcW w:type="dxa" w:w="3360"/>
            <w:shd w:val="clear" w:color="auto" w:fill="0A53BE"/>
          </w:tcPr>
          <w:p>
            <w:r/>
            <w:r>
              <w:rPr>
                <w:b/>
                <w:color w:val="FFFFFF"/>
              </w:rPr>
              <w:t>Planning-assumption timeline</w:t>
            </w:r>
          </w:p>
        </w:tc>
      </w:tr>
      <w:tr>
        <w:tc>
          <w:tcPr>
            <w:tcW w:type="dxa" w:w="3360"/>
          </w:tcPr>
          <w:p>
            <w:r>
              <w:t>A — Recommended for MVP 1</w:t>
            </w:r>
          </w:p>
        </w:tc>
        <w:tc>
          <w:tcPr>
            <w:tcW w:type="dxa" w:w="3360"/>
          </w:tcPr>
          <w:p>
            <w:r>
              <w:t>Non-SaMD wellness/adherence tool with mandatory human review; no autonomous diagnostic or treatment claim</w:t>
            </w:r>
          </w:p>
        </w:tc>
        <w:tc>
          <w:tcPr>
            <w:tcW w:type="dxa" w:w="3360"/>
          </w:tcPr>
          <w:p>
            <w:r>
              <w:t>No FDA premarket clearance required; ~3–6 months to a launchable build, dominated by internal safety/privacy review, not regulatory filing</w:t>
            </w:r>
          </w:p>
        </w:tc>
      </w:tr>
      <w:tr>
        <w:tc>
          <w:tcPr>
            <w:tcW w:type="dxa" w:w="3360"/>
          </w:tcPr>
          <w:p>
            <w:r>
              <w:t>B — Clinical decision support (SaMD)</w:t>
            </w:r>
          </w:p>
        </w:tc>
        <w:tc>
          <w:tcPr>
            <w:tcW w:type="dxa" w:w="3360"/>
          </w:tcPr>
          <w:p>
            <w:r>
              <w:t>AI interaction alerts framed as an autonomous clinical judgment, aimed at replacing rather than informing a pharmacist</w:t>
            </w:r>
          </w:p>
        </w:tc>
        <w:tc>
          <w:tcPr>
            <w:tcW w:type="dxa" w:w="3360"/>
          </w:tcPr>
          <w:p>
            <w:r>
              <w:t>510(k)/De Novo submission; commonly 12+ months end-to-end once evidence-package build time is included, before any hospital sales cycle even starts</w:t>
            </w:r>
          </w:p>
        </w:tc>
      </w:tr>
    </w:tbl>
    <w:p>
      <w:r>
        <w:rPr>
          <w:i/>
          <w:sz w:val="18"/>
        </w:rPr>
        <w:t>Table 2. Regulatory path comparison — illustrative planning assumption, to be confirmed with regulatory counsel in the target launch market before Phase 1 begins.</w:t>
      </w:r>
    </w:p>
    <w:p>
      <w:r>
        <w:rPr>
          <w:b/>
        </w:rPr>
        <w:t xml:space="preserve">Implication for go-to-market: </w:t>
      </w:r>
      <w:r>
        <w:t>this is also why Phase 1–3 distribution (Section 11) targets pharmacy chains and PBMs/health plans rather than hospital EHR integration — that channel carries its own separate 6–12 month procurement and security-review cycle on top of any regulatory timeline, and is deliberately deferred to Phase 4 after the product has already been validated through a lighter-weight channel.</w:t>
      </w:r>
    </w:p>
    <w:p w14:paraId="4621BF62" w14:textId="77777777" w:rsidR="004838D0" w:rsidRPr="00820F25" w:rsidRDefault="00000000">
      <w:pPr>
        <w:pStyle w:val="Heading1"/>
        <w:rPr>
          <w:rFonts w:ascii="Times New Roman" w:hAnsi="Times New Roman" w:cs="Times New Roman"/>
        </w:rPr>
      </w:pPr>
      <w:r w:rsidRPr="00820F25">
        <w:rPr>
          <w:rFonts w:ascii="Times New Roman" w:hAnsi="Times New Roman" w:cs="Times New Roman"/>
        </w:rPr>
        <w:t>10. Ethical Impact Note</w:t>
      </w:r>
    </w:p>
    <w:p w14:paraId="17B7F642" w14:textId="77777777" w:rsidR="004838D0" w:rsidRPr="00820F25" w:rsidRDefault="00000000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820F25">
        <w:rPr>
          <w:rFonts w:ascii="Times New Roman" w:hAnsi="Times New Roman" w:cs="Times New Roman"/>
          <w:sz w:val="22"/>
          <w:szCs w:val="22"/>
        </w:rPr>
        <w:t>Possible Unintended Consequences</w:t>
      </w:r>
    </w:p>
    <w:p w14:paraId="076F0BC9" w14:textId="77777777" w:rsidR="004838D0" w:rsidRPr="00820F25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sz w:val="22"/>
          <w:szCs w:val="22"/>
        </w:rPr>
      </w:pPr>
      <w:r w:rsidRPr="00820F25">
        <w:rPr>
          <w:rFonts w:ascii="Times New Roman" w:hAnsi="Times New Roman" w:cs="Times New Roman"/>
          <w:sz w:val="22"/>
          <w:szCs w:val="22"/>
        </w:rPr>
        <w:t>Bias: interaction and adherence models trained or validated primarily on data from younger, English-speaking, higher-digital-literacy populations may perform worse for elderly, non-English-speaking, or low-literacy patients — exactly the group most affected by polypharmacy.</w:t>
      </w:r>
    </w:p>
    <w:p w14:paraId="4A23CE46" w14:textId="77777777" w:rsidR="004838D0" w:rsidRPr="00820F25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sz w:val="22"/>
          <w:szCs w:val="22"/>
        </w:rPr>
      </w:pPr>
      <w:r w:rsidRPr="00820F25">
        <w:rPr>
          <w:rFonts w:ascii="Times New Roman" w:hAnsi="Times New Roman" w:cs="Times New Roman"/>
          <w:sz w:val="22"/>
          <w:szCs w:val="22"/>
        </w:rPr>
        <w:t>Privacy: medication data is highly sensitive health information; aggregation with adherence and location (e.g., pharmacy pickup) data raises re-identification and surveillance risk if not tightly scoped.</w:t>
      </w:r>
    </w:p>
    <w:p w14:paraId="5AAD2C5E" w14:textId="77777777" w:rsidR="004838D0" w:rsidRPr="00820F25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sz w:val="22"/>
          <w:szCs w:val="22"/>
        </w:rPr>
      </w:pPr>
      <w:r w:rsidRPr="00820F25">
        <w:rPr>
          <w:rFonts w:ascii="Times New Roman" w:hAnsi="Times New Roman" w:cs="Times New Roman"/>
          <w:sz w:val="22"/>
          <w:szCs w:val="22"/>
        </w:rPr>
        <w:t>Job displacement / role shift: pharmacists could be perceived as being replaced by an app, when the intended design augments their capacity by pre-triaging low-risk cases so they can focus on high-risk ones.</w:t>
      </w:r>
    </w:p>
    <w:p w14:paraId="408C034A" w14:textId="77777777" w:rsidR="004838D0" w:rsidRPr="00820F25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sz w:val="22"/>
          <w:szCs w:val="22"/>
        </w:rPr>
      </w:pPr>
      <w:r w:rsidRPr="00820F25">
        <w:rPr>
          <w:rFonts w:ascii="Times New Roman" w:hAnsi="Times New Roman" w:cs="Times New Roman"/>
          <w:sz w:val="22"/>
          <w:szCs w:val="22"/>
        </w:rPr>
        <w:t>Over-reliance: patients may substitute the app's guidance for professional medical advice, especially for ambiguous or borderline-risk cases.</w:t>
      </w:r>
    </w:p>
    <w:p w14:paraId="5667125C" w14:textId="77777777" w:rsidR="004838D0" w:rsidRPr="00820F25" w:rsidRDefault="00000000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820F25">
        <w:rPr>
          <w:rFonts w:ascii="Times New Roman" w:hAnsi="Times New Roman" w:cs="Times New Roman"/>
          <w:sz w:val="22"/>
          <w:szCs w:val="22"/>
        </w:rPr>
        <w:lastRenderedPageBreak/>
        <w:t>Steps to Ensure Fairness, Inclusivity, and Responsible Data Use</w:t>
      </w:r>
    </w:p>
    <w:p w14:paraId="4B384384" w14:textId="77777777" w:rsidR="004838D0" w:rsidRPr="00820F25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sz w:val="22"/>
          <w:szCs w:val="22"/>
        </w:rPr>
      </w:pPr>
      <w:r w:rsidRPr="00820F25">
        <w:rPr>
          <w:rFonts w:ascii="Times New Roman" w:hAnsi="Times New Roman" w:cs="Times New Roman"/>
          <w:sz w:val="22"/>
          <w:szCs w:val="22"/>
        </w:rPr>
        <w:t>Validate interaction and adherence models across age, language, and literacy subgroups before launch, and report subgroup performance — not just an aggregate accuracy number.</w:t>
      </w:r>
    </w:p>
    <w:p w14:paraId="4882EE9A" w14:textId="77777777" w:rsidR="004838D0" w:rsidRPr="00820F25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sz w:val="22"/>
          <w:szCs w:val="22"/>
        </w:rPr>
      </w:pPr>
      <w:r w:rsidRPr="00820F25">
        <w:rPr>
          <w:rFonts w:ascii="Times New Roman" w:hAnsi="Times New Roman" w:cs="Times New Roman"/>
          <w:sz w:val="22"/>
          <w:szCs w:val="22"/>
        </w:rPr>
        <w:t>Offer multilingual, low-literacy, and caregiver-assisted UX modes from MVP, not as a later add-on.</w:t>
      </w:r>
    </w:p>
    <w:p w14:paraId="62086701" w14:textId="77777777" w:rsidR="004838D0" w:rsidRPr="00820F25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sz w:val="22"/>
          <w:szCs w:val="22"/>
        </w:rPr>
      </w:pPr>
      <w:r w:rsidRPr="00820F25">
        <w:rPr>
          <w:rFonts w:ascii="Times New Roman" w:hAnsi="Times New Roman" w:cs="Times New Roman"/>
          <w:sz w:val="22"/>
          <w:szCs w:val="22"/>
        </w:rPr>
        <w:t xml:space="preserve">Position the pharmacist explicitly as the escalation authority in the </w:t>
      </w:r>
      <w:proofErr w:type="gramStart"/>
      <w:r w:rsidRPr="00820F25">
        <w:rPr>
          <w:rFonts w:ascii="Times New Roman" w:hAnsi="Times New Roman" w:cs="Times New Roman"/>
          <w:sz w:val="22"/>
          <w:szCs w:val="22"/>
        </w:rPr>
        <w:t>product, and</w:t>
      </w:r>
      <w:proofErr w:type="gramEnd"/>
      <w:r w:rsidRPr="00820F25">
        <w:rPr>
          <w:rFonts w:ascii="Times New Roman" w:hAnsi="Times New Roman" w:cs="Times New Roman"/>
          <w:sz w:val="22"/>
          <w:szCs w:val="22"/>
        </w:rPr>
        <w:t xml:space="preserve"> involve practicing pharmacists in the design and MVP-1 review workflow so the tool visibly augments rather than replaces their judgment.</w:t>
      </w:r>
    </w:p>
    <w:p w14:paraId="77648221" w14:textId="77777777" w:rsidR="004838D0" w:rsidRPr="00820F25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sz w:val="22"/>
          <w:szCs w:val="22"/>
        </w:rPr>
      </w:pPr>
      <w:r w:rsidRPr="00820F25">
        <w:rPr>
          <w:rFonts w:ascii="Times New Roman" w:hAnsi="Times New Roman" w:cs="Times New Roman"/>
          <w:sz w:val="22"/>
          <w:szCs w:val="22"/>
        </w:rPr>
        <w:t>Collect only the data needed for the adherence/interaction use case, with explicit opt-in consent, clear data-retention limits, and a user-facing data-deletion option.</w:t>
      </w:r>
    </w:p>
    <w:p w14:paraId="65E113FD" w14:textId="77777777" w:rsidR="004838D0" w:rsidRPr="00820F25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sz w:val="22"/>
          <w:szCs w:val="22"/>
        </w:rPr>
      </w:pPr>
      <w:r w:rsidRPr="00820F25">
        <w:rPr>
          <w:rFonts w:ascii="Times New Roman" w:hAnsi="Times New Roman" w:cs="Times New Roman"/>
          <w:sz w:val="22"/>
          <w:szCs w:val="22"/>
        </w:rPr>
        <w:t>Never let the automated path (MVP 2+) show a patient a high-risk or low-confidence alert without human review, per the staged-automation design in Section 4.3.</w:t>
      </w:r>
    </w:p>
    <w:p w14:paraId="06C8AF40" w14:textId="77777777" w:rsidR="004838D0" w:rsidRPr="00820F25" w:rsidRDefault="00000000">
      <w:pPr>
        <w:pStyle w:val="Heading1"/>
        <w:rPr>
          <w:rFonts w:ascii="Times New Roman" w:hAnsi="Times New Roman" w:cs="Times New Roman"/>
        </w:rPr>
      </w:pPr>
      <w:r w:rsidRPr="00820F25">
        <w:rPr>
          <w:rFonts w:ascii="Times New Roman" w:hAnsi="Times New Roman" w:cs="Times New Roman"/>
        </w:rPr>
        <w:t>11. Product Roadmap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13"/>
        <w:gridCol w:w="1411"/>
        <w:gridCol w:w="4234"/>
        <w:gridCol w:w="2822"/>
      </w:tblGrid>
      <w:tr w:rsidR="004838D0" w:rsidRPr="00820F25" w14:paraId="48FEB7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13" w:type="dxa"/>
            <w:shd w:val="clear" w:color="auto" w:fill="2F52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7D1A9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Phase</w:t>
            </w:r>
          </w:p>
        </w:tc>
        <w:tc>
          <w:tcPr>
            <w:tcW w:w="1411" w:type="dxa"/>
            <w:shd w:val="clear" w:color="auto" w:fill="2F52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32F10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Timeframe</w:t>
            </w:r>
          </w:p>
        </w:tc>
        <w:tc>
          <w:tcPr>
            <w:tcW w:w="4234" w:type="dxa"/>
            <w:shd w:val="clear" w:color="auto" w:fill="2F52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15D84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Focus</w:t>
            </w:r>
          </w:p>
        </w:tc>
        <w:tc>
          <w:tcPr>
            <w:tcW w:w="2822" w:type="dxa"/>
            <w:shd w:val="clear" w:color="auto" w:fill="2F52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D6F97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Key Milestone</w:t>
            </w:r>
          </w:p>
        </w:tc>
      </w:tr>
      <w:tr w:rsidR="004838D0" w:rsidRPr="00820F25" w14:paraId="710E6FF4" w14:textId="77777777">
        <w:tblPrEx>
          <w:tblCellMar>
            <w:top w:w="0" w:type="dxa"/>
            <w:bottom w:w="0" w:type="dxa"/>
          </w:tblCellMar>
        </w:tblPrEx>
        <w:tc>
          <w:tcPr>
            <w:tcW w:w="16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4BE43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Phase 1 — MVP</w:t>
            </w:r>
          </w:p>
        </w:tc>
        <w:tc>
          <w:tcPr>
            <w:tcW w:w="141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3F68C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Months 1–4</w:t>
            </w:r>
          </w:p>
        </w:tc>
        <w:tc>
          <w:tcPr>
            <w:tcW w:w="423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6030B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Rules-based interaction engine + adherence reminders for a single condition (e.g., diabetes/cardiac), pharmacist-reviewed alerts, one language</w:t>
            </w:r>
          </w:p>
        </w:tc>
        <w:tc>
          <w:tcPr>
            <w:tcW w:w="282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FA0F4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60-day pilot with a single clinic or small patient cohort; ≥95% pharmacist agreement with AI risk flags</w:t>
            </w:r>
          </w:p>
        </w:tc>
      </w:tr>
      <w:tr w:rsidR="004838D0" w:rsidRPr="00820F25" w14:paraId="72B5F7FE" w14:textId="77777777">
        <w:tblPrEx>
          <w:tblCellMar>
            <w:top w:w="0" w:type="dxa"/>
            <w:bottom w:w="0" w:type="dxa"/>
          </w:tblCellMar>
        </w:tblPrEx>
        <w:tc>
          <w:tcPr>
            <w:tcW w:w="1613" w:type="dxa"/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9D023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Phase 2 — GenAI layer &amp; expansion</w:t>
            </w:r>
          </w:p>
        </w:tc>
        <w:tc>
          <w:tcPr>
            <w:tcW w:w="1411" w:type="dxa"/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2A928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Months 5–8</w:t>
            </w:r>
          </w:p>
        </w:tc>
        <w:tc>
          <w:tcPr>
            <w:tcW w:w="4234" w:type="dxa"/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02039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Plain-language explanation generation for low-risk alerts; multi-condition support; multilingual UX</w:t>
            </w:r>
          </w:p>
        </w:tc>
        <w:tc>
          <w:tcPr>
            <w:tcW w:w="2822" w:type="dxa"/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1097E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False-positive rate &lt; 5% on low-risk auto-sent alerts, validated by pharmacist audit</w:t>
            </w:r>
          </w:p>
        </w:tc>
      </w:tr>
      <w:tr w:rsidR="004838D0" w:rsidRPr="00820F25" w14:paraId="7D601450" w14:textId="77777777">
        <w:tblPrEx>
          <w:tblCellMar>
            <w:top w:w="0" w:type="dxa"/>
            <w:bottom w:w="0" w:type="dxa"/>
          </w:tblCellMar>
        </w:tblPrEx>
        <w:tc>
          <w:tcPr>
            <w:tcW w:w="16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7C794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Phase 3 — B2B distribution</w:t>
            </w:r>
          </w:p>
        </w:tc>
        <w:tc>
          <w:tcPr>
            <w:tcW w:w="141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05FCB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Months 9–14</w:t>
            </w:r>
          </w:p>
        </w:tc>
        <w:tc>
          <w:tcPr>
            <w:tcW w:w="423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7BF39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PBM/health-plan pilot program; caregiver dashboard; formal regulatory review for target market</w:t>
            </w:r>
          </w:p>
        </w:tc>
        <w:tc>
          <w:tcPr>
            <w:tcW w:w="282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FA455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≥1 signed PBM/insurer pilot with measurable readmission-proxy improvement</w:t>
            </w:r>
          </w:p>
        </w:tc>
      </w:tr>
      <w:tr w:rsidR="004838D0" w:rsidRPr="00820F25" w14:paraId="43B48C44" w14:textId="77777777">
        <w:tblPrEx>
          <w:tblCellMar>
            <w:top w:w="0" w:type="dxa"/>
            <w:bottom w:w="0" w:type="dxa"/>
          </w:tblCellMar>
        </w:tblPrEx>
        <w:tc>
          <w:tcPr>
            <w:tcW w:w="1613" w:type="dxa"/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82D2F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Phase 4 — Scale &amp; integration</w:t>
            </w:r>
          </w:p>
        </w:tc>
        <w:tc>
          <w:tcPr>
            <w:tcW w:w="1411" w:type="dxa"/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A421B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Months 15+</w:t>
            </w:r>
          </w:p>
        </w:tc>
        <w:tc>
          <w:tcPr>
            <w:tcW w:w="4234" w:type="dxa"/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7046F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EHR/pharmacy-system API integration; personalized adherence-risk prediction model</w:t>
            </w:r>
          </w:p>
        </w:tc>
        <w:tc>
          <w:tcPr>
            <w:tcW w:w="2822" w:type="dxa"/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215A0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Embedded as a feature inside ≥1 partner pharmacy or insurer platform</w:t>
            </w:r>
          </w:p>
        </w:tc>
      </w:tr>
    </w:tbl>
    <w:p w14:paraId="0075F130" w14:textId="77777777" w:rsidR="004838D0" w:rsidRPr="00820F25" w:rsidRDefault="00000000">
      <w:pPr>
        <w:pStyle w:val="Heading1"/>
        <w:rPr>
          <w:rFonts w:ascii="Times New Roman" w:hAnsi="Times New Roman" w:cs="Times New Roman"/>
        </w:rPr>
      </w:pPr>
      <w:r w:rsidRPr="00820F25">
        <w:rPr>
          <w:rFonts w:ascii="Times New Roman" w:hAnsi="Times New Roman" w:cs="Times New Roman"/>
        </w:rPr>
        <w:t>12. Monetization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4"/>
        <w:gridCol w:w="7056"/>
      </w:tblGrid>
      <w:tr w:rsidR="004838D0" w:rsidRPr="00820F25" w14:paraId="517CDC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24" w:type="dxa"/>
            <w:shd w:val="clear" w:color="auto" w:fill="2F52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261CE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Model</w:t>
            </w:r>
          </w:p>
        </w:tc>
        <w:tc>
          <w:tcPr>
            <w:tcW w:w="7056" w:type="dxa"/>
            <w:shd w:val="clear" w:color="auto" w:fill="2F52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EEB7D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4838D0" w:rsidRPr="00820F25" w14:paraId="4AFD00C7" w14:textId="77777777">
        <w:tblPrEx>
          <w:tblCellMar>
            <w:top w:w="0" w:type="dxa"/>
            <w:bottom w:w="0" w:type="dxa"/>
          </w:tblCellMar>
        </w:tblPrEx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6B5CA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B2B2C — PMPM licensing (primary)</w:t>
            </w:r>
          </w:p>
        </w:tc>
        <w:tc>
          <w:tcPr>
            <w:tcW w:w="70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8DDAC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Health plans and PBMs pay a per-member-per-month fee to offer MedGuardian as part of a chronic-care management program — justified by measurable readmission-cost avoidance.</w:t>
            </w:r>
          </w:p>
        </w:tc>
      </w:tr>
      <w:tr w:rsidR="004838D0" w:rsidRPr="00820F25" w14:paraId="1F1DB1B1" w14:textId="77777777">
        <w:tblPrEx>
          <w:tblCellMar>
            <w:top w:w="0" w:type="dxa"/>
            <w:bottom w:w="0" w:type="dxa"/>
          </w:tblCellMar>
        </w:tblPrEx>
        <w:tc>
          <w:tcPr>
            <w:tcW w:w="3024" w:type="dxa"/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39E58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lastRenderedPageBreak/>
              <w:t>Direct-to-consumer freemium</w:t>
            </w:r>
          </w:p>
        </w:tc>
        <w:tc>
          <w:tcPr>
            <w:tcW w:w="7056" w:type="dxa"/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E7DD1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Core adherence reminders and low-risk interaction checks free; premium tier (caregiver dashboard, unlimited pharmacist chat) as a paid consumer subscription.</w:t>
            </w:r>
          </w:p>
        </w:tc>
      </w:tr>
      <w:tr w:rsidR="004838D0" w:rsidRPr="00820F25" w14:paraId="42DD9B96" w14:textId="77777777">
        <w:tblPrEx>
          <w:tblCellMar>
            <w:top w:w="0" w:type="dxa"/>
            <w:bottom w:w="0" w:type="dxa"/>
          </w:tblCellMar>
        </w:tblPrEx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68308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API licensing</w:t>
            </w:r>
          </w:p>
        </w:tc>
        <w:tc>
          <w:tcPr>
            <w:tcW w:w="70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D986F" w14:textId="77777777" w:rsidR="004838D0" w:rsidRPr="00820F25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0F2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Pharmacy chains and EHR vendors license the interaction/adherence engine as an embedded feature via API, priced on usage volume.</w:t>
            </w:r>
          </w:p>
        </w:tc>
      </w:tr>
    </w:tbl>
    <w:p w14:paraId="4AA6AB59" w14:textId="77777777" w:rsidR="005407D5" w:rsidRPr="00820F25" w:rsidRDefault="005407D5">
      <w:pPr>
        <w:rPr>
          <w:rFonts w:ascii="Times New Roman" w:hAnsi="Times New Roman" w:cs="Times New Roman"/>
          <w:sz w:val="22"/>
          <w:szCs w:val="22"/>
        </w:rPr>
      </w:pPr>
    </w:p>
    <w:p>
      <w:pPr>
        <w:pStyle w:val="Heading1"/>
      </w:pPr>
      <w:r>
        <w:t>13. Specialty Pharma Extension</w:t>
      </w:r>
    </w:p>
    <w:p>
      <w:r>
        <w:t>The MVP scoped in Sections 1–12 targets common chronic-disease polypharmacy (diabetes, hypertension, cholesterol) with a retail pharmacist as the sole human reviewer. Specialty pharma — biologics, oncology, immunology — is a different, higher-stakes world: the drugs are dispensed through specialty pharmacies and hub services, the prescribing physician is far more directly involved in ongoing management, and non-adherence is both a clinical and a significant financial event. This section proposes an explicit extension of the product and go-to-market strategy to serve this segment.</w:t>
      </w:r>
    </w:p>
    <w:p>
      <w:pPr>
        <w:pStyle w:val="Heading2"/>
      </w:pPr>
      <w:r>
        <w:t>13.1 Why Specialty Pharma Changes the Calculus</w:t>
      </w:r>
    </w:p>
    <w:p>
      <w:r>
        <w:t>A missed dose of a low-cost generic is a clinical risk. A missed dose or early discontinuation of a specialty biologic — often several thousand dollars per month — is both a clinical and a revenue event, for the patient's health and for the manufacturer's product. Specialty-drug non-adherence and discontinuation is one of the largest, most measurable sources of avoidable revenue loss for a pharma manufacturer, which is exactly why manufacturers already fund Patient Support Programs (PSPs) and hub services for their specialty products — MedGuardian's adherence and interaction-monitoring core is directly reusable infrastructure for that existing spend.</w:t>
      </w:r>
    </w:p>
    <w:p>
      <w:pPr>
        <w:pStyle w:val="Heading2"/>
      </w:pPr>
      <w:r>
        <w:t>13.2 The Missing Three-Way Data Loop</w:t>
      </w:r>
    </w:p>
    <w:p>
      <w:r>
        <w:t>Today, a physician prescribes, a specialty pharmacy dispenses and does some monitoring, and the patient's day-to-day adherence is largely invisible to everyone until the next refill — or non-refill. The diagram below closes that loop: the physician and pharmacist retain full, individual-level clinical visibility (solid lines), while the pharma/PSP team receives only de-identified, consented, aggregate program insights (dashed lines) — never an individual patient record.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969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cialty_pharma_loop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96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 The specialty-pharma data loop: physician ↔ patient ↔ pharmacist ↔ pharma/PSP team.</w:t>
      </w:r>
    </w:p>
    <w:p>
      <w:pPr>
        <w:pStyle w:val="Heading2"/>
      </w:pPr>
      <w:r>
        <w:t>13.3 A New Segment: Pharma Manufacturers / Specialty Pharmacy Programs</w:t>
      </w:r>
    </w:p>
    <w:tbl>
      <w:tblPr>
        <w:tblW w:type="auto" w:w="0"/>
        <w:tblBorders>
          <w:top w:val="single" w:sz="4" w:space="0" w:color="B7C6E3"/>
          <w:left w:val="single" w:sz="4" w:space="0" w:color="B7C6E3"/>
          <w:bottom w:val="single" w:sz="4" w:space="0" w:color="B7C6E3"/>
          <w:right w:val="single" w:sz="4" w:space="0" w:color="B7C6E3"/>
          <w:insideH w:val="single" w:sz="4" w:space="0" w:color="B7C6E3"/>
          <w:insideV w:val="single" w:sz="4" w:space="0" w:color="B7C6E3"/>
        </w:tblBorders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0A53BE"/>
          </w:tcPr>
          <w:p>
            <w:r/>
            <w:r>
              <w:rPr>
                <w:b/>
                <w:color w:val="FFFFFF"/>
              </w:rPr>
              <w:t>Segment</w:t>
            </w:r>
          </w:p>
        </w:tc>
        <w:tc>
          <w:tcPr>
            <w:tcW w:type="dxa" w:w="2016"/>
            <w:shd w:val="clear" w:color="auto" w:fill="0A53BE"/>
          </w:tcPr>
          <w:p>
            <w:r/>
            <w:r>
              <w:rPr>
                <w:b/>
                <w:color w:val="FFFFFF"/>
              </w:rPr>
              <w:t>Defining Traits</w:t>
            </w:r>
          </w:p>
        </w:tc>
        <w:tc>
          <w:tcPr>
            <w:tcW w:type="dxa" w:w="2016"/>
            <w:shd w:val="clear" w:color="auto" w:fill="0A53BE"/>
          </w:tcPr>
          <w:p>
            <w:r/>
            <w:r>
              <w:rPr>
                <w:b/>
                <w:color w:val="FFFFFF"/>
              </w:rPr>
              <w:t>Needs</w:t>
            </w:r>
          </w:p>
        </w:tc>
        <w:tc>
          <w:tcPr>
            <w:tcW w:type="dxa" w:w="2016"/>
            <w:shd w:val="clear" w:color="auto" w:fill="0A53BE"/>
          </w:tcPr>
          <w:p>
            <w:r/>
            <w:r>
              <w:rPr>
                <w:b/>
                <w:color w:val="FFFFFF"/>
              </w:rPr>
              <w:t>Economics</w:t>
            </w:r>
          </w:p>
        </w:tc>
        <w:tc>
          <w:tcPr>
            <w:tcW w:type="dxa" w:w="2016"/>
            <w:shd w:val="clear" w:color="auto" w:fill="0A53BE"/>
          </w:tcPr>
          <w:p>
            <w:r/>
            <w:r>
              <w:rPr>
                <w:b/>
                <w:color w:val="FFFFFF"/>
              </w:rPr>
              <w:t>Behavior</w:t>
            </w:r>
          </w:p>
        </w:tc>
      </w:tr>
      <w:tr>
        <w:tc>
          <w:tcPr>
            <w:tcW w:type="dxa" w:w="2016"/>
          </w:tcPr>
          <w:p>
            <w:r>
              <w:t>Pharma manufacturers (specialty/PSP programs)</w:t>
            </w:r>
          </w:p>
        </w:tc>
        <w:tc>
          <w:tcPr>
            <w:tcW w:type="dxa" w:w="2016"/>
          </w:tcPr>
          <w:p>
            <w:r>
              <w:t>Fund patient support programs for their own specialty/biologic products</w:t>
            </w:r>
          </w:p>
        </w:tc>
        <w:tc>
          <w:tcPr>
            <w:tcW w:type="dxa" w:w="2016"/>
          </w:tcPr>
          <w:p>
            <w:r>
              <w:t>Reduce discontinuation and non-adherence for their drug; real-world evidence for payer negotiations; REMS-compliant safety monitoring infrastructure</w:t>
            </w:r>
          </w:p>
        </w:tc>
        <w:tc>
          <w:tcPr>
            <w:tcW w:type="dxa" w:w="2016"/>
          </w:tcPr>
          <w:p>
            <w:r>
              <w:t>Program/platform fee funded by the manufacturer's PSP budget, not the patient</w:t>
            </w:r>
          </w:p>
        </w:tc>
        <w:tc>
          <w:tcPr>
            <w:tcW w:type="dxa" w:w="2016"/>
          </w:tcPr>
          <w:p>
            <w:r>
              <w:t>Procurement- and medical-affairs-driven; requires clinical validation and a data-governance review before scaling</w:t>
            </w:r>
          </w:p>
        </w:tc>
      </w:tr>
    </w:tbl>
    <w:p>
      <w:pPr>
        <w:pStyle w:val="Heading2"/>
      </w:pPr>
      <w:r>
        <w:t>13.4 Value to Pharma Companies</w:t>
      </w:r>
    </w:p>
    <w:p>
      <w:pPr>
        <w:pStyle w:val="ListParagraph"/>
      </w:pPr>
      <w:r>
        <w:rPr>
          <w:b/>
        </w:rPr>
        <w:t xml:space="preserve">Revenue retention: </w:t>
      </w:r>
      <w:r>
        <w:t>Early signals of discontinuation risk (missed doses, emerging side-effect complaints) let a hub program intervene before a patient drops a specialty drug entirely.</w:t>
      </w:r>
    </w:p>
    <w:p>
      <w:pPr>
        <w:pStyle w:val="ListParagraph"/>
      </w:pPr>
      <w:r>
        <w:rPr>
          <w:b/>
        </w:rPr>
        <w:t xml:space="preserve">Payer negotiation leverage: </w:t>
      </w:r>
      <w:r>
        <w:t>Real-world adherence and outcomes data strengthens value-based contracts with insurers, which increasingly tie reimbursement to demonstrated real-world effectiveness.</w:t>
      </w:r>
    </w:p>
    <w:p>
      <w:pPr>
        <w:pStyle w:val="ListParagraph"/>
      </w:pPr>
      <w:r>
        <w:rPr>
          <w:b/>
        </w:rPr>
        <w:t xml:space="preserve">REMS support: </w:t>
      </w:r>
      <w:r>
        <w:t>Many specialty/biologic drugs carry FDA-mandated Risk Evaluation and Mitigation Strategies; a structured, auditable adherence-and-safety-monitoring layer is directly useful infrastructure for satisfying those requirements.</w:t>
      </w:r>
    </w:p>
    <w:p>
      <w:pPr>
        <w:pStyle w:val="ListParagraph"/>
      </w:pPr>
      <w:r>
        <w:rPr>
          <w:b/>
        </w:rPr>
        <w:t xml:space="preserve">Differentiated patient support: </w:t>
      </w:r>
      <w:r>
        <w:t>A manufacturer offering a genuinely helpful, AI-assisted PSP is a competitive and retention lever independent of the drug's own efficacy.</w:t>
      </w:r>
    </w:p>
    <w:p>
      <w:pPr>
        <w:pStyle w:val="Heading2"/>
      </w:pPr>
      <w:r>
        <w:t>13.5 Product Extension: Two New Views</w:t>
      </w:r>
    </w:p>
    <w:tbl>
      <w:tblPr>
        <w:tblW w:type="auto" w:w="0"/>
        <w:tblBorders>
          <w:top w:val="single" w:sz="4" w:space="0" w:color="B7C6E3"/>
          <w:left w:val="single" w:sz="4" w:space="0" w:color="B7C6E3"/>
          <w:bottom w:val="single" w:sz="4" w:space="0" w:color="B7C6E3"/>
          <w:right w:val="single" w:sz="4" w:space="0" w:color="B7C6E3"/>
          <w:insideH w:val="single" w:sz="4" w:space="0" w:color="B7C6E3"/>
          <w:insideV w:val="single" w:sz="4" w:space="0" w:color="B7C6E3"/>
        </w:tblBorders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0A53BE"/>
          </w:tcPr>
          <w:p>
            <w:r/>
            <w:r>
              <w:rPr>
                <w:b/>
                <w:color w:val="FFFFFF"/>
              </w:rPr>
              <w:t>View</w:t>
            </w:r>
          </w:p>
        </w:tc>
        <w:tc>
          <w:tcPr>
            <w:tcW w:type="dxa" w:w="3360"/>
            <w:shd w:val="clear" w:color="auto" w:fill="0A53BE"/>
          </w:tcPr>
          <w:p>
            <w:r/>
            <w:r>
              <w:rPr>
                <w:b/>
                <w:color w:val="FFFFFF"/>
              </w:rPr>
              <w:t>Audience</w:t>
            </w:r>
          </w:p>
        </w:tc>
        <w:tc>
          <w:tcPr>
            <w:tcW w:type="dxa" w:w="3360"/>
            <w:shd w:val="clear" w:color="auto" w:fill="0A53BE"/>
          </w:tcPr>
          <w:p>
            <w:r/>
            <w:r>
              <w:rPr>
                <w:b/>
                <w:color w:val="FFFFFF"/>
              </w:rPr>
              <w:t>What It Adds</w:t>
            </w:r>
          </w:p>
        </w:tc>
      </w:tr>
      <w:tr>
        <w:tc>
          <w:tcPr>
            <w:tcW w:type="dxa" w:w="3360"/>
          </w:tcPr>
          <w:p>
            <w:r>
              <w:t>Physician View</w:t>
            </w:r>
          </w:p>
        </w:tc>
        <w:tc>
          <w:tcPr>
            <w:tcW w:type="dxa" w:w="3360"/>
          </w:tcPr>
          <w:p>
            <w:r>
              <w:t>Prescribing physician</w:t>
            </w:r>
          </w:p>
        </w:tc>
        <w:tc>
          <w:tcPr>
            <w:tcW w:type="dxa" w:w="3360"/>
          </w:tcPr>
          <w:p>
            <w:r>
              <w:t>Adherence and interaction-risk trends for the physician's own patient panel — extends the human-in-the-loop design from Section 4.3 to the prescriber, not just the pharmacist.</w:t>
            </w:r>
          </w:p>
        </w:tc>
      </w:tr>
      <w:tr>
        <w:tc>
          <w:tcPr>
            <w:tcW w:type="dxa" w:w="3360"/>
          </w:tcPr>
          <w:p>
            <w:r>
              <w:t>Pharma Program Insights</w:t>
            </w:r>
          </w:p>
        </w:tc>
        <w:tc>
          <w:tcPr>
            <w:tcW w:type="dxa" w:w="3360"/>
          </w:tcPr>
          <w:p>
            <w:r>
              <w:t>Pharma manufacturer / PSP team (medical affairs, market access)</w:t>
            </w:r>
          </w:p>
        </w:tc>
        <w:tc>
          <w:tcPr>
            <w:tcW w:type="dxa" w:w="3360"/>
          </w:tcPr>
          <w:p>
            <w:r>
              <w:t>De-identified, aggregate program-level metrics — enrollment, adherence rate, discontinuation-risk counts, escalations resolved — with a one-click AI-generated summary for a stakeholder update. No individual patient is ever visible.</w:t>
            </w:r>
          </w:p>
        </w:tc>
      </w:tr>
    </w:tbl>
    <w:p>
      <w:pPr>
        <w:pStyle w:val="Heading2"/>
      </w:pPr>
      <w:r>
        <w:t>13.6 Additional Risk &amp; Ethical Considerations</w:t>
      </w:r>
    </w:p>
    <w:p>
      <w:r>
        <w:t>Extending data visibility to a physician and, in aggregate, to a pharma manufacturer introduces risk beyond the original register in Section 9: physician-facing data must be scoped to a clinician's own patients under existing care-relationship consent, and any pharma-facing feed must be irreversibly de-identified and aggregated — never event-level or re-identifiable — with a data-governance and legal review of the specific aggregation method before any pharma pilot launches. This is a direct extension of the fairness and responsible-data-use commitments in Section 10, not a departure from them.</w:t>
      </w:r>
    </w:p>
    <w:sectPr w:rsidR="005407D5" w:rsidRPr="00820F2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22050"/>
    <w:multiLevelType w:val="hybridMultilevel"/>
    <w:tmpl w:val="9B94FFDE"/>
    <w:lvl w:ilvl="0" w:tplc="972876F4">
      <w:start w:val="1"/>
      <w:numFmt w:val="bullet"/>
      <w:lvlText w:val="●"/>
      <w:lvlJc w:val="left"/>
      <w:pPr>
        <w:ind w:left="720" w:hanging="360"/>
      </w:pPr>
    </w:lvl>
    <w:lvl w:ilvl="1" w:tplc="0A221A2E">
      <w:start w:val="1"/>
      <w:numFmt w:val="bullet"/>
      <w:lvlText w:val="○"/>
      <w:lvlJc w:val="left"/>
      <w:pPr>
        <w:ind w:left="1440" w:hanging="360"/>
      </w:pPr>
    </w:lvl>
    <w:lvl w:ilvl="2" w:tplc="CCA2DCEE">
      <w:start w:val="1"/>
      <w:numFmt w:val="bullet"/>
      <w:lvlText w:val="■"/>
      <w:lvlJc w:val="left"/>
      <w:pPr>
        <w:ind w:left="2160" w:hanging="360"/>
      </w:pPr>
    </w:lvl>
    <w:lvl w:ilvl="3" w:tplc="308492CE">
      <w:start w:val="1"/>
      <w:numFmt w:val="bullet"/>
      <w:lvlText w:val="●"/>
      <w:lvlJc w:val="left"/>
      <w:pPr>
        <w:ind w:left="2880" w:hanging="360"/>
      </w:pPr>
    </w:lvl>
    <w:lvl w:ilvl="4" w:tplc="6DC48EC6">
      <w:start w:val="1"/>
      <w:numFmt w:val="bullet"/>
      <w:lvlText w:val="○"/>
      <w:lvlJc w:val="left"/>
      <w:pPr>
        <w:ind w:left="3600" w:hanging="360"/>
      </w:pPr>
    </w:lvl>
    <w:lvl w:ilvl="5" w:tplc="D9D66F1E">
      <w:start w:val="1"/>
      <w:numFmt w:val="bullet"/>
      <w:lvlText w:val="■"/>
      <w:lvlJc w:val="left"/>
      <w:pPr>
        <w:ind w:left="4320" w:hanging="360"/>
      </w:pPr>
    </w:lvl>
    <w:lvl w:ilvl="6" w:tplc="4D2CF524">
      <w:start w:val="1"/>
      <w:numFmt w:val="bullet"/>
      <w:lvlText w:val="●"/>
      <w:lvlJc w:val="left"/>
      <w:pPr>
        <w:ind w:left="5040" w:hanging="360"/>
      </w:pPr>
    </w:lvl>
    <w:lvl w:ilvl="7" w:tplc="F1A8426A">
      <w:start w:val="1"/>
      <w:numFmt w:val="bullet"/>
      <w:lvlText w:val="●"/>
      <w:lvlJc w:val="left"/>
      <w:pPr>
        <w:ind w:left="5760" w:hanging="360"/>
      </w:pPr>
    </w:lvl>
    <w:lvl w:ilvl="8" w:tplc="577463B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46D4670"/>
    <w:multiLevelType w:val="hybridMultilevel"/>
    <w:tmpl w:val="CEEA756C"/>
    <w:lvl w:ilvl="0" w:tplc="13C4CDFC">
      <w:start w:val="1"/>
      <w:numFmt w:val="bullet"/>
      <w:lvlText w:val="•"/>
      <w:lvlJc w:val="left"/>
      <w:pPr>
        <w:ind w:left="360" w:hanging="260"/>
      </w:pPr>
    </w:lvl>
    <w:lvl w:ilvl="1" w:tplc="DB2CEB6C">
      <w:start w:val="1"/>
      <w:numFmt w:val="bullet"/>
      <w:lvlText w:val="◦"/>
      <w:lvlJc w:val="left"/>
      <w:pPr>
        <w:ind w:left="720" w:hanging="260"/>
      </w:pPr>
    </w:lvl>
    <w:lvl w:ilvl="2" w:tplc="2990002A">
      <w:numFmt w:val="decimal"/>
      <w:lvlText w:val=""/>
      <w:lvlJc w:val="left"/>
    </w:lvl>
    <w:lvl w:ilvl="3" w:tplc="AD7E2910">
      <w:numFmt w:val="decimal"/>
      <w:lvlText w:val=""/>
      <w:lvlJc w:val="left"/>
    </w:lvl>
    <w:lvl w:ilvl="4" w:tplc="C04CD6E6">
      <w:numFmt w:val="decimal"/>
      <w:lvlText w:val=""/>
      <w:lvlJc w:val="left"/>
    </w:lvl>
    <w:lvl w:ilvl="5" w:tplc="D8B66BF0">
      <w:numFmt w:val="decimal"/>
      <w:lvlText w:val=""/>
      <w:lvlJc w:val="left"/>
    </w:lvl>
    <w:lvl w:ilvl="6" w:tplc="62ACE4A6">
      <w:numFmt w:val="decimal"/>
      <w:lvlText w:val=""/>
      <w:lvlJc w:val="left"/>
    </w:lvl>
    <w:lvl w:ilvl="7" w:tplc="5F84A434">
      <w:numFmt w:val="decimal"/>
      <w:lvlText w:val=""/>
      <w:lvlJc w:val="left"/>
    </w:lvl>
    <w:lvl w:ilvl="8" w:tplc="DA3CB69E">
      <w:numFmt w:val="decimal"/>
      <w:lvlText w:val=""/>
      <w:lvlJc w:val="left"/>
    </w:lvl>
  </w:abstractNum>
  <w:num w:numId="1" w16cid:durableId="1609308711">
    <w:abstractNumId w:val="0"/>
    <w:lvlOverride w:ilvl="0">
      <w:startOverride w:val="1"/>
    </w:lvlOverride>
  </w:num>
  <w:num w:numId="2" w16cid:durableId="75297573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38D0"/>
    <w:rsid w:val="002340E5"/>
    <w:rsid w:val="004838D0"/>
    <w:rsid w:val="004A4BA3"/>
    <w:rsid w:val="005231E8"/>
    <w:rsid w:val="005407D5"/>
    <w:rsid w:val="007C4E99"/>
    <w:rsid w:val="00820F25"/>
    <w:rsid w:val="00986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0DE93"/>
  <w15:docId w15:val="{0F103889-F655-4857-8473-D2E62843A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0F25"/>
  </w:style>
  <w:style w:type="paragraph" w:styleId="Heading1">
    <w:name w:val="heading 1"/>
    <w:basedOn w:val="Normal"/>
    <w:next w:val="Normal"/>
    <w:link w:val="Heading1Char"/>
    <w:uiPriority w:val="9"/>
    <w:qFormat/>
    <w:rsid w:val="00820F25"/>
    <w:pPr>
      <w:pBdr>
        <w:top w:val="single" w:sz="24" w:space="0" w:color="3494BA" w:themeColor="accent1"/>
        <w:left w:val="single" w:sz="24" w:space="0" w:color="3494BA" w:themeColor="accent1"/>
        <w:bottom w:val="single" w:sz="24" w:space="0" w:color="3494BA" w:themeColor="accent1"/>
        <w:right w:val="single" w:sz="24" w:space="0" w:color="3494BA" w:themeColor="accent1"/>
      </w:pBdr>
      <w:shd w:val="clear" w:color="auto" w:fill="3494BA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0F25"/>
    <w:pPr>
      <w:pBdr>
        <w:top w:val="single" w:sz="24" w:space="0" w:color="D4EAF3" w:themeColor="accent1" w:themeTint="33"/>
        <w:left w:val="single" w:sz="24" w:space="0" w:color="D4EAF3" w:themeColor="accent1" w:themeTint="33"/>
        <w:bottom w:val="single" w:sz="24" w:space="0" w:color="D4EAF3" w:themeColor="accent1" w:themeTint="33"/>
        <w:right w:val="single" w:sz="24" w:space="0" w:color="D4EAF3" w:themeColor="accent1" w:themeTint="33"/>
      </w:pBdr>
      <w:shd w:val="clear" w:color="auto" w:fill="D4EA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F25"/>
    <w:pPr>
      <w:pBdr>
        <w:top w:val="single" w:sz="6" w:space="2" w:color="3494BA" w:themeColor="accent1"/>
      </w:pBdr>
      <w:spacing w:before="300" w:after="0"/>
      <w:outlineLvl w:val="2"/>
    </w:pPr>
    <w:rPr>
      <w:caps/>
      <w:color w:val="1A495C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F25"/>
    <w:pPr>
      <w:pBdr>
        <w:top w:val="dotted" w:sz="6" w:space="2" w:color="3494BA" w:themeColor="accent1"/>
      </w:pBdr>
      <w:spacing w:before="200" w:after="0"/>
      <w:outlineLvl w:val="3"/>
    </w:pPr>
    <w:rPr>
      <w:caps/>
      <w:color w:val="276E8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F25"/>
    <w:pPr>
      <w:pBdr>
        <w:bottom w:val="single" w:sz="6" w:space="1" w:color="3494BA" w:themeColor="accent1"/>
      </w:pBdr>
      <w:spacing w:before="200" w:after="0"/>
      <w:outlineLvl w:val="4"/>
    </w:pPr>
    <w:rPr>
      <w:caps/>
      <w:color w:val="276E8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F25"/>
    <w:pPr>
      <w:pBdr>
        <w:bottom w:val="dotted" w:sz="6" w:space="1" w:color="3494BA" w:themeColor="accent1"/>
      </w:pBdr>
      <w:spacing w:before="200" w:after="0"/>
      <w:outlineLvl w:val="5"/>
    </w:pPr>
    <w:rPr>
      <w:caps/>
      <w:color w:val="276E8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F25"/>
    <w:pPr>
      <w:spacing w:before="200" w:after="0"/>
      <w:outlineLvl w:val="6"/>
    </w:pPr>
    <w:rPr>
      <w:caps/>
      <w:color w:val="276E8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F25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F25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20F25"/>
    <w:pPr>
      <w:spacing w:before="0" w:after="0"/>
    </w:pPr>
    <w:rPr>
      <w:rFonts w:asciiTheme="majorHAnsi" w:eastAsiaTheme="majorEastAsia" w:hAnsiTheme="majorHAnsi" w:cstheme="majorBidi"/>
      <w:caps/>
      <w:color w:val="3494BA" w:themeColor="accent1"/>
      <w:spacing w:val="10"/>
      <w:sz w:val="52"/>
      <w:szCs w:val="52"/>
    </w:rPr>
  </w:style>
  <w:style w:type="paragraph" w:customStyle="1" w:styleId="Strong1">
    <w:name w:val="Strong1"/>
    <w:rPr>
      <w:b/>
      <w:bCs/>
    </w:rPr>
  </w:style>
  <w:style w:type="paragraph" w:styleId="ListParagraph">
    <w:name w:val="List Paragraph"/>
    <w:basedOn w:val="Normal"/>
    <w:uiPriority w:val="34"/>
    <w:qFormat/>
    <w:rsid w:val="00820F25"/>
    <w:pPr>
      <w:ind w:left="720"/>
      <w:contextualSpacing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20F25"/>
    <w:rPr>
      <w:caps/>
      <w:color w:val="FFFFFF" w:themeColor="background1"/>
      <w:spacing w:val="15"/>
      <w:sz w:val="22"/>
      <w:szCs w:val="22"/>
      <w:shd w:val="clear" w:color="auto" w:fill="3494BA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820F25"/>
    <w:rPr>
      <w:caps/>
      <w:spacing w:val="15"/>
      <w:shd w:val="clear" w:color="auto" w:fill="D4EA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F25"/>
    <w:rPr>
      <w:caps/>
      <w:color w:val="1A495C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F25"/>
    <w:rPr>
      <w:caps/>
      <w:color w:val="276E8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F25"/>
    <w:rPr>
      <w:caps/>
      <w:color w:val="276E8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F25"/>
    <w:rPr>
      <w:caps/>
      <w:color w:val="276E8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F25"/>
    <w:rPr>
      <w:caps/>
      <w:color w:val="276E8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F25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F25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20F25"/>
    <w:rPr>
      <w:b/>
      <w:bCs/>
      <w:color w:val="276E8B" w:themeColor="accent1" w:themeShade="BF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820F25"/>
    <w:rPr>
      <w:rFonts w:asciiTheme="majorHAnsi" w:eastAsiaTheme="majorEastAsia" w:hAnsiTheme="majorHAnsi" w:cstheme="majorBidi"/>
      <w:caps/>
      <w:color w:val="3494BA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F25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820F25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820F25"/>
    <w:rPr>
      <w:b/>
      <w:bCs/>
    </w:rPr>
  </w:style>
  <w:style w:type="character" w:styleId="Emphasis">
    <w:name w:val="Emphasis"/>
    <w:uiPriority w:val="20"/>
    <w:qFormat/>
    <w:rsid w:val="00820F25"/>
    <w:rPr>
      <w:caps/>
      <w:color w:val="1A495C" w:themeColor="accent1" w:themeShade="7F"/>
      <w:spacing w:val="5"/>
    </w:rPr>
  </w:style>
  <w:style w:type="paragraph" w:styleId="NoSpacing">
    <w:name w:val="No Spacing"/>
    <w:uiPriority w:val="1"/>
    <w:qFormat/>
    <w:rsid w:val="00820F25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820F25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20F25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F25"/>
    <w:pPr>
      <w:spacing w:before="240" w:after="240" w:line="240" w:lineRule="auto"/>
      <w:ind w:left="1080" w:right="1080"/>
      <w:jc w:val="center"/>
    </w:pPr>
    <w:rPr>
      <w:color w:val="3494BA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F25"/>
    <w:rPr>
      <w:color w:val="3494BA" w:themeColor="accent1"/>
      <w:sz w:val="24"/>
      <w:szCs w:val="24"/>
    </w:rPr>
  </w:style>
  <w:style w:type="character" w:styleId="SubtleEmphasis">
    <w:name w:val="Subtle Emphasis"/>
    <w:uiPriority w:val="19"/>
    <w:qFormat/>
    <w:rsid w:val="00820F25"/>
    <w:rPr>
      <w:i/>
      <w:iCs/>
      <w:color w:val="1A495C" w:themeColor="accent1" w:themeShade="7F"/>
    </w:rPr>
  </w:style>
  <w:style w:type="character" w:styleId="IntenseEmphasis">
    <w:name w:val="Intense Emphasis"/>
    <w:uiPriority w:val="21"/>
    <w:qFormat/>
    <w:rsid w:val="00820F25"/>
    <w:rPr>
      <w:b/>
      <w:bCs/>
      <w:caps/>
      <w:color w:val="1A495C" w:themeColor="accent1" w:themeShade="7F"/>
      <w:spacing w:val="10"/>
    </w:rPr>
  </w:style>
  <w:style w:type="character" w:styleId="SubtleReference">
    <w:name w:val="Subtle Reference"/>
    <w:uiPriority w:val="31"/>
    <w:qFormat/>
    <w:rsid w:val="00820F25"/>
    <w:rPr>
      <w:b/>
      <w:bCs/>
      <w:color w:val="3494BA" w:themeColor="accent1"/>
    </w:rPr>
  </w:style>
  <w:style w:type="character" w:styleId="IntenseReference">
    <w:name w:val="Intense Reference"/>
    <w:uiPriority w:val="32"/>
    <w:qFormat/>
    <w:rsid w:val="00820F25"/>
    <w:rPr>
      <w:b/>
      <w:bCs/>
      <w:i/>
      <w:iCs/>
      <w:caps/>
      <w:color w:val="3494BA" w:themeColor="accent1"/>
    </w:rPr>
  </w:style>
  <w:style w:type="character" w:styleId="BookTitle">
    <w:name w:val="Book Title"/>
    <w:uiPriority w:val="33"/>
    <w:qFormat/>
    <w:rsid w:val="00820F25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20F25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2521</Words>
  <Characters>14375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RAMANAN A T .</cp:lastModifiedBy>
  <cp:revision>2</cp:revision>
  <dcterms:created xsi:type="dcterms:W3CDTF">2026-08-16T11:32:00Z</dcterms:created>
  <dcterms:modified xsi:type="dcterms:W3CDTF">2026-08-16T11:32:00Z</dcterms:modified>
</cp:coreProperties>
</file>