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ct-and-digital-economy-service-delivery"/>
    <w:p>
      <w:pPr>
        <w:pStyle w:val="Heading1"/>
      </w:pPr>
      <w:r>
        <w:t xml:space="preserve">ICT AND DIGITAL ECONOMY – Service Delivery</w:t>
      </w:r>
    </w:p>
    <w:bookmarkStart w:id="9" w:name="cover-page"/>
    <w:p>
      <w:pPr>
        <w:pStyle w:val="Heading2"/>
      </w:pPr>
      <w:r>
        <w:t xml:space="preserve">Cover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Ministry/Department/Agency (MDA):</w:t>
      </w:r>
      <w:r>
        <w:t xml:space="preserve"> </w:t>
      </w:r>
      <w:r>
        <w:t xml:space="preserve">Ministry of Information, Communications and the Digital Economy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Department:</w:t>
      </w:r>
      <w:r>
        <w:t xml:space="preserve"> </w:t>
      </w:r>
      <w:r>
        <w:t xml:space="preserve">State Department for ICT and the Digital Economy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Name:</w:t>
      </w:r>
      <w:r>
        <w:t xml:space="preserve"> </w:t>
      </w:r>
      <w:r>
        <w:t xml:space="preserve">Digital Government Infrastructure and ICT Policy Coordination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2026-03-04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Official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State Department for ICT and the Digital Economy is the national policy authority responsible for the development, coordination, and governance of Kenya’s digital transformation agenda.</w:t>
      </w:r>
    </w:p>
    <w:p>
      <w:pPr>
        <w:pStyle w:val="BodyText"/>
      </w:pPr>
      <w:r>
        <w:t xml:space="preserve">It provides strategic leadership for the development of digital public infrastructure, ICT policy frameworks, digital economy growth, and government technology standards.</w:t>
      </w:r>
    </w:p>
    <w:p>
      <w:pPr>
        <w:pStyle w:val="BodyText"/>
      </w:pPr>
      <w:r>
        <w:t xml:space="preserve">The department coordinates multiple agencies including the ICT Authority, Communications Authority of Kenya, and Konza Technopolis Development Authority to ensure that government services are delivered through secure, interoperable, and citizen-centric digital platforms.</w:t>
      </w:r>
    </w:p>
    <w:p>
      <w:pPr>
        <w:pStyle w:val="BodyText"/>
      </w:pPr>
      <w:r>
        <w:t xml:space="preserve">Under the Kenya Digital Economy Blueprint, the department is responsible for enabling digital government services, national connectivity infrastructure, innovation ecosystems, digital skills development, and cybersecurity frameworks.</w:t>
      </w:r>
    </w:p>
    <w:p>
      <w:pPr>
        <w:pStyle w:val="BodyText"/>
      </w:pPr>
      <w:r>
        <w:t xml:space="preserve">The transition to a Digital Shared Services Architecture Platform (DSAP) and whole-of-government interoperability platforms (such as KeSEL / X-Road) will allow ministries, departments, and agencies (MDAs) to exchange data securely and provide seamless digital services to citizens and businesses.</w:t>
      </w:r>
    </w:p>
    <w:p>
      <w:r>
        <w:pict>
          <v:rect style="width:0;height:1.5pt" o:hralign="center" o:hrstd="t" o:hr="t"/>
        </w:pict>
      </w:r>
    </w:p>
    <w:bookmarkEnd w:id="10"/>
    <w:bookmarkStart w:id="14" w:name="as-is-process-flowchart-bpmn-2.0"/>
    <w:p>
      <w:pPr>
        <w:pStyle w:val="Heading2"/>
      </w:pPr>
      <w:r>
        <w:t xml:space="preserve">1. AS-IS Process Flowchart (BPMN 2.0)</w:t>
      </w:r>
    </w:p>
    <w:p>
      <w:pPr>
        <w:pStyle w:val="FirstParagraph"/>
      </w:pPr>
      <w:r>
        <w:rPr>
          <w:i/>
          <w:iCs/>
        </w:rPr>
        <w:t xml:space="preserve">Current State visualization of ICT governance and digital service implementation.</w:t>
      </w:r>
    </w:p>
    <w:p>
      <w:pPr>
        <w:pStyle w:val="CaptionedFigure"/>
      </w:pPr>
      <w:r>
        <w:drawing>
          <wp:inline>
            <wp:extent cx="4394200" cy="19964400"/>
            <wp:effectExtent b="0" l="0" r="0" t="0"/>
            <wp:docPr descr="AS_IS Diagram" title="" id="12" name="Picture"/>
            <a:graphic>
              <a:graphicData uri="http://schemas.openxmlformats.org/drawingml/2006/picture">
                <pic:pic>
                  <pic:nvPicPr>
                    <pic:cNvPr descr="exported_mermaids/State_Department_of_ICT_AS_I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996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AS_IS Diagram</w:t>
      </w:r>
    </w:p>
    <w:p>
      <w:r>
        <w:pict>
          <v:rect style="width:0;height:1.5pt" o:hralign="center" o:hrstd="t" o:hr="t"/>
        </w:pict>
      </w:r>
    </w:p>
    <w:bookmarkEnd w:id="14"/>
    <w:bookmarkStart w:id="21" w:name="process-overview"/>
    <w:p>
      <w:pPr>
        <w:pStyle w:val="Heading2"/>
      </w:pPr>
      <w:r>
        <w:t xml:space="preserve">Process Overview</w:t>
      </w:r>
    </w:p>
    <w:bookmarkStart w:id="15" w:name="process-name"/>
    <w:p>
      <w:pPr>
        <w:pStyle w:val="Heading3"/>
      </w:pPr>
      <w:r>
        <w:t xml:space="preserve">Process Name</w:t>
      </w:r>
    </w:p>
    <w:p>
      <w:pPr>
        <w:pStyle w:val="FirstParagraph"/>
      </w:pPr>
      <w:r>
        <w:t xml:space="preserve">Digital Government Policy Coordination and ICT Infrastructure Enablement</w:t>
      </w:r>
    </w:p>
    <w:bookmarkEnd w:id="15"/>
    <w:bookmarkStart w:id="16" w:name="service-category"/>
    <w:p>
      <w:pPr>
        <w:pStyle w:val="Heading3"/>
      </w:pPr>
      <w:r>
        <w:t xml:space="preserve">Service Category</w:t>
      </w:r>
    </w:p>
    <w:p>
      <w:pPr>
        <w:pStyle w:val="Compact"/>
        <w:numPr>
          <w:ilvl w:val="0"/>
          <w:numId w:val="1002"/>
        </w:numPr>
      </w:pPr>
      <w:r>
        <w:t xml:space="preserve">G2G (Government to Government)</w:t>
      </w:r>
    </w:p>
    <w:p>
      <w:pPr>
        <w:pStyle w:val="Compact"/>
        <w:numPr>
          <w:ilvl w:val="0"/>
          <w:numId w:val="1002"/>
        </w:numPr>
      </w:pPr>
      <w:r>
        <w:t xml:space="preserve">G2C (Government to Citizen – indirect through digital platforms)</w:t>
      </w:r>
    </w:p>
    <w:bookmarkEnd w:id="16"/>
    <w:bookmarkStart w:id="17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National ICT policy development; Digital government architecture and standards; Coordination of ICT projects across MDAs; Development of digital public infrastructure; Cybersecurity governance and digital trust frameworks.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Sector-specific service delivery (handled by respective MDAs).</w:t>
      </w:r>
    </w:p>
    <w:bookmarkEnd w:id="17"/>
    <w:bookmarkStart w:id="18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4"/>
        </w:numPr>
      </w:pPr>
      <w:r>
        <w:t xml:space="preserve">Government need for digital transformation or ICT-enabled service delivery.</w:t>
      </w:r>
    </w:p>
    <w:bookmarkEnd w:id="18"/>
    <w:bookmarkStart w:id="19" w:name="end-states"/>
    <w:p>
      <w:pPr>
        <w:pStyle w:val="Heading3"/>
      </w:pPr>
      <w:r>
        <w:t xml:space="preserve">End States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Successful:</w:t>
      </w:r>
      <w:r>
        <w:t xml:space="preserve"> </w:t>
      </w:r>
      <w:r>
        <w:t xml:space="preserve">ICT policy approved; Digital platform or infrastructure deployed; Government service digitized and operational.</w:t>
      </w:r>
    </w:p>
    <w:bookmarkEnd w:id="19"/>
    <w:bookmarkStart w:id="20" w:name="policy-context"/>
    <w:p>
      <w:pPr>
        <w:pStyle w:val="Heading3"/>
      </w:pPr>
      <w:r>
        <w:t xml:space="preserve">Policy Context</w:t>
      </w:r>
    </w:p>
    <w:p>
      <w:pPr>
        <w:pStyle w:val="Compact"/>
        <w:numPr>
          <w:ilvl w:val="0"/>
          <w:numId w:val="1006"/>
        </w:numPr>
      </w:pPr>
      <w:r>
        <w:t xml:space="preserve">Constitution of Kenya (2010); Kenya Digital Economy Blueprint; Data Protection Act (2019); National ICT Policy; Kenya National Cybersecurity Strategy.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tailed-process-as-is"/>
    <w:p>
      <w:pPr>
        <w:pStyle w:val="Heading2"/>
      </w:pPr>
      <w:r>
        <w:t xml:space="preserve">Detailed Process (AS-IS)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Tool/System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Identifies need for digital service or ICT project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Department ICT</w:t>
            </w:r>
          </w:p>
        </w:tc>
        <w:tc>
          <w:tcPr/>
          <w:p>
            <w:pPr>
              <w:pStyle w:val="Compact"/>
            </w:pPr>
            <w:r>
              <w:t xml:space="preserve">Develops ICT policy, strategy, or framework</w:t>
            </w:r>
          </w:p>
        </w:tc>
        <w:tc>
          <w:tcPr/>
          <w:p>
            <w:pPr>
              <w:pStyle w:val="Compact"/>
            </w:pPr>
            <w:r>
              <w:t xml:space="preserve">Policy Documents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Reviews proposed ICT project for standards compliance</w:t>
            </w:r>
          </w:p>
        </w:tc>
        <w:tc>
          <w:tcPr/>
          <w:p>
            <w:pPr>
              <w:pStyle w:val="Compact"/>
            </w:pPr>
            <w:r>
              <w:t xml:space="preserve">GEA / ICT Standards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MDA / Vendor</w:t>
            </w:r>
          </w:p>
        </w:tc>
        <w:tc>
          <w:tcPr/>
          <w:p>
            <w:pPr>
              <w:pStyle w:val="Compact"/>
            </w:pPr>
            <w:r>
              <w:t xml:space="preserve">Procures and develops ICT system</w:t>
            </w:r>
          </w:p>
        </w:tc>
        <w:tc>
          <w:tcPr/>
          <w:p>
            <w:pPr>
              <w:pStyle w:val="Compact"/>
            </w:pPr>
            <w:r>
              <w:t xml:space="preserve">Vendor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Deploys and operates ICT system</w:t>
            </w:r>
          </w:p>
        </w:tc>
        <w:tc>
          <w:tcPr/>
          <w:p>
            <w:pPr>
              <w:pStyle w:val="Compact"/>
            </w:pPr>
            <w:r>
              <w:t xml:space="preserve">Standalone Systems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pain-points-opportunities"/>
    <w:p>
      <w:pPr>
        <w:pStyle w:val="Heading2"/>
      </w:pPr>
      <w:r>
        <w:t xml:space="preserve">Pain Points &amp; Opportunities</w:t>
      </w:r>
    </w:p>
    <w:bookmarkStart w:id="23" w:name="pain-points"/>
    <w:p>
      <w:pPr>
        <w:pStyle w:val="Heading3"/>
      </w:pPr>
      <w:r>
        <w:t xml:space="preserve">Pain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Fragmented Systems:</w:t>
      </w:r>
      <w:r>
        <w:t xml:space="preserve"> </w:t>
      </w:r>
      <w:r>
        <w:t xml:space="preserve">Many MDAs develop standalone systems that do not integrate with other government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Duplication of Infrastructure:</w:t>
      </w:r>
      <w:r>
        <w:t xml:space="preserve"> </w:t>
      </w:r>
      <w:r>
        <w:t xml:space="preserve">Multiple agencies build similar systems without shared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Limited Interoperability:</w:t>
      </w:r>
      <w:r>
        <w:t xml:space="preserve"> </w:t>
      </w:r>
      <w:r>
        <w:t xml:space="preserve">Data exchange between MDAs is often manual or ad-hoc.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Inconsistent Standards:</w:t>
      </w:r>
      <w:r>
        <w:t xml:space="preserve"> </w:t>
      </w:r>
      <w:r>
        <w:t xml:space="preserve">Some ICT implementations bypass government enterprise architecture frameworks.</w:t>
      </w:r>
    </w:p>
    <w:bookmarkEnd w:id="23"/>
    <w:bookmarkStart w:id="24" w:name="opportunities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Whole-of-Government Interoperability:</w:t>
      </w:r>
      <w:r>
        <w:t xml:space="preserve"> </w:t>
      </w:r>
      <w:r>
        <w:t xml:space="preserve">Adoption of KeSEL / X-Road architecture for secure data exchange.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Shared Digital Infrastructure:</w:t>
      </w:r>
      <w:r>
        <w:t xml:space="preserve"> </w:t>
      </w:r>
      <w:r>
        <w:t xml:space="preserve">Government cloud, national data centers, and shared digital platforms.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Identity Integration:</w:t>
      </w:r>
      <w:r>
        <w:t xml:space="preserve"> </w:t>
      </w:r>
      <w:r>
        <w:t xml:space="preserve">Use of Maisha Namba / National Digital ID across government services.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Trust Frameworks:</w:t>
      </w:r>
      <w:r>
        <w:t xml:space="preserve"> </w:t>
      </w:r>
      <w:r>
        <w:t xml:space="preserve">Use of National PKI and verifiable credentials for digital services.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o-be-process-flowchart-bpmn-2.0"/>
    <w:p>
      <w:pPr>
        <w:pStyle w:val="Heading2"/>
      </w:pPr>
      <w:r>
        <w:t xml:space="preserve">2. TO-BE Process Flowchart (BPMN 2.0)</w:t>
      </w:r>
    </w:p>
    <w:p>
      <w:pPr>
        <w:pStyle w:val="FirstParagraph"/>
      </w:pPr>
      <w:r>
        <w:rPr>
          <w:i/>
          <w:iCs/>
        </w:rPr>
        <w:t xml:space="preserve">Future State visualization (Kenya DSAP Architecture – Whole of Government Digital Platform).</w:t>
      </w:r>
    </w:p>
    <w:p>
      <w:pPr>
        <w:pStyle w:val="CaptionedFigure"/>
      </w:pPr>
      <w:r>
        <w:drawing>
          <wp:inline>
            <wp:extent cx="4394200" cy="18567400"/>
            <wp:effectExtent b="0" l="0" r="0" t="0"/>
            <wp:docPr descr="TO_BE Diagram" title="" id="27" name="Picture"/>
            <a:graphic>
              <a:graphicData uri="http://schemas.openxmlformats.org/drawingml/2006/picture">
                <pic:pic>
                  <pic:nvPicPr>
                    <pic:cNvPr descr="exported_mermaids/State_Department_of_ICT_TO_B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85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TO_BE Diagram</w:t>
      </w:r>
    </w:p>
    <w:p>
      <w:r>
        <w:pict>
          <v:rect style="width:0;height:1.5pt" o:hralign="center" o:hrstd="t" o:hr="t"/>
        </w:pict>
      </w:r>
    </w:p>
    <w:bookmarkEnd w:id="29"/>
    <w:bookmarkStart w:id="32" w:name="future-state-process-to-be"/>
    <w:p>
      <w:pPr>
        <w:pStyle w:val="Heading2"/>
      </w:pPr>
      <w:r>
        <w:t xml:space="preserve">Future State Process (TO-BE)</w:t>
      </w:r>
    </w:p>
    <w:bookmarkStart w:id="30" w:name="narrative"/>
    <w:p>
      <w:pPr>
        <w:pStyle w:val="Heading3"/>
      </w:pPr>
      <w:r>
        <w:t xml:space="preserve">Narrative</w:t>
      </w:r>
    </w:p>
    <w:p>
      <w:pPr>
        <w:pStyle w:val="FirstParagraph"/>
      </w:pPr>
      <w:r>
        <w:rPr>
          <w:b/>
          <w:bCs/>
        </w:rPr>
        <w:t xml:space="preserve">TO-BE Process: Integrated Digital Government Service Delivery</w:t>
      </w:r>
    </w:p>
    <w:p>
      <w:pPr>
        <w:pStyle w:val="BodyText"/>
      </w:pPr>
      <w:r>
        <w:t xml:space="preserve">The State Department for ICT and the Digital Economy will transition government ICT implementation to a platform-based digital government architecture.</w:t>
      </w:r>
    </w:p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Whole-of-Government Architecture:</w:t>
      </w:r>
      <w:r>
        <w:t xml:space="preserve"> </w:t>
      </w:r>
      <w:r>
        <w:t xml:space="preserve">All ICT projects must comply with Government Enterprise Architecture (GEA) standards before implementation.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Infrastructure:</w:t>
      </w:r>
      <w:r>
        <w:t xml:space="preserve"> </w:t>
      </w:r>
      <w:r>
        <w:t xml:space="preserve">Digital services are deployed on government cloud and shared platforms, reducing duplication across MDAs.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Data Exchange:</w:t>
      </w:r>
      <w:r>
        <w:t xml:space="preserve"> </w:t>
      </w:r>
      <w:r>
        <w:t xml:space="preserve">Government systems exchange data through KeSEL / X-Road, ensuring interoperability between authoritative registries.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Trust:</w:t>
      </w:r>
      <w:r>
        <w:t xml:space="preserve"> </w:t>
      </w:r>
      <w:r>
        <w:t xml:space="preserve">All transactions use National PKI, digital signatures, and secure identity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Citizen-Centric Service Delivery:</w:t>
      </w:r>
      <w:r>
        <w:t xml:space="preserve"> </w:t>
      </w:r>
      <w:r>
        <w:t xml:space="preserve">Services are published through eCitizen or government digital portals, enabling citizens to access services digitally without visiting physical offices.</w:t>
      </w:r>
    </w:p>
    <w:bookmarkEnd w:id="30"/>
    <w:bookmarkStart w:id="31" w:name="optimized-steps-digital"/>
    <w:p>
      <w:pPr>
        <w:pStyle w:val="Heading3"/>
      </w:pPr>
      <w:r>
        <w:t xml:space="preserve">Optimized Steps (Digital)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Designs digital service aligned with GEA</w:t>
            </w:r>
          </w:p>
        </w:tc>
        <w:tc>
          <w:tcPr/>
          <w:p>
            <w:pPr>
              <w:pStyle w:val="Compact"/>
            </w:pPr>
            <w:r>
              <w:t xml:space="preserve">Digital Architecture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Validates architecture and integration requirements</w:t>
            </w:r>
          </w:p>
        </w:tc>
        <w:tc>
          <w:tcPr/>
          <w:p>
            <w:pPr>
              <w:pStyle w:val="Compact"/>
            </w:pPr>
            <w:r>
              <w:t xml:space="preserve">GEA Compliance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Integrates with authoritative registries via X-Road</w:t>
            </w:r>
          </w:p>
        </w:tc>
        <w:tc>
          <w:tcPr/>
          <w:p>
            <w:pPr>
              <w:pStyle w:val="Compact"/>
            </w:pPr>
            <w:r>
              <w:t xml:space="preserve">KeSEL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Government Cloud</w:t>
            </w:r>
          </w:p>
        </w:tc>
        <w:tc>
          <w:tcPr/>
          <w:p>
            <w:pPr>
              <w:pStyle w:val="Compact"/>
            </w:pPr>
            <w:r>
              <w:t xml:space="preserve">Hosts the digital service platform</w:t>
            </w:r>
          </w:p>
        </w:tc>
        <w:tc>
          <w:tcPr/>
          <w:p>
            <w:pPr>
              <w:pStyle w:val="Compact"/>
            </w:pPr>
            <w:r>
              <w:t xml:space="preserve">Gov Cloud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Accesses service digitally via portal or mobile device</w:t>
            </w:r>
          </w:p>
        </w:tc>
        <w:tc>
          <w:tcPr/>
          <w:p>
            <w:pPr>
              <w:pStyle w:val="Compact"/>
            </w:pPr>
            <w:r>
              <w:t xml:space="preserve">eCitizen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Kenya Digital Economy Blueprint</w:t>
      </w:r>
    </w:p>
    <w:p>
      <w:pPr>
        <w:pStyle w:val="Compact"/>
        <w:numPr>
          <w:ilvl w:val="0"/>
          <w:numId w:val="1009"/>
        </w:numPr>
      </w:pPr>
      <w:r>
        <w:t xml:space="preserve">National ICT Policy</w:t>
      </w:r>
    </w:p>
    <w:p>
      <w:pPr>
        <w:pStyle w:val="Compact"/>
        <w:numPr>
          <w:ilvl w:val="0"/>
          <w:numId w:val="1009"/>
        </w:numPr>
      </w:pPr>
      <w:r>
        <w:t xml:space="preserve">Data Protection Act (2019)</w:t>
      </w:r>
    </w:p>
    <w:p>
      <w:pPr>
        <w:pStyle w:val="Compact"/>
        <w:numPr>
          <w:ilvl w:val="0"/>
          <w:numId w:val="1009"/>
        </w:numPr>
      </w:pPr>
      <w:r>
        <w:t xml:space="preserve">Government Enterprise Architecture (GEA) Framework</w:t>
      </w:r>
    </w:p>
    <w:p>
      <w:pPr>
        <w:pStyle w:val="Compact"/>
        <w:numPr>
          <w:ilvl w:val="0"/>
          <w:numId w:val="1009"/>
        </w:numPr>
      </w:pPr>
      <w:r>
        <w:t xml:space="preserve">ICT Authority Standards and Guidelines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2026-03-04T19:48:20Z</dcterms:created>
  <dcterms:modified xsi:type="dcterms:W3CDTF">2026-03-04T19:48:20Z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