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820B0B2" w14:textId="77777777" w:rsidR="008D4AAC" w:rsidRDefault="00000000">
      <w:pPr>
        <w:pStyle w:val="Title"/>
        <w:jc w:val="center"/>
      </w:pPr>
      <w:r>
        <w:t>Kenya Whole-of-Government (WoG) Digital Transformation</w:t>
      </w:r>
    </w:p>
    <w:p w14:paraId="49279539" w14:textId="77777777" w:rsidR="008D4AAC" w:rsidRDefault="00000000">
      <w:pPr>
        <w:jc w:val="center"/>
      </w:pPr>
      <w:r>
        <w:t>Technical Deep Dive: Architectural Components &amp; POC Implementation</w:t>
      </w:r>
    </w:p>
    <w:p w14:paraId="0E948F84" w14:textId="77777777" w:rsidR="008D4AAC" w:rsidRDefault="00000000">
      <w:r>
        <w:br/>
      </w:r>
      <w:r>
        <w:br/>
      </w:r>
      <w:r>
        <w:br/>
      </w:r>
      <w:r>
        <w:br/>
      </w:r>
      <w:r>
        <w:br/>
      </w:r>
    </w:p>
    <w:p w14:paraId="74526C54" w14:textId="77777777" w:rsidR="008D4AAC" w:rsidRDefault="00000000">
      <w:pPr>
        <w:jc w:val="center"/>
      </w:pPr>
      <w:r>
        <w:rPr>
          <w:b/>
        </w:rPr>
        <w:t>Date: March 18, 2026</w:t>
      </w:r>
      <w:r>
        <w:rPr>
          <w:b/>
        </w:rPr>
        <w:br/>
        <w:t>Version: 1.1</w:t>
      </w:r>
      <w:r>
        <w:rPr>
          <w:b/>
        </w:rPr>
        <w:br/>
        <w:t>Classification: Official / Strategic Confidental</w:t>
      </w:r>
    </w:p>
    <w:p w14:paraId="1912C742" w14:textId="77777777" w:rsidR="008D4AAC" w:rsidRDefault="00000000">
      <w:r>
        <w:br w:type="page"/>
      </w:r>
    </w:p>
    <w:p w14:paraId="0072E275" w14:textId="77777777" w:rsidR="008D4AAC" w:rsidRDefault="00000000">
      <w:pPr>
        <w:pStyle w:val="Heading1"/>
      </w:pPr>
      <w:r>
        <w:lastRenderedPageBreak/>
        <w:t>1. Executive Summary</w:t>
      </w:r>
    </w:p>
    <w:p w14:paraId="52664DD0" w14:textId="77777777" w:rsidR="008D4AAC" w:rsidRDefault="00000000">
      <w:r>
        <w:t>This document provides a comprehensive technical breakdown of the components required to build a Whole-of-Government (WoG) digital ecosystem for the Republic of Kenya. The strategy centers on the 'Integrate and Automate' model, leveraging the Huduma Bridge (KeSEL/X-Road) to connect existing functional systems while introducing a centralized orchestration and digital archival layer. This approach ensures that government services are secure, interoperable, and paperless, fulfilling the mandates of the Kenya DSAP Architecture.</w:t>
      </w:r>
    </w:p>
    <w:p w14:paraId="39C3FDF4" w14:textId="77777777" w:rsidR="008D4AAC" w:rsidRDefault="00000000">
      <w:pPr>
        <w:pStyle w:val="Heading1"/>
      </w:pPr>
      <w:r>
        <w:t>2. Layer 1: Access Channels (Citizen-Centric)</w:t>
      </w:r>
    </w:p>
    <w:p w14:paraId="2EF25355" w14:textId="77777777" w:rsidR="008D4AAC" w:rsidRDefault="00000000">
      <w:r>
        <w:t>The Access Layer provides the unified interface through which citizens and officers interact with the digital government. It is designed for inclusivity, accessibility, and 'Digitization at the Edge'.</w:t>
      </w:r>
    </w:p>
    <w:p w14:paraId="2173A79E" w14:textId="77777777" w:rsidR="008D4AAC" w:rsidRDefault="00000000">
      <w:pPr>
        <w:pStyle w:val="ListBullet"/>
      </w:pPr>
      <w:r>
        <w:rPr>
          <w:b/>
        </w:rPr>
        <w:t xml:space="preserve">eCitizen Portal &amp; Mobile App: </w:t>
      </w:r>
      <w:r>
        <w:t>The primary 'Single Window' for all G2C and G2B services. It provides a unified user dashboard, personalized service tracking, and a digital wallet for verifiable credentials.</w:t>
      </w:r>
    </w:p>
    <w:p w14:paraId="6CF213AA" w14:textId="77777777" w:rsidR="008D4AAC" w:rsidRDefault="00000000">
      <w:pPr>
        <w:pStyle w:val="ListBullet"/>
      </w:pPr>
      <w:r>
        <w:rPr>
          <w:b/>
        </w:rPr>
        <w:t xml:space="preserve">Officer Workbench: </w:t>
      </w:r>
      <w:r>
        <w:t>A specialized interface for government officers that replaces legacy back-office systems. It includes integrated modules for document scanning, OCR validation, and workflow management.</w:t>
      </w:r>
    </w:p>
    <w:p w14:paraId="1DE95499" w14:textId="77777777" w:rsidR="008D4AAC" w:rsidRDefault="00000000">
      <w:pPr>
        <w:pStyle w:val="ListBullet"/>
      </w:pPr>
      <w:r>
        <w:rPr>
          <w:b/>
        </w:rPr>
        <w:t xml:space="preserve">Huduma Centers (Digital Intake): </w:t>
      </w:r>
      <w:r>
        <w:t>Physical centers equipped with high-speed document capture hardware to intercept and digitize physical paper records at the point of service delivery.</w:t>
      </w:r>
    </w:p>
    <w:p w14:paraId="1B5F4488" w14:textId="77777777" w:rsidR="008D4AAC" w:rsidRDefault="00000000">
      <w:pPr>
        <w:pStyle w:val="ListBullet"/>
      </w:pPr>
      <w:r>
        <w:rPr>
          <w:b/>
        </w:rPr>
        <w:t xml:space="preserve">USSD &amp; Feature Phone Access: </w:t>
      </w:r>
      <w:r>
        <w:t>Ensuring inclusivity for the segment of the population without smartphones, providing basic status tracking and low-bandwidth service applications.</w:t>
      </w:r>
    </w:p>
    <w:p w14:paraId="30D4CBCE" w14:textId="77777777" w:rsidR="008D4AAC" w:rsidRDefault="00000000">
      <w:pPr>
        <w:pStyle w:val="Heading1"/>
      </w:pPr>
      <w:r>
        <w:t>3. Layer 2: Core Platform (Security &amp; Orchestration)</w:t>
      </w:r>
    </w:p>
    <w:p w14:paraId="6E9B72BA" w14:textId="77777777" w:rsidR="008D4AAC" w:rsidRDefault="00000000">
      <w:r>
        <w:t>The Core Platform is the 'Engine Room' of the ecosystem, responsible for managing the logic, identity, and trust of every transaction.</w:t>
      </w:r>
    </w:p>
    <w:p w14:paraId="5C8D420E" w14:textId="77777777" w:rsidR="008D4AAC" w:rsidRDefault="00000000">
      <w:pPr>
        <w:pStyle w:val="ListBullet"/>
      </w:pPr>
      <w:r>
        <w:rPr>
          <w:b/>
        </w:rPr>
        <w:t xml:space="preserve">BPMN Workflow Engine (Camunda): </w:t>
      </w:r>
      <w:r>
        <w:t>Orchestrates long-running government processes using BPMN 2.0 standards. It decouples business logic from the code, allowing policy changes (e.g., a change in approval steps) to be implemented without a full system rebuild.</w:t>
      </w:r>
    </w:p>
    <w:p w14:paraId="322BEFEC" w14:textId="77777777" w:rsidR="008D4AAC" w:rsidRDefault="00000000">
      <w:pPr>
        <w:pStyle w:val="ListBullet"/>
      </w:pPr>
      <w:r>
        <w:rPr>
          <w:b/>
        </w:rPr>
        <w:t xml:space="preserve">Trust Hub (Identity &amp; Consent): </w:t>
      </w:r>
      <w:r>
        <w:t>Integrates with Maisha Namba (IPRS) for identity federation. Crucially, it contains the 'Consent Manager,' ensuring compliance with the Data Protection Act by tracking and logging citizen permission for data sharing.</w:t>
      </w:r>
    </w:p>
    <w:p w14:paraId="5AA00C98" w14:textId="77777777" w:rsidR="008D4AAC" w:rsidRDefault="00000000">
      <w:pPr>
        <w:pStyle w:val="ListBullet"/>
      </w:pPr>
      <w:r>
        <w:rPr>
          <w:b/>
        </w:rPr>
        <w:t xml:space="preserve">National PKI (NPKI): </w:t>
      </w:r>
      <w:r>
        <w:t>Provides the infrastructure for legally binding digital signatures. Every officer approval and every issued certificate is cryptographically signed, ensuring non-repudiation and preventing fraud.</w:t>
      </w:r>
    </w:p>
    <w:p w14:paraId="49101795" w14:textId="77777777" w:rsidR="008D4AAC" w:rsidRDefault="00000000">
      <w:pPr>
        <w:pStyle w:val="ListBullet"/>
      </w:pPr>
      <w:r>
        <w:rPr>
          <w:b/>
        </w:rPr>
        <w:lastRenderedPageBreak/>
        <w:t xml:space="preserve">Intelligent Document Processing (IDP): </w:t>
      </w:r>
      <w:r>
        <w:t>A shared service engine using AI and OCR to extract metadata from scanned paper records, converting unstructured legacy files into structured, searchable digital assets.</w:t>
      </w:r>
    </w:p>
    <w:p w14:paraId="09658C58" w14:textId="77777777" w:rsidR="008D4AAC" w:rsidRDefault="00000000">
      <w:pPr>
        <w:pStyle w:val="Heading1"/>
      </w:pPr>
      <w:r>
        <w:t>4. Layer 3: Interoperability (Huduma Bridge)</w:t>
      </w:r>
    </w:p>
    <w:p w14:paraId="17C5BDF3" w14:textId="77777777" w:rsidR="008D4AAC" w:rsidRDefault="00000000">
      <w:r>
        <w:t>The Huduma Bridge enables the 'Once-Only' principle, where citizens never have to provide the same data twice because agencies can securely share authoritative records.</w:t>
      </w:r>
    </w:p>
    <w:p w14:paraId="1814CCAD" w14:textId="77777777" w:rsidR="008D4AAC" w:rsidRDefault="00000000">
      <w:pPr>
        <w:pStyle w:val="ListBullet"/>
      </w:pPr>
      <w:r>
        <w:rPr>
          <w:b/>
        </w:rPr>
        <w:t xml:space="preserve">KeSEL / X-Road Secure Exchange: </w:t>
      </w:r>
      <w:r>
        <w:t>A decentralized data exchange layer that allows MDAs to share data peer-to-peer. It uses secure tunnels and NPKI-based authentication to ensure that no central database bottleneck exists, and all data movements are audited.</w:t>
      </w:r>
    </w:p>
    <w:p w14:paraId="70FCC191" w14:textId="77777777" w:rsidR="008D4AAC" w:rsidRDefault="00000000">
      <w:pPr>
        <w:pStyle w:val="ListBullet"/>
      </w:pPr>
      <w:r>
        <w:rPr>
          <w:b/>
        </w:rPr>
        <w:t xml:space="preserve">Central Service Catalogue: </w:t>
      </w:r>
      <w:r>
        <w:t>A discoverable registry of all available Government APIs (G2G). It allows developers to quickly identify and consume data from authoritative sources like KRA, BRS, or Lands.</w:t>
      </w:r>
    </w:p>
    <w:p w14:paraId="2B9AC4C6" w14:textId="77777777" w:rsidR="008D4AAC" w:rsidRDefault="00000000">
      <w:pPr>
        <w:pStyle w:val="ListBullet"/>
      </w:pPr>
      <w:r>
        <w:rPr>
          <w:b/>
        </w:rPr>
        <w:t xml:space="preserve">Legacy System Adapters: </w:t>
      </w:r>
      <w:r>
        <w:t>Custom-built 'Connectors' that bridge the gap between modern architecture and older, legacy MDA databases (SQL, Oracle, or Mainframe), exposing them as secure, standardized APIs.</w:t>
      </w:r>
    </w:p>
    <w:p w14:paraId="6B7BA563" w14:textId="77777777" w:rsidR="008D4AAC" w:rsidRDefault="00000000">
      <w:pPr>
        <w:pStyle w:val="Heading1"/>
      </w:pPr>
      <w:r>
        <w:t>5. Layer 4: Foundational Registries &amp; Payments</w:t>
      </w:r>
    </w:p>
    <w:p w14:paraId="0184AF6B" w14:textId="77777777" w:rsidR="008D4AAC" w:rsidRDefault="00000000">
      <w:r>
        <w:t>This layer houses the 'Sources of Truth' and the financial engine for government revenue collection.</w:t>
      </w:r>
    </w:p>
    <w:p w14:paraId="5A4A5770" w14:textId="77777777" w:rsidR="008D4AAC" w:rsidRDefault="00000000">
      <w:pPr>
        <w:pStyle w:val="ListBullet"/>
      </w:pPr>
      <w:r>
        <w:rPr>
          <w:b/>
        </w:rPr>
        <w:t xml:space="preserve">National EDRMS / Digital Vault: </w:t>
      </w:r>
      <w:r>
        <w:t>The definitive, legal archive for the state. It stores natively digital documents and digitized legacy records with metadata tagging, ensuring lifetime retrieval and compliance with the Public Archives Act.</w:t>
      </w:r>
    </w:p>
    <w:p w14:paraId="71094D09" w14:textId="77777777" w:rsidR="008D4AAC" w:rsidRDefault="00000000">
      <w:pPr>
        <w:pStyle w:val="ListBullet"/>
      </w:pPr>
      <w:r>
        <w:rPr>
          <w:b/>
        </w:rPr>
        <w:t xml:space="preserve">Authoritative Registries (IPRS, BRS, KRA): </w:t>
      </w:r>
      <w:r>
        <w:t>Integration with master data sources to eliminate the need for physical document uploads. Applications automatically 'pull' verified data for IDs, Business Registrations, and Tax status.</w:t>
      </w:r>
    </w:p>
    <w:p w14:paraId="0CDD4669" w14:textId="77777777" w:rsidR="008D4AAC" w:rsidRDefault="00000000">
      <w:pPr>
        <w:pStyle w:val="ListBullet"/>
      </w:pPr>
      <w:r>
        <w:rPr>
          <w:b/>
        </w:rPr>
        <w:t xml:space="preserve">Government Payment Aggregator (GPA): </w:t>
      </w:r>
      <w:r>
        <w:t>A unified gateway for M-Pesa, Banks, and Card payments. It features 'Split-Revenue' logic, automatically dividing a single payment into Treasury, County, and Agency accounts in real-time.</w:t>
      </w:r>
    </w:p>
    <w:p w14:paraId="1FE2F29A" w14:textId="77777777" w:rsidR="008D4AAC" w:rsidRDefault="00000000">
      <w:pPr>
        <w:pStyle w:val="ListBullet"/>
      </w:pPr>
      <w:r>
        <w:rPr>
          <w:b/>
        </w:rPr>
        <w:t xml:space="preserve">National Data Warehouse: </w:t>
      </w:r>
      <w:r>
        <w:t>An anonymized, consolidated repository for cross-government data analytics, enabling evidence-based policy making and high-level performance tracking.</w:t>
      </w:r>
    </w:p>
    <w:p w14:paraId="6081CA38" w14:textId="77777777" w:rsidR="008D4AAC" w:rsidRDefault="00000000">
      <w:pPr>
        <w:pStyle w:val="Heading1"/>
      </w:pPr>
      <w:r>
        <w:t>6. POC Implementation Strategy</w:t>
      </w:r>
    </w:p>
    <w:p w14:paraId="6E37C319" w14:textId="77777777" w:rsidR="008D4AAC" w:rsidRDefault="00000000">
      <w:r>
        <w:t>Implementation will be carried out in a modular fashion to ensure scalability and risk mitigation.</w:t>
      </w:r>
    </w:p>
    <w:p w14:paraId="6C44807A" w14:textId="77777777" w:rsidR="008D4AAC" w:rsidRDefault="00000000">
      <w:pPr>
        <w:pStyle w:val="ListNumber"/>
      </w:pPr>
      <w:r>
        <w:rPr>
          <w:b/>
        </w:rPr>
        <w:t xml:space="preserve">Phase 1: Foundation Setup: </w:t>
      </w:r>
      <w:r>
        <w:t>Deploying the Hub components (X-Road, Workflow Engine, and the initial EDRMS core).</w:t>
      </w:r>
    </w:p>
    <w:p w14:paraId="1B01C5D4" w14:textId="77777777" w:rsidR="008D4AAC" w:rsidRDefault="00000000">
      <w:pPr>
        <w:pStyle w:val="ListNumber"/>
      </w:pPr>
      <w:r>
        <w:rPr>
          <w:b/>
        </w:rPr>
        <w:lastRenderedPageBreak/>
        <w:t xml:space="preserve">Phase 2: Priority MDA Onboarding: </w:t>
      </w:r>
      <w:r>
        <w:t>Digitizing core processes for the 29 Priority MDAs identified in the workshop (e.g., Passport Issuance, Health Exchange, Birth Registration).</w:t>
      </w:r>
    </w:p>
    <w:p w14:paraId="2E0F1315" w14:textId="77777777" w:rsidR="008D4AAC" w:rsidRDefault="00000000">
      <w:pPr>
        <w:pStyle w:val="ListNumber"/>
      </w:pPr>
      <w:r>
        <w:rPr>
          <w:b/>
        </w:rPr>
        <w:t xml:space="preserve">Phase 3: National Rollout: </w:t>
      </w:r>
      <w:r>
        <w:t>Leveraging standardized Legacy Adapters to onboard the remaining 200+ MDAs and executing the mass back-scanning of paper archives.</w:t>
      </w:r>
    </w:p>
    <w:p w14:paraId="135BE7E5" w14:textId="77777777" w:rsidR="008D4AAC" w:rsidRDefault="00000000">
      <w:pPr>
        <w:pStyle w:val="Heading1"/>
      </w:pPr>
      <w:r>
        <w:t>7. Conclusion</w:t>
      </w:r>
    </w:p>
    <w:p w14:paraId="47DBF8CF" w14:textId="77777777" w:rsidR="008D4AAC" w:rsidRDefault="00000000">
      <w:r>
        <w:t>By focusing on these deep-dive components, the Republic of Kenya can achieve a world-class digital government infrastructure. The immediate priority is the establishment of the central Hub to enable the secure flow of data and the transformation of legacy paper into strategic digital assets.</w:t>
      </w:r>
    </w:p>
    <w:sectPr w:rsidR="008D4AA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notTrueType/>
    <w:pitch w:val="fixed"/>
    <w:sig w:usb0="E00002FF" w:usb1="6AC7FDFB" w:usb2="08000012" w:usb3="00000000" w:csb0="0002009F"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notTrueType/>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658604766">
    <w:abstractNumId w:val="8"/>
  </w:num>
  <w:num w:numId="2" w16cid:durableId="635066990">
    <w:abstractNumId w:val="6"/>
  </w:num>
  <w:num w:numId="3" w16cid:durableId="2071346131">
    <w:abstractNumId w:val="5"/>
  </w:num>
  <w:num w:numId="4" w16cid:durableId="1385183085">
    <w:abstractNumId w:val="4"/>
  </w:num>
  <w:num w:numId="5" w16cid:durableId="1468475501">
    <w:abstractNumId w:val="7"/>
  </w:num>
  <w:num w:numId="6" w16cid:durableId="1641110823">
    <w:abstractNumId w:val="3"/>
  </w:num>
  <w:num w:numId="7" w16cid:durableId="1105921860">
    <w:abstractNumId w:val="2"/>
  </w:num>
  <w:num w:numId="8" w16cid:durableId="748623406">
    <w:abstractNumId w:val="1"/>
  </w:num>
  <w:num w:numId="9" w16cid:durableId="66863080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53332D"/>
    <w:rsid w:val="008D4AAC"/>
    <w:rsid w:val="009805FA"/>
    <w:rsid w:val="009F59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3D76952"/>
  <w14:defaultImageDpi w14:val="300"/>
  <w15:docId w15:val="{DF113989-0613-4448-9D4E-3C8766224F4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rial" w:hAnsi="Arial"/>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u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u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u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u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u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u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u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u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u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u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u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u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u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u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u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u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u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u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u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u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u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TotalTime>
  <Pages>4</Pages>
  <Words>778</Words>
  <Characters>4913</Characters>
  <Application>Microsoft Office Word</Application>
  <DocSecurity>0</DocSecurity>
  <Lines>96</Lines>
  <Paragraphs>35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5676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Office</cp:lastModifiedBy>
  <cp:revision>2</cp:revision>
  <dcterms:created xsi:type="dcterms:W3CDTF">2013-12-23T23:15:00Z</dcterms:created>
  <dcterms:modified xsi:type="dcterms:W3CDTF">2026-03-21T19:05:00Z</dcterms:modified>
  <cp:category/>
</cp:coreProperties>
</file>