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Origine du jeu de données et études existantes</w:t>
      </w:r>
    </w:p>
    <w:p>
      <w:pPr>
        <w:spacing w:after="160"/>
        <w:jc w:val="both"/>
      </w:pPr>
      <w:r>
        <w:rPr>
          <w:i/>
          <w:iCs/>
          <w:color w:val="555555"/>
          <w:sz w:val="22"/>
          <w:szCs w:val="22"/>
        </w:rPr>
        <w:t xml:space="preserve">Analyse du dataset « Estimation of Obesity Levels Based On Eating Habits and Physical Condition »</w:t>
      </w:r>
    </w:p>
    <w:p>
      <w:pPr>
        <w:spacing w:after="200"/>
      </w:pPr>
    </w:p>
    <w:p>
      <w:pPr>
        <w:pStyle w:val="Heading1"/>
        <w:spacing w:after="160" w:before="320"/>
      </w:pPr>
      <w:r>
        <w:t xml:space="preserve">1. Identification du dataset</w:t>
      </w:r>
    </w:p>
    <w:p>
      <w:pPr>
        <w:pStyle w:val="ListParagraph"/>
        <w:numPr>
          <w:ilvl w:val="0"/>
          <w:numId w:val="2"/>
        </w:numPr>
        <w:spacing w:after="100"/>
      </w:pPr>
      <w:r>
        <w:rPr>
          <w:b/>
          <w:bCs/>
        </w:rPr>
        <w:t xml:space="preserve">Fichier local : </w:t>
      </w:r>
      <w:r>
        <w:t xml:space="preserve">ObesityDataSet_variables_explicites.csv (colonnes renommées, voir section 3)</w:t>
      </w:r>
    </w:p>
    <w:p>
      <w:pPr>
        <w:pStyle w:val="ListParagraph"/>
        <w:numPr>
          <w:ilvl w:val="0"/>
          <w:numId w:val="2"/>
        </w:numPr>
        <w:spacing w:after="100"/>
      </w:pPr>
      <w:r>
        <w:rPr>
          <w:b/>
          <w:bCs/>
        </w:rPr>
        <w:t xml:space="preserve">Nom officiel : </w:t>
      </w:r>
      <w:r>
        <w:rPr>
          <w:i/>
          <w:iCs/>
        </w:rPr>
        <w:t xml:space="preserve">Estimation of Obesity Levels Based On Eating Habits and Physical Condition</w:t>
      </w:r>
    </w:p>
    <w:p>
      <w:pPr>
        <w:pStyle w:val="ListParagraph"/>
        <w:numPr>
          <w:ilvl w:val="0"/>
          <w:numId w:val="2"/>
        </w:numPr>
        <w:spacing w:after="100"/>
      </w:pPr>
      <w:r>
        <w:rPr>
          <w:b/>
          <w:bCs/>
        </w:rPr>
        <w:t xml:space="preserve">Dépôt : </w:t>
      </w:r>
      <w:r>
        <w:t xml:space="preserve">UCI Machine Learning Repository, dataset n°544</w:t>
      </w:r>
    </w:p>
    <w:p>
      <w:pPr>
        <w:pStyle w:val="ListParagraph"/>
        <w:numPr>
          <w:ilvl w:val="0"/>
          <w:numId w:val="2"/>
        </w:numPr>
        <w:spacing w:after="100"/>
      </w:pPr>
      <w:r>
        <w:rPr>
          <w:b/>
          <w:bCs/>
        </w:rPr>
        <w:t xml:space="preserve">DOI du dataset : </w:t>
      </w:r>
      <w:r>
        <w:t xml:space="preserve">10.24432/C5H31Z</w:t>
      </w:r>
    </w:p>
    <w:p>
      <w:pPr>
        <w:pStyle w:val="ListParagraph"/>
        <w:numPr>
          <w:ilvl w:val="0"/>
          <w:numId w:val="2"/>
        </w:numPr>
        <w:spacing w:after="100"/>
      </w:pPr>
      <w:r>
        <w:rPr>
          <w:b/>
          <w:bCs/>
        </w:rPr>
        <w:t xml:space="preserve">Licence : </w:t>
      </w:r>
      <w:r>
        <w:t xml:space="preserve">Creative Commons Attribution 4.0 International (CC BY 4.0) — réutilisation libre à condition de citer la source</w:t>
      </w:r>
    </w:p>
    <w:p>
      <w:pPr>
        <w:pStyle w:val="ListParagraph"/>
        <w:numPr>
          <w:ilvl w:val="0"/>
          <w:numId w:val="2"/>
        </w:numPr>
        <w:spacing w:after="100"/>
      </w:pPr>
      <w:r>
        <w:rPr>
          <w:b/>
          <w:bCs/>
        </w:rPr>
        <w:t xml:space="preserve">Disponibilité : </w:t>
      </w:r>
      <w:r>
        <w:t xml:space="preserve">également republié sur Kaggle sous plusieurs versions, et référencé depuis l'article scientifique original (ScienceDirect / Mendeley Data)</w:t>
      </w:r>
    </w:p>
    <w:p>
      <w:pPr>
        <w:pStyle w:val="Heading1"/>
        <w:spacing w:after="160" w:before="320"/>
      </w:pPr>
      <w:r>
        <w:t xml:space="preserve">2. Origine et méthode de collecte</w:t>
      </w:r>
    </w:p>
    <w:p>
      <w:pPr>
        <w:spacing w:after="160"/>
        <w:jc w:val="both"/>
      </w:pPr>
      <w:r>
        <w:t xml:space="preserve">Le jeu de données provient de l'article scientifique suivant :</w:t>
      </w:r>
    </w:p>
    <w:p>
      <w:pPr>
        <w:spacing w:after="160"/>
        <w:jc w:val="both"/>
      </w:pPr>
      <w:r>
        <w:t xml:space="preserve">Fabio Mendoza Palechor, Alexis De la Hoz Manotas (2019). </w:t>
      </w:r>
      <w:r>
        <w:rPr>
          <w:i/>
          <w:iCs/>
        </w:rPr>
        <w:t xml:space="preserve">Dataset for estimation of obesity levels based on eating habits and physical condition in individuals from Colombia, Peru and Mexico.</w:t>
      </w:r>
      <w:r>
        <w:t xml:space="preserve"> Data in Brief, Volume 25, 104344.</w:t>
      </w:r>
    </w:p>
    <w:p>
      <w:pPr>
        <w:spacing w:after="160"/>
        <w:jc w:val="both"/>
      </w:pPr>
      <w:r>
        <w:t xml:space="preserve">Points clés de la méthodologie décrite par les auteurs :</w:t>
      </w:r>
    </w:p>
    <w:p>
      <w:pPr>
        <w:pStyle w:val="ListParagraph"/>
        <w:numPr>
          <w:ilvl w:val="0"/>
          <w:numId w:val="2"/>
        </w:numPr>
        <w:spacing w:after="100"/>
      </w:pPr>
      <w:r>
        <w:rPr>
          <w:b/>
          <w:bCs/>
        </w:rPr>
        <w:t xml:space="preserve">Population source : </w:t>
      </w:r>
      <w:r>
        <w:t xml:space="preserve">individus âgés de 14 à 61 ans, résidant en Colombie, au Pérou et au Mexique.</w:t>
      </w:r>
    </w:p>
    <w:p>
      <w:pPr>
        <w:pStyle w:val="ListParagraph"/>
        <w:numPr>
          <w:ilvl w:val="0"/>
          <w:numId w:val="2"/>
        </w:numPr>
        <w:spacing w:after="100"/>
      </w:pPr>
      <w:r>
        <w:rPr>
          <w:b/>
          <w:bCs/>
        </w:rPr>
        <w:t xml:space="preserve">Mode de collecte : </w:t>
      </w:r>
      <w:r>
        <w:t xml:space="preserve">un questionnaire diffusé sur une plateforme web interrogeait les répondants sur leurs habitudes alimentaires, leur activité physique et leurs données anthropométriques (taille, poids, âge, genre).</w:t>
      </w:r>
    </w:p>
    <w:p>
      <w:pPr>
        <w:pStyle w:val="ListParagraph"/>
        <w:numPr>
          <w:ilvl w:val="0"/>
          <w:numId w:val="2"/>
        </w:numPr>
        <w:spacing w:after="100"/>
      </w:pPr>
      <w:r>
        <w:rPr>
          <w:b/>
          <w:bCs/>
        </w:rPr>
        <w:t xml:space="preserve">Variable cible (Niveau_Obesite) : </w:t>
      </w:r>
      <w:r>
        <w:t xml:space="preserve">calculée à partir de l'IMC (Poids / Taille²) puis classée selon les normes de l'OMS et du ministère de la Santé mexicain, en 7 niveaux : Insufficient_Weight, Normal_Weight, Overweight_Level_I, Overweight_Level_II, Obesity_Type_I, Obesity_Type_II, Obesity_Type_III.</w:t>
      </w:r>
    </w:p>
    <w:p>
      <w:pPr>
        <w:pStyle w:val="ListParagraph"/>
        <w:numPr>
          <w:ilvl w:val="0"/>
          <w:numId w:val="2"/>
        </w:numPr>
        <w:spacing w:after="100"/>
      </w:pPr>
      <w:r>
        <w:rPr>
          <w:b/>
          <w:bCs/>
        </w:rPr>
        <w:t xml:space="preserve">Aucune valeur manquante </w:t>
      </w:r>
      <w:r>
        <w:t xml:space="preserve">n'est présente dans le jeu de données.</w:t>
      </w:r>
    </w:p>
    <w:p>
      <w:pPr>
        <w:spacing w:after="100"/>
      </w:pPr>
    </w:p>
    <w:p>
      <w:pPr>
        <w:pStyle w:val="Heading2"/>
        <w:spacing w:after="120" w:before="240"/>
      </w:pPr>
      <w:r>
        <w:t xml:space="preserve">Composition du jeu de données (2 111 lignes, 17 variables)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966"/>
      </w:tblGrid>
      <w:tr>
        <w:trPr>
          <w:tblHeader/>
        </w:trPr>
        <w:tc>
          <w:tcPr>
            <w:tcW w:type="dxa" w:w="3500"/>
            <w:shd w:fill="2E5F8A" w:color="auto" w:val="clear"/>
            <w:tcMar>
              <w:top w:type="dxa" w:w="80"/>
              <w:left w:type="dxa" w:w="100"/>
              <w:bottom w:type="dxa" w:w="80"/>
              <w:right w:type="dxa" w:w="100"/>
            </w:tcMar>
          </w:tcPr>
          <w:p>
            <w:pPr>
              <w:spacing w:after="0"/>
            </w:pPr>
            <w:r>
              <w:rPr>
                <w:b/>
                <w:bCs/>
                <w:color w:val="FFFFFF"/>
                <w:sz w:val="20"/>
                <w:szCs w:val="20"/>
              </w:rPr>
              <w:t xml:space="preserve">Composante</w:t>
            </w:r>
          </w:p>
        </w:tc>
        <w:tc>
          <w:tcPr>
            <w:tcW w:type="dxa" w:w="2000"/>
            <w:shd w:fill="2E5F8A" w:color="auto" w:val="clear"/>
            <w:tcMar>
              <w:top w:type="dxa" w:w="80"/>
              <w:left w:type="dxa" w:w="100"/>
              <w:bottom w:type="dxa" w:w="80"/>
              <w:right w:type="dxa" w:w="100"/>
            </w:tcMar>
          </w:tcPr>
          <w:p>
            <w:pPr>
              <w:spacing w:after="0"/>
            </w:pPr>
            <w:r>
              <w:rPr>
                <w:b/>
                <w:bCs/>
                <w:color w:val="FFFFFF"/>
                <w:sz w:val="20"/>
                <w:szCs w:val="20"/>
              </w:rPr>
              <w:t xml:space="preserve">Part</w:t>
            </w:r>
          </w:p>
        </w:tc>
        <w:tc>
          <w:tcPr>
            <w:tcW w:type="dxa" w:w="4966"/>
            <w:shd w:fill="2E5F8A" w:color="auto" w:val="clear"/>
            <w:tcMar>
              <w:top w:type="dxa" w:w="80"/>
              <w:left w:type="dxa" w:w="100"/>
              <w:bottom w:type="dxa" w:w="80"/>
              <w:right w:type="dxa" w:w="100"/>
            </w:tcMar>
          </w:tcPr>
          <w:p>
            <w:pPr>
              <w:spacing w:after="0"/>
            </w:pPr>
            <w:r>
              <w:rPr>
                <w:b/>
                <w:bCs/>
                <w:color w:val="FFFFFF"/>
                <w:sz w:val="20"/>
                <w:szCs w:val="20"/>
              </w:rPr>
              <w:t xml:space="preserve">Détail</w:t>
            </w:r>
          </w:p>
        </w:tc>
      </w:tr>
      <w:tr>
        <w:tc>
          <w:tcPr>
            <w:tcW w:type="dxa" w:w="3500"/>
            <w:tcMar>
              <w:top w:type="dxa" w:w="80"/>
              <w:left w:type="dxa" w:w="100"/>
              <w:bottom w:type="dxa" w:w="80"/>
              <w:right w:type="dxa" w:w="100"/>
            </w:tcMar>
          </w:tcPr>
          <w:p>
            <w:pPr>
              <w:spacing w:after="0"/>
            </w:pPr>
            <w:r>
              <w:rPr>
                <w:b w:val="false"/>
                <w:bCs w:val="false"/>
                <w:sz w:val="19"/>
                <w:szCs w:val="19"/>
              </w:rPr>
              <w:t xml:space="preserve">Données réelles</w:t>
            </w:r>
          </w:p>
        </w:tc>
        <w:tc>
          <w:tcPr>
            <w:tcW w:type="dxa" w:w="2000"/>
            <w:tcMar>
              <w:top w:type="dxa" w:w="80"/>
              <w:left w:type="dxa" w:w="100"/>
              <w:bottom w:type="dxa" w:w="80"/>
              <w:right w:type="dxa" w:w="100"/>
            </w:tcMar>
          </w:tcPr>
          <w:p>
            <w:pPr>
              <w:spacing w:after="0"/>
            </w:pPr>
            <w:r>
              <w:rPr>
                <w:b w:val="false"/>
                <w:bCs w:val="false"/>
                <w:sz w:val="19"/>
                <w:szCs w:val="19"/>
              </w:rPr>
              <w:t xml:space="preserve">23 %</w:t>
            </w:r>
          </w:p>
        </w:tc>
        <w:tc>
          <w:tcPr>
            <w:tcW w:type="dxa" w:w="4966"/>
            <w:tcMar>
              <w:top w:type="dxa" w:w="80"/>
              <w:left w:type="dxa" w:w="100"/>
              <w:bottom w:type="dxa" w:w="80"/>
              <w:right w:type="dxa" w:w="100"/>
            </w:tcMar>
          </w:tcPr>
          <w:p>
            <w:pPr>
              <w:spacing w:after="0"/>
            </w:pPr>
            <w:r>
              <w:rPr>
                <w:b w:val="false"/>
                <w:bCs w:val="false"/>
                <w:sz w:val="19"/>
                <w:szCs w:val="19"/>
              </w:rPr>
              <w:t xml:space="preserve">Réponses collectées directement auprès d'utilisateurs via une plateforme web (Colombie, Pérou, Mexique).</w:t>
            </w:r>
          </w:p>
        </w:tc>
      </w:tr>
      <w:tr>
        <w:tc>
          <w:tcPr>
            <w:tcW w:type="dxa" w:w="3500"/>
            <w:shd w:fill="EAF1F8" w:color="auto" w:val="clear"/>
            <w:tcMar>
              <w:top w:type="dxa" w:w="80"/>
              <w:left w:type="dxa" w:w="100"/>
              <w:bottom w:type="dxa" w:w="80"/>
              <w:right w:type="dxa" w:w="100"/>
            </w:tcMar>
          </w:tcPr>
          <w:p>
            <w:pPr>
              <w:spacing w:after="0"/>
            </w:pPr>
            <w:r>
              <w:rPr>
                <w:b w:val="false"/>
                <w:bCs w:val="false"/>
                <w:sz w:val="19"/>
                <w:szCs w:val="19"/>
              </w:rPr>
              <w:t xml:space="preserve">Données synthétiques</w:t>
            </w:r>
          </w:p>
        </w:tc>
        <w:tc>
          <w:tcPr>
            <w:tcW w:type="dxa" w:w="2000"/>
            <w:shd w:fill="EAF1F8" w:color="auto" w:val="clear"/>
            <w:tcMar>
              <w:top w:type="dxa" w:w="80"/>
              <w:left w:type="dxa" w:w="100"/>
              <w:bottom w:type="dxa" w:w="80"/>
              <w:right w:type="dxa" w:w="100"/>
            </w:tcMar>
          </w:tcPr>
          <w:p>
            <w:pPr>
              <w:spacing w:after="0"/>
            </w:pPr>
            <w:r>
              <w:rPr>
                <w:b w:val="false"/>
                <w:bCs w:val="false"/>
                <w:sz w:val="19"/>
                <w:szCs w:val="19"/>
              </w:rPr>
              <w:t xml:space="preserve">77 %</w:t>
            </w:r>
          </w:p>
        </w:tc>
        <w:tc>
          <w:tcPr>
            <w:tcW w:type="dxa" w:w="4966"/>
            <w:shd w:fill="EAF1F8" w:color="auto" w:val="clear"/>
            <w:tcMar>
              <w:top w:type="dxa" w:w="80"/>
              <w:left w:type="dxa" w:w="100"/>
              <w:bottom w:type="dxa" w:w="80"/>
              <w:right w:type="dxa" w:w="100"/>
            </w:tcMar>
          </w:tcPr>
          <w:p>
            <w:pPr>
              <w:spacing w:after="0"/>
            </w:pPr>
            <w:r>
              <w:rPr>
                <w:b w:val="false"/>
                <w:bCs w:val="false"/>
                <w:sz w:val="19"/>
                <w:szCs w:val="19"/>
              </w:rPr>
              <w:t xml:space="preserve">Générées avec l'outil Weka et le filtre SMOTE, pour équilibrer les 7 classes d'obésité.</w:t>
            </w:r>
          </w:p>
        </w:tc>
      </w:tr>
    </w:tbl>
    <w:p>
      <w:pPr>
        <w:spacing w:after="160"/>
      </w:pPr>
    </w:p>
    <w:p>
      <w:pPr>
        <w:spacing w:after="160"/>
        <w:jc w:val="both"/>
      </w:pPr>
      <w:r>
        <w:t xml:space="preserve">Ce dataset a été conçu explicitement pour l'apprentissage automatique (classification supervisée et non supervisée) : les données synthétiques ont permis d'obtenir un nombre suffisant d'exemples dans les classes d'obésité sévère (Type II, Type III), naturellement sous-représentées dans un échantillon réel.</w:t>
      </w:r>
    </w:p>
    <w:p>
      <w:pPr>
        <w:pStyle w:val="Heading1"/>
        <w:spacing w:after="160" w:before="320"/>
      </w:pPr>
      <w:r>
        <w:t xml:space="preserve">3. Dictionnaire des variables (ancien nom → nom évocateur)</w:t>
      </w:r>
    </w:p>
    <w:p>
      <w:pPr>
        <w:spacing w:after="160"/>
        <w:jc w:val="both"/>
      </w:pPr>
      <w:r>
        <w:t xml:space="preserve">Attention : plusieurs variables (fréquence de consommation de légumes, nombre de repas, eau bue, activité physique, temps d'écran) ne sont pas des mesures directes mais des réponses à un questionnaire, codées sur une échelle ordinale à 3 ou 4 niveaux. Un nom comme « fréquence » seul ne suffit donc pas à en déduire l'unité : le tableau ci-dessous précise, pour chacune, la période de référence (par repas, par jour, par semaine) et la signification exacte de chaque valeur numérique.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266"/>
        <w:gridCol w:w="4000"/>
      </w:tblGrid>
      <w:tr>
        <w:trPr>
          <w:tblHeader/>
        </w:trPr>
        <w:tc>
          <w:tcPr>
            <w:tcW w:type="dxa" w:w="1300"/>
            <w:shd w:fill="2E5F8A" w:color="auto" w:val="clear"/>
            <w:tcMar>
              <w:top w:type="dxa" w:w="80"/>
              <w:left w:type="dxa" w:w="100"/>
              <w:bottom w:type="dxa" w:w="80"/>
              <w:right w:type="dxa" w:w="100"/>
            </w:tcMar>
          </w:tcPr>
          <w:p>
            <w:pPr>
              <w:spacing w:after="0"/>
            </w:pPr>
            <w:r>
              <w:rPr>
                <w:b/>
                <w:bCs/>
                <w:color w:val="FFFFFF"/>
                <w:sz w:val="20"/>
                <w:szCs w:val="20"/>
              </w:rPr>
              <w:t xml:space="preserve">Nom original (CSV brut)</w:t>
            </w:r>
          </w:p>
        </w:tc>
        <w:tc>
          <w:tcPr>
            <w:tcW w:type="dxa" w:w="1900"/>
            <w:shd w:fill="2E5F8A" w:color="auto" w:val="clear"/>
            <w:tcMar>
              <w:top w:type="dxa" w:w="80"/>
              <w:left w:type="dxa" w:w="100"/>
              <w:bottom w:type="dxa" w:w="80"/>
              <w:right w:type="dxa" w:w="100"/>
            </w:tcMar>
          </w:tcPr>
          <w:p>
            <w:pPr>
              <w:spacing w:after="0"/>
            </w:pPr>
            <w:r>
              <w:rPr>
                <w:b/>
                <w:bCs/>
                <w:color w:val="FFFFFF"/>
                <w:sz w:val="20"/>
                <w:szCs w:val="20"/>
              </w:rPr>
              <w:t xml:space="preserve">Nom évocateur (nouveau CSV)</w:t>
            </w:r>
          </w:p>
        </w:tc>
        <w:tc>
          <w:tcPr>
            <w:tcW w:type="dxa" w:w="3266"/>
            <w:shd w:fill="2E5F8A" w:color="auto" w:val="clear"/>
            <w:tcMar>
              <w:top w:type="dxa" w:w="80"/>
              <w:left w:type="dxa" w:w="100"/>
              <w:bottom w:type="dxa" w:w="80"/>
              <w:right w:type="dxa" w:w="100"/>
            </w:tcMar>
          </w:tcPr>
          <w:p>
            <w:pPr>
              <w:spacing w:after="0"/>
            </w:pPr>
            <w:r>
              <w:rPr>
                <w:b/>
                <w:bCs/>
                <w:color w:val="FFFFFF"/>
                <w:sz w:val="20"/>
                <w:szCs w:val="20"/>
              </w:rPr>
              <w:t xml:space="preserve">Signification (question posée)</w:t>
            </w:r>
          </w:p>
        </w:tc>
        <w:tc>
          <w:tcPr>
            <w:tcW w:type="dxa" w:w="4000"/>
            <w:shd w:fill="2E5F8A" w:color="auto" w:val="clear"/>
            <w:tcMar>
              <w:top w:type="dxa" w:w="80"/>
              <w:left w:type="dxa" w:w="100"/>
              <w:bottom w:type="dxa" w:w="80"/>
              <w:right w:type="dxa" w:w="100"/>
            </w:tcMar>
          </w:tcPr>
          <w:p>
            <w:pPr>
              <w:spacing w:after="0"/>
            </w:pPr>
            <w:r>
              <w:rPr>
                <w:b/>
                <w:bCs/>
                <w:color w:val="FFFFFF"/>
                <w:sz w:val="20"/>
                <w:szCs w:val="20"/>
              </w:rPr>
              <w:t xml:space="preserve">Type, unité et catégories exactes</w:t>
            </w:r>
          </w:p>
        </w:tc>
      </w:tr>
      <w:tr>
        <w:tc>
          <w:tcPr>
            <w:tcW w:type="dxa" w:w="1300"/>
            <w:tcMar>
              <w:top w:type="dxa" w:w="80"/>
              <w:left w:type="dxa" w:w="100"/>
              <w:bottom w:type="dxa" w:w="80"/>
              <w:right w:type="dxa" w:w="100"/>
            </w:tcMar>
          </w:tcPr>
          <w:p>
            <w:pPr>
              <w:spacing w:after="0"/>
            </w:pPr>
            <w:r>
              <w:rPr>
                <w:b w:val="false"/>
                <w:bCs w:val="false"/>
                <w:sz w:val="19"/>
                <w:szCs w:val="19"/>
              </w:rPr>
              <w:t xml:space="preserve">Gender</w:t>
            </w:r>
          </w:p>
        </w:tc>
        <w:tc>
          <w:tcPr>
            <w:tcW w:type="dxa" w:w="1900"/>
            <w:tcMar>
              <w:top w:type="dxa" w:w="80"/>
              <w:left w:type="dxa" w:w="100"/>
              <w:bottom w:type="dxa" w:w="80"/>
              <w:right w:type="dxa" w:w="100"/>
            </w:tcMar>
          </w:tcPr>
          <w:p>
            <w:pPr>
              <w:spacing w:after="0"/>
            </w:pPr>
            <w:r>
              <w:rPr>
                <w:b w:val="false"/>
                <w:bCs w:val="false"/>
                <w:sz w:val="19"/>
                <w:szCs w:val="19"/>
              </w:rPr>
              <w:t xml:space="preserve">Genre</w:t>
            </w:r>
          </w:p>
        </w:tc>
        <w:tc>
          <w:tcPr>
            <w:tcW w:type="dxa" w:w="3266"/>
            <w:tcMar>
              <w:top w:type="dxa" w:w="80"/>
              <w:left w:type="dxa" w:w="100"/>
              <w:bottom w:type="dxa" w:w="80"/>
              <w:right w:type="dxa" w:w="100"/>
            </w:tcMar>
          </w:tcPr>
          <w:p>
            <w:pPr>
              <w:spacing w:after="0"/>
            </w:pPr>
            <w:r>
              <w:rPr>
                <w:b w:val="false"/>
                <w:bCs w:val="false"/>
                <w:sz w:val="19"/>
                <w:szCs w:val="19"/>
              </w:rPr>
              <w:t xml:space="preserve">Sexe du répondant</w:t>
            </w:r>
          </w:p>
        </w:tc>
        <w:tc>
          <w:tcPr>
            <w:tcW w:type="dxa" w:w="4000"/>
            <w:tcMar>
              <w:top w:type="dxa" w:w="80"/>
              <w:left w:type="dxa" w:w="100"/>
              <w:bottom w:type="dxa" w:w="80"/>
              <w:right w:type="dxa" w:w="100"/>
            </w:tcMar>
          </w:tcPr>
          <w:p>
            <w:pPr>
              <w:spacing w:after="0"/>
            </w:pPr>
            <w:r>
              <w:rPr>
                <w:b w:val="false"/>
                <w:bCs w:val="false"/>
                <w:sz w:val="19"/>
                <w:szCs w:val="19"/>
              </w:rPr>
              <w:t xml:space="preserve">Catégorielle : Female, Male</w:t>
            </w:r>
          </w:p>
        </w:tc>
      </w:tr>
      <w:tr>
        <w:tc>
          <w:tcPr>
            <w:tcW w:type="dxa" w:w="1300"/>
            <w:shd w:fill="EAF1F8" w:color="auto" w:val="clear"/>
            <w:tcMar>
              <w:top w:type="dxa" w:w="80"/>
              <w:left w:type="dxa" w:w="100"/>
              <w:bottom w:type="dxa" w:w="80"/>
              <w:right w:type="dxa" w:w="100"/>
            </w:tcMar>
          </w:tcPr>
          <w:p>
            <w:pPr>
              <w:spacing w:after="0"/>
            </w:pPr>
            <w:r>
              <w:rPr>
                <w:b w:val="false"/>
                <w:bCs w:val="false"/>
                <w:sz w:val="19"/>
                <w:szCs w:val="19"/>
              </w:rPr>
              <w:t xml:space="preserve">Age</w:t>
            </w:r>
          </w:p>
        </w:tc>
        <w:tc>
          <w:tcPr>
            <w:tcW w:type="dxa" w:w="1900"/>
            <w:shd w:fill="EAF1F8" w:color="auto" w:val="clear"/>
            <w:tcMar>
              <w:top w:type="dxa" w:w="80"/>
              <w:left w:type="dxa" w:w="100"/>
              <w:bottom w:type="dxa" w:w="80"/>
              <w:right w:type="dxa" w:w="100"/>
            </w:tcMar>
          </w:tcPr>
          <w:p>
            <w:pPr>
              <w:spacing w:after="0"/>
            </w:pPr>
            <w:r>
              <w:rPr>
                <w:b w:val="false"/>
                <w:bCs w:val="false"/>
                <w:sz w:val="19"/>
                <w:szCs w:val="19"/>
              </w:rPr>
              <w:t xml:space="preserve">Age</w:t>
            </w:r>
          </w:p>
        </w:tc>
        <w:tc>
          <w:tcPr>
            <w:tcW w:type="dxa" w:w="3266"/>
            <w:shd w:fill="EAF1F8" w:color="auto" w:val="clear"/>
            <w:tcMar>
              <w:top w:type="dxa" w:w="80"/>
              <w:left w:type="dxa" w:w="100"/>
              <w:bottom w:type="dxa" w:w="80"/>
              <w:right w:type="dxa" w:w="100"/>
            </w:tcMar>
          </w:tcPr>
          <w:p>
            <w:pPr>
              <w:spacing w:after="0"/>
            </w:pPr>
            <w:r>
              <w:rPr>
                <w:b w:val="false"/>
                <w:bCs w:val="false"/>
                <w:sz w:val="19"/>
                <w:szCs w:val="19"/>
              </w:rPr>
              <w:t xml:space="preserve">Âge du répondant</w:t>
            </w:r>
          </w:p>
        </w:tc>
        <w:tc>
          <w:tcPr>
            <w:tcW w:type="dxa" w:w="4000"/>
            <w:shd w:fill="EAF1F8" w:color="auto" w:val="clear"/>
            <w:tcMar>
              <w:top w:type="dxa" w:w="80"/>
              <w:left w:type="dxa" w:w="100"/>
              <w:bottom w:type="dxa" w:w="80"/>
              <w:right w:type="dxa" w:w="100"/>
            </w:tcMar>
          </w:tcPr>
          <w:p>
            <w:pPr>
              <w:spacing w:after="0"/>
            </w:pPr>
            <w:r>
              <w:rPr>
                <w:b w:val="false"/>
                <w:bCs w:val="false"/>
                <w:sz w:val="19"/>
                <w:szCs w:val="19"/>
              </w:rPr>
              <w:t xml:space="preserve">Numérique continue, en années : 14 à 61 ans</w:t>
            </w:r>
          </w:p>
        </w:tc>
      </w:tr>
      <w:tr>
        <w:tc>
          <w:tcPr>
            <w:tcW w:type="dxa" w:w="1300"/>
            <w:tcMar>
              <w:top w:type="dxa" w:w="80"/>
              <w:left w:type="dxa" w:w="100"/>
              <w:bottom w:type="dxa" w:w="80"/>
              <w:right w:type="dxa" w:w="100"/>
            </w:tcMar>
          </w:tcPr>
          <w:p>
            <w:pPr>
              <w:spacing w:after="0"/>
            </w:pPr>
            <w:r>
              <w:rPr>
                <w:b w:val="false"/>
                <w:bCs w:val="false"/>
                <w:sz w:val="19"/>
                <w:szCs w:val="19"/>
              </w:rPr>
              <w:t xml:space="preserve">Height</w:t>
            </w:r>
          </w:p>
        </w:tc>
        <w:tc>
          <w:tcPr>
            <w:tcW w:type="dxa" w:w="1900"/>
            <w:tcMar>
              <w:top w:type="dxa" w:w="80"/>
              <w:left w:type="dxa" w:w="100"/>
              <w:bottom w:type="dxa" w:w="80"/>
              <w:right w:type="dxa" w:w="100"/>
            </w:tcMar>
          </w:tcPr>
          <w:p>
            <w:pPr>
              <w:spacing w:after="0"/>
            </w:pPr>
            <w:r>
              <w:rPr>
                <w:b w:val="false"/>
                <w:bCs w:val="false"/>
                <w:sz w:val="19"/>
                <w:szCs w:val="19"/>
              </w:rPr>
              <w:t xml:space="preserve">Taille_m</w:t>
            </w:r>
          </w:p>
        </w:tc>
        <w:tc>
          <w:tcPr>
            <w:tcW w:type="dxa" w:w="3266"/>
            <w:tcMar>
              <w:top w:type="dxa" w:w="80"/>
              <w:left w:type="dxa" w:w="100"/>
              <w:bottom w:type="dxa" w:w="80"/>
              <w:right w:type="dxa" w:w="100"/>
            </w:tcMar>
          </w:tcPr>
          <w:p>
            <w:pPr>
              <w:spacing w:after="0"/>
            </w:pPr>
            <w:r>
              <w:rPr>
                <w:b w:val="false"/>
                <w:bCs w:val="false"/>
                <w:sz w:val="19"/>
                <w:szCs w:val="19"/>
              </w:rPr>
              <w:t xml:space="preserve">Taille du répondant</w:t>
            </w:r>
          </w:p>
        </w:tc>
        <w:tc>
          <w:tcPr>
            <w:tcW w:type="dxa" w:w="4000"/>
            <w:tcMar>
              <w:top w:type="dxa" w:w="80"/>
              <w:left w:type="dxa" w:w="100"/>
              <w:bottom w:type="dxa" w:w="80"/>
              <w:right w:type="dxa" w:w="100"/>
            </w:tcMar>
          </w:tcPr>
          <w:p>
            <w:pPr>
              <w:spacing w:after="0"/>
            </w:pPr>
            <w:r>
              <w:rPr>
                <w:b w:val="false"/>
                <w:bCs w:val="false"/>
                <w:sz w:val="19"/>
                <w:szCs w:val="19"/>
              </w:rPr>
              <w:t xml:space="preserve">Numérique continue, en mètres : 1,45 à 1,98 m</w:t>
            </w:r>
          </w:p>
        </w:tc>
      </w:tr>
      <w:tr>
        <w:tc>
          <w:tcPr>
            <w:tcW w:type="dxa" w:w="1300"/>
            <w:shd w:fill="EAF1F8" w:color="auto" w:val="clear"/>
            <w:tcMar>
              <w:top w:type="dxa" w:w="80"/>
              <w:left w:type="dxa" w:w="100"/>
              <w:bottom w:type="dxa" w:w="80"/>
              <w:right w:type="dxa" w:w="100"/>
            </w:tcMar>
          </w:tcPr>
          <w:p>
            <w:pPr>
              <w:spacing w:after="0"/>
            </w:pPr>
            <w:r>
              <w:rPr>
                <w:b w:val="false"/>
                <w:bCs w:val="false"/>
                <w:sz w:val="19"/>
                <w:szCs w:val="19"/>
              </w:rPr>
              <w:t xml:space="preserve">Weight</w:t>
            </w:r>
          </w:p>
        </w:tc>
        <w:tc>
          <w:tcPr>
            <w:tcW w:type="dxa" w:w="1900"/>
            <w:shd w:fill="EAF1F8" w:color="auto" w:val="clear"/>
            <w:tcMar>
              <w:top w:type="dxa" w:w="80"/>
              <w:left w:type="dxa" w:w="100"/>
              <w:bottom w:type="dxa" w:w="80"/>
              <w:right w:type="dxa" w:w="100"/>
            </w:tcMar>
          </w:tcPr>
          <w:p>
            <w:pPr>
              <w:spacing w:after="0"/>
            </w:pPr>
            <w:r>
              <w:rPr>
                <w:b w:val="false"/>
                <w:bCs w:val="false"/>
                <w:sz w:val="19"/>
                <w:szCs w:val="19"/>
              </w:rPr>
              <w:t xml:space="preserve">Poids_kg</w:t>
            </w:r>
          </w:p>
        </w:tc>
        <w:tc>
          <w:tcPr>
            <w:tcW w:type="dxa" w:w="3266"/>
            <w:shd w:fill="EAF1F8" w:color="auto" w:val="clear"/>
            <w:tcMar>
              <w:top w:type="dxa" w:w="80"/>
              <w:left w:type="dxa" w:w="100"/>
              <w:bottom w:type="dxa" w:w="80"/>
              <w:right w:type="dxa" w:w="100"/>
            </w:tcMar>
          </w:tcPr>
          <w:p>
            <w:pPr>
              <w:spacing w:after="0"/>
            </w:pPr>
            <w:r>
              <w:rPr>
                <w:b w:val="false"/>
                <w:bCs w:val="false"/>
                <w:sz w:val="19"/>
                <w:szCs w:val="19"/>
              </w:rPr>
              <w:t xml:space="preserve">Poids du répondant</w:t>
            </w:r>
          </w:p>
        </w:tc>
        <w:tc>
          <w:tcPr>
            <w:tcW w:type="dxa" w:w="4000"/>
            <w:shd w:fill="EAF1F8" w:color="auto" w:val="clear"/>
            <w:tcMar>
              <w:top w:type="dxa" w:w="80"/>
              <w:left w:type="dxa" w:w="100"/>
              <w:bottom w:type="dxa" w:w="80"/>
              <w:right w:type="dxa" w:w="100"/>
            </w:tcMar>
          </w:tcPr>
          <w:p>
            <w:pPr>
              <w:spacing w:after="0"/>
            </w:pPr>
            <w:r>
              <w:rPr>
                <w:b w:val="false"/>
                <w:bCs w:val="false"/>
                <w:sz w:val="19"/>
                <w:szCs w:val="19"/>
              </w:rPr>
              <w:t xml:space="preserve">Numérique continue, en kilogrammes : 39 à 173 kg</w:t>
            </w:r>
          </w:p>
        </w:tc>
      </w:tr>
      <w:tr>
        <w:tc>
          <w:tcPr>
            <w:tcW w:type="dxa" w:w="1300"/>
            <w:tcMar>
              <w:top w:type="dxa" w:w="80"/>
              <w:left w:type="dxa" w:w="100"/>
              <w:bottom w:type="dxa" w:w="80"/>
              <w:right w:type="dxa" w:w="100"/>
            </w:tcMar>
          </w:tcPr>
          <w:p>
            <w:pPr>
              <w:spacing w:after="0"/>
            </w:pPr>
            <w:r>
              <w:rPr>
                <w:b w:val="false"/>
                <w:bCs w:val="false"/>
                <w:sz w:val="19"/>
                <w:szCs w:val="19"/>
              </w:rPr>
              <w:t xml:space="preserve">family_history_with_overweight</w:t>
            </w:r>
          </w:p>
        </w:tc>
        <w:tc>
          <w:tcPr>
            <w:tcW w:type="dxa" w:w="1900"/>
            <w:tcMar>
              <w:top w:type="dxa" w:w="80"/>
              <w:left w:type="dxa" w:w="100"/>
              <w:bottom w:type="dxa" w:w="80"/>
              <w:right w:type="dxa" w:w="100"/>
            </w:tcMar>
          </w:tcPr>
          <w:p>
            <w:pPr>
              <w:spacing w:after="0"/>
            </w:pPr>
            <w:r>
              <w:rPr>
                <w:b w:val="false"/>
                <w:bCs w:val="false"/>
                <w:sz w:val="19"/>
                <w:szCs w:val="19"/>
              </w:rPr>
              <w:t xml:space="preserve">Antecedents_Familiaux_Surpoids</w:t>
            </w:r>
          </w:p>
        </w:tc>
        <w:tc>
          <w:tcPr>
            <w:tcW w:type="dxa" w:w="3266"/>
            <w:tcMar>
              <w:top w:type="dxa" w:w="80"/>
              <w:left w:type="dxa" w:w="100"/>
              <w:bottom w:type="dxa" w:w="80"/>
              <w:right w:type="dxa" w:w="100"/>
            </w:tcMar>
          </w:tcPr>
          <w:p>
            <w:pPr>
              <w:spacing w:after="0"/>
            </w:pPr>
            <w:r>
              <w:rPr>
                <w:b w:val="false"/>
                <w:bCs w:val="false"/>
                <w:sz w:val="19"/>
                <w:szCs w:val="19"/>
              </w:rPr>
              <w:t xml:space="preserve">« Un membre de votre famille a-t-il souffert ou souffre-t-il de surpoids ? »</w:t>
            </w:r>
          </w:p>
        </w:tc>
        <w:tc>
          <w:tcPr>
            <w:tcW w:type="dxa" w:w="4000"/>
            <w:tcMar>
              <w:top w:type="dxa" w:w="80"/>
              <w:left w:type="dxa" w:w="100"/>
              <w:bottom w:type="dxa" w:w="80"/>
              <w:right w:type="dxa" w:w="100"/>
            </w:tcMar>
          </w:tcPr>
          <w:p>
            <w:pPr>
              <w:spacing w:after="0"/>
            </w:pPr>
            <w:r>
              <w:rPr>
                <w:b w:val="false"/>
                <w:bCs w:val="false"/>
                <w:sz w:val="19"/>
                <w:szCs w:val="19"/>
              </w:rPr>
              <w:t xml:space="preserve">Binaire : yes / no</w:t>
            </w:r>
          </w:p>
        </w:tc>
      </w:tr>
      <w:tr>
        <w:tc>
          <w:tcPr>
            <w:tcW w:type="dxa" w:w="1300"/>
            <w:shd w:fill="EAF1F8" w:color="auto" w:val="clear"/>
            <w:tcMar>
              <w:top w:type="dxa" w:w="80"/>
              <w:left w:type="dxa" w:w="100"/>
              <w:bottom w:type="dxa" w:w="80"/>
              <w:right w:type="dxa" w:w="100"/>
            </w:tcMar>
          </w:tcPr>
          <w:p>
            <w:pPr>
              <w:spacing w:after="0"/>
            </w:pPr>
            <w:r>
              <w:rPr>
                <w:b w:val="false"/>
                <w:bCs w:val="false"/>
                <w:sz w:val="19"/>
                <w:szCs w:val="19"/>
              </w:rPr>
              <w:t xml:space="preserve">FAVC</w:t>
            </w:r>
          </w:p>
        </w:tc>
        <w:tc>
          <w:tcPr>
            <w:tcW w:type="dxa" w:w="1900"/>
            <w:shd w:fill="EAF1F8" w:color="auto" w:val="clear"/>
            <w:tcMar>
              <w:top w:type="dxa" w:w="80"/>
              <w:left w:type="dxa" w:w="100"/>
              <w:bottom w:type="dxa" w:w="80"/>
              <w:right w:type="dxa" w:w="100"/>
            </w:tcMar>
          </w:tcPr>
          <w:p>
            <w:pPr>
              <w:spacing w:after="0"/>
            </w:pPr>
            <w:r>
              <w:rPr>
                <w:b w:val="false"/>
                <w:bCs w:val="false"/>
                <w:sz w:val="19"/>
                <w:szCs w:val="19"/>
              </w:rPr>
              <w:t xml:space="preserve">Aliments_Hypercaloriques_Frequents</w:t>
            </w:r>
          </w:p>
        </w:tc>
        <w:tc>
          <w:tcPr>
            <w:tcW w:type="dxa" w:w="3266"/>
            <w:shd w:fill="EAF1F8" w:color="auto" w:val="clear"/>
            <w:tcMar>
              <w:top w:type="dxa" w:w="80"/>
              <w:left w:type="dxa" w:w="100"/>
              <w:bottom w:type="dxa" w:w="80"/>
              <w:right w:type="dxa" w:w="100"/>
            </w:tcMar>
          </w:tcPr>
          <w:p>
            <w:pPr>
              <w:spacing w:after="0"/>
            </w:pPr>
            <w:r>
              <w:rPr>
                <w:b w:val="false"/>
                <w:bCs w:val="false"/>
                <w:sz w:val="19"/>
                <w:szCs w:val="19"/>
              </w:rPr>
              <w:t xml:space="preserve">« Mangez-vous fréquemment des aliments à forte teneur calorique ? »</w:t>
            </w:r>
          </w:p>
        </w:tc>
        <w:tc>
          <w:tcPr>
            <w:tcW w:type="dxa" w:w="4000"/>
            <w:shd w:fill="EAF1F8" w:color="auto" w:val="clear"/>
            <w:tcMar>
              <w:top w:type="dxa" w:w="80"/>
              <w:left w:type="dxa" w:w="100"/>
              <w:bottom w:type="dxa" w:w="80"/>
              <w:right w:type="dxa" w:w="100"/>
            </w:tcMar>
          </w:tcPr>
          <w:p>
            <w:pPr>
              <w:spacing w:after="0"/>
            </w:pPr>
            <w:r>
              <w:rPr>
                <w:b w:val="false"/>
                <w:bCs w:val="false"/>
                <w:sz w:val="19"/>
                <w:szCs w:val="19"/>
              </w:rPr>
              <w:t xml:space="preserve">Binaire : yes / no</w:t>
            </w:r>
          </w:p>
        </w:tc>
      </w:tr>
      <w:tr>
        <w:tc>
          <w:tcPr>
            <w:tcW w:type="dxa" w:w="1300"/>
            <w:tcMar>
              <w:top w:type="dxa" w:w="80"/>
              <w:left w:type="dxa" w:w="100"/>
              <w:bottom w:type="dxa" w:w="80"/>
              <w:right w:type="dxa" w:w="100"/>
            </w:tcMar>
          </w:tcPr>
          <w:p>
            <w:pPr>
              <w:spacing w:after="0"/>
            </w:pPr>
            <w:r>
              <w:rPr>
                <w:b w:val="false"/>
                <w:bCs w:val="false"/>
                <w:sz w:val="19"/>
                <w:szCs w:val="19"/>
              </w:rPr>
              <w:t xml:space="preserve">FCVC</w:t>
            </w:r>
          </w:p>
        </w:tc>
        <w:tc>
          <w:tcPr>
            <w:tcW w:type="dxa" w:w="1900"/>
            <w:tcMar>
              <w:top w:type="dxa" w:w="80"/>
              <w:left w:type="dxa" w:w="100"/>
              <w:bottom w:type="dxa" w:w="80"/>
              <w:right w:type="dxa" w:w="100"/>
            </w:tcMar>
          </w:tcPr>
          <w:p>
            <w:pPr>
              <w:spacing w:after="0"/>
            </w:pPr>
            <w:r>
              <w:rPr>
                <w:b w:val="false"/>
                <w:bCs w:val="false"/>
                <w:sz w:val="19"/>
                <w:szCs w:val="19"/>
              </w:rPr>
              <w:t xml:space="preserve">Frequence_Consommation_Legumes</w:t>
            </w:r>
          </w:p>
        </w:tc>
        <w:tc>
          <w:tcPr>
            <w:tcW w:type="dxa" w:w="3266"/>
            <w:tcMar>
              <w:top w:type="dxa" w:w="80"/>
              <w:left w:type="dxa" w:w="100"/>
              <w:bottom w:type="dxa" w:w="80"/>
              <w:right w:type="dxa" w:w="100"/>
            </w:tcMar>
          </w:tcPr>
          <w:p>
            <w:pPr>
              <w:spacing w:after="0"/>
            </w:pPr>
            <w:r>
              <w:rPr>
                <w:b w:val="false"/>
                <w:bCs w:val="false"/>
                <w:sz w:val="19"/>
                <w:szCs w:val="19"/>
              </w:rPr>
              <w:t xml:space="preserve">« Consommez-vous habituellement des légumes dans vos repas ? » — fréquence par repas, pas par jour ni par semaine</w:t>
            </w:r>
          </w:p>
        </w:tc>
        <w:tc>
          <w:tcPr>
            <w:tcW w:type="dxa" w:w="4000"/>
            <w:tcMar>
              <w:top w:type="dxa" w:w="80"/>
              <w:left w:type="dxa" w:w="100"/>
              <w:bottom w:type="dxa" w:w="80"/>
              <w:right w:type="dxa" w:w="100"/>
            </w:tcMar>
          </w:tcPr>
          <w:p>
            <w:pPr>
              <w:spacing w:after="40"/>
            </w:pPr>
            <w:r>
              <w:rPr>
                <w:b w:val="false"/>
                <w:bCs w:val="false"/>
                <w:sz w:val="19"/>
                <w:szCs w:val="19"/>
              </w:rPr>
              <w:t xml:space="preserve">Échelle ordinale 1 à 3 :</w:t>
            </w:r>
          </w:p>
          <w:p>
            <w:pPr>
              <w:spacing w:after="0"/>
            </w:pPr>
            <w:r>
              <w:rPr>
                <w:b w:val="false"/>
                <w:bCs w:val="false"/>
                <w:sz w:val="19"/>
                <w:szCs w:val="19"/>
              </w:rPr>
              <w:t xml:space="preserve">1 = jamais, 2 = parfois, 3 = toujours</w:t>
            </w:r>
          </w:p>
        </w:tc>
      </w:tr>
      <w:tr>
        <w:tc>
          <w:tcPr>
            <w:tcW w:type="dxa" w:w="1300"/>
            <w:shd w:fill="EAF1F8" w:color="auto" w:val="clear"/>
            <w:tcMar>
              <w:top w:type="dxa" w:w="80"/>
              <w:left w:type="dxa" w:w="100"/>
              <w:bottom w:type="dxa" w:w="80"/>
              <w:right w:type="dxa" w:w="100"/>
            </w:tcMar>
          </w:tcPr>
          <w:p>
            <w:pPr>
              <w:spacing w:after="0"/>
            </w:pPr>
            <w:r>
              <w:rPr>
                <w:b w:val="false"/>
                <w:bCs w:val="false"/>
                <w:sz w:val="19"/>
                <w:szCs w:val="19"/>
              </w:rPr>
              <w:t xml:space="preserve">NCP</w:t>
            </w:r>
          </w:p>
        </w:tc>
        <w:tc>
          <w:tcPr>
            <w:tcW w:type="dxa" w:w="1900"/>
            <w:shd w:fill="EAF1F8" w:color="auto" w:val="clear"/>
            <w:tcMar>
              <w:top w:type="dxa" w:w="80"/>
              <w:left w:type="dxa" w:w="100"/>
              <w:bottom w:type="dxa" w:w="80"/>
              <w:right w:type="dxa" w:w="100"/>
            </w:tcMar>
          </w:tcPr>
          <w:p>
            <w:pPr>
              <w:spacing w:after="0"/>
            </w:pPr>
            <w:r>
              <w:rPr>
                <w:b w:val="false"/>
                <w:bCs w:val="false"/>
                <w:sz w:val="19"/>
                <w:szCs w:val="19"/>
              </w:rPr>
              <w:t xml:space="preserve">Nombre_Repas_Principaux</w:t>
            </w:r>
          </w:p>
        </w:tc>
        <w:tc>
          <w:tcPr>
            <w:tcW w:type="dxa" w:w="3266"/>
            <w:shd w:fill="EAF1F8" w:color="auto" w:val="clear"/>
            <w:tcMar>
              <w:top w:type="dxa" w:w="80"/>
              <w:left w:type="dxa" w:w="100"/>
              <w:bottom w:type="dxa" w:w="80"/>
              <w:right w:type="dxa" w:w="100"/>
            </w:tcMar>
          </w:tcPr>
          <w:p>
            <w:pPr>
              <w:spacing w:after="0"/>
            </w:pPr>
            <w:r>
              <w:rPr>
                <w:b w:val="false"/>
                <w:bCs w:val="false"/>
                <w:sz w:val="19"/>
                <w:szCs w:val="19"/>
              </w:rPr>
              <w:t xml:space="preserve">« Combien de repas principaux prenez-vous par jour ? »</w:t>
            </w:r>
          </w:p>
        </w:tc>
        <w:tc>
          <w:tcPr>
            <w:tcW w:type="dxa" w:w="4000"/>
            <w:shd w:fill="EAF1F8" w:color="auto" w:val="clear"/>
            <w:tcMar>
              <w:top w:type="dxa" w:w="80"/>
              <w:left w:type="dxa" w:w="100"/>
              <w:bottom w:type="dxa" w:w="80"/>
              <w:right w:type="dxa" w:w="100"/>
            </w:tcMar>
          </w:tcPr>
          <w:p>
            <w:pPr>
              <w:spacing w:after="40"/>
            </w:pPr>
            <w:r>
              <w:rPr>
                <w:b w:val="false"/>
                <w:bCs w:val="false"/>
                <w:sz w:val="19"/>
                <w:szCs w:val="19"/>
              </w:rPr>
              <w:t xml:space="preserve">Nombre de repas par jour, de 1 à 4 :</w:t>
            </w:r>
          </w:p>
          <w:p>
            <w:pPr>
              <w:spacing w:after="0"/>
            </w:pPr>
            <w:r>
              <w:rPr>
                <w:b w:val="false"/>
                <w:bCs w:val="false"/>
                <w:sz w:val="19"/>
                <w:szCs w:val="19"/>
              </w:rPr>
              <w:t xml:space="preserve">1-2 repas, 3 repas, ou plus de 3 repas (codé 4)</w:t>
            </w:r>
          </w:p>
        </w:tc>
      </w:tr>
      <w:tr>
        <w:tc>
          <w:tcPr>
            <w:tcW w:type="dxa" w:w="1300"/>
            <w:tcMar>
              <w:top w:type="dxa" w:w="80"/>
              <w:left w:type="dxa" w:w="100"/>
              <w:bottom w:type="dxa" w:w="80"/>
              <w:right w:type="dxa" w:w="100"/>
            </w:tcMar>
          </w:tcPr>
          <w:p>
            <w:pPr>
              <w:spacing w:after="0"/>
            </w:pPr>
            <w:r>
              <w:rPr>
                <w:b w:val="false"/>
                <w:bCs w:val="false"/>
                <w:sz w:val="19"/>
                <w:szCs w:val="19"/>
              </w:rPr>
              <w:t xml:space="preserve">CAEC</w:t>
            </w:r>
          </w:p>
        </w:tc>
        <w:tc>
          <w:tcPr>
            <w:tcW w:type="dxa" w:w="1900"/>
            <w:tcMar>
              <w:top w:type="dxa" w:w="80"/>
              <w:left w:type="dxa" w:w="100"/>
              <w:bottom w:type="dxa" w:w="80"/>
              <w:right w:type="dxa" w:w="100"/>
            </w:tcMar>
          </w:tcPr>
          <w:p>
            <w:pPr>
              <w:spacing w:after="0"/>
            </w:pPr>
            <w:r>
              <w:rPr>
                <w:b w:val="false"/>
                <w:bCs w:val="false"/>
                <w:sz w:val="19"/>
                <w:szCs w:val="19"/>
              </w:rPr>
              <w:t xml:space="preserve">Grignotage_Entre_Repas</w:t>
            </w:r>
          </w:p>
        </w:tc>
        <w:tc>
          <w:tcPr>
            <w:tcW w:type="dxa" w:w="3266"/>
            <w:tcMar>
              <w:top w:type="dxa" w:w="80"/>
              <w:left w:type="dxa" w:w="100"/>
              <w:bottom w:type="dxa" w:w="80"/>
              <w:right w:type="dxa" w:w="100"/>
            </w:tcMar>
          </w:tcPr>
          <w:p>
            <w:pPr>
              <w:spacing w:after="0"/>
            </w:pPr>
            <w:r>
              <w:rPr>
                <w:b w:val="false"/>
                <w:bCs w:val="false"/>
                <w:sz w:val="19"/>
                <w:szCs w:val="19"/>
              </w:rPr>
              <w:t xml:space="preserve">« Mangez-vous quelque chose entre les repas ? » — fréquence générale déclarée, sans période fixe précisée dans le questionnaire</w:t>
            </w:r>
          </w:p>
        </w:tc>
        <w:tc>
          <w:tcPr>
            <w:tcW w:type="dxa" w:w="4000"/>
            <w:tcMar>
              <w:top w:type="dxa" w:w="80"/>
              <w:left w:type="dxa" w:w="100"/>
              <w:bottom w:type="dxa" w:w="80"/>
              <w:right w:type="dxa" w:w="100"/>
            </w:tcMar>
          </w:tcPr>
          <w:p>
            <w:pPr>
              <w:spacing w:after="0"/>
            </w:pPr>
            <w:r>
              <w:rPr>
                <w:b w:val="false"/>
                <w:bCs w:val="false"/>
                <w:sz w:val="19"/>
                <w:szCs w:val="19"/>
              </w:rPr>
              <w:t xml:space="preserve">Catégorielle ordonnée : no &lt; Sometimes &lt; Frequently &lt; Always</w:t>
            </w:r>
          </w:p>
        </w:tc>
      </w:tr>
      <w:tr>
        <w:tc>
          <w:tcPr>
            <w:tcW w:type="dxa" w:w="1300"/>
            <w:shd w:fill="EAF1F8" w:color="auto" w:val="clear"/>
            <w:tcMar>
              <w:top w:type="dxa" w:w="80"/>
              <w:left w:type="dxa" w:w="100"/>
              <w:bottom w:type="dxa" w:w="80"/>
              <w:right w:type="dxa" w:w="100"/>
            </w:tcMar>
          </w:tcPr>
          <w:p>
            <w:pPr>
              <w:spacing w:after="0"/>
            </w:pPr>
            <w:r>
              <w:rPr>
                <w:b w:val="false"/>
                <w:bCs w:val="false"/>
                <w:sz w:val="19"/>
                <w:szCs w:val="19"/>
              </w:rPr>
              <w:t xml:space="preserve">SMOKE</w:t>
            </w:r>
          </w:p>
        </w:tc>
        <w:tc>
          <w:tcPr>
            <w:tcW w:type="dxa" w:w="1900"/>
            <w:shd w:fill="EAF1F8" w:color="auto" w:val="clear"/>
            <w:tcMar>
              <w:top w:type="dxa" w:w="80"/>
              <w:left w:type="dxa" w:w="100"/>
              <w:bottom w:type="dxa" w:w="80"/>
              <w:right w:type="dxa" w:w="100"/>
            </w:tcMar>
          </w:tcPr>
          <w:p>
            <w:pPr>
              <w:spacing w:after="0"/>
            </w:pPr>
            <w:r>
              <w:rPr>
                <w:b w:val="false"/>
                <w:bCs w:val="false"/>
                <w:sz w:val="19"/>
                <w:szCs w:val="19"/>
              </w:rPr>
              <w:t xml:space="preserve">Fumeur</w:t>
            </w:r>
          </w:p>
        </w:tc>
        <w:tc>
          <w:tcPr>
            <w:tcW w:type="dxa" w:w="3266"/>
            <w:shd w:fill="EAF1F8" w:color="auto" w:val="clear"/>
            <w:tcMar>
              <w:top w:type="dxa" w:w="80"/>
              <w:left w:type="dxa" w:w="100"/>
              <w:bottom w:type="dxa" w:w="80"/>
              <w:right w:type="dxa" w:w="100"/>
            </w:tcMar>
          </w:tcPr>
          <w:p>
            <w:pPr>
              <w:spacing w:after="0"/>
            </w:pPr>
            <w:r>
              <w:rPr>
                <w:b w:val="false"/>
                <w:bCs w:val="false"/>
                <w:sz w:val="19"/>
                <w:szCs w:val="19"/>
              </w:rPr>
              <w:t xml:space="preserve">« Fumez-vous ? »</w:t>
            </w:r>
          </w:p>
        </w:tc>
        <w:tc>
          <w:tcPr>
            <w:tcW w:type="dxa" w:w="4000"/>
            <w:shd w:fill="EAF1F8" w:color="auto" w:val="clear"/>
            <w:tcMar>
              <w:top w:type="dxa" w:w="80"/>
              <w:left w:type="dxa" w:w="100"/>
              <w:bottom w:type="dxa" w:w="80"/>
              <w:right w:type="dxa" w:w="100"/>
            </w:tcMar>
          </w:tcPr>
          <w:p>
            <w:pPr>
              <w:spacing w:after="0"/>
            </w:pPr>
            <w:r>
              <w:rPr>
                <w:b w:val="false"/>
                <w:bCs w:val="false"/>
                <w:sz w:val="19"/>
                <w:szCs w:val="19"/>
              </w:rPr>
              <w:t xml:space="preserve">Binaire : yes / no</w:t>
            </w:r>
          </w:p>
        </w:tc>
      </w:tr>
      <w:tr>
        <w:tc>
          <w:tcPr>
            <w:tcW w:type="dxa" w:w="1300"/>
            <w:tcMar>
              <w:top w:type="dxa" w:w="80"/>
              <w:left w:type="dxa" w:w="100"/>
              <w:bottom w:type="dxa" w:w="80"/>
              <w:right w:type="dxa" w:w="100"/>
            </w:tcMar>
          </w:tcPr>
          <w:p>
            <w:pPr>
              <w:spacing w:after="0"/>
            </w:pPr>
            <w:r>
              <w:rPr>
                <w:b w:val="false"/>
                <w:bCs w:val="false"/>
                <w:sz w:val="19"/>
                <w:szCs w:val="19"/>
              </w:rPr>
              <w:t xml:space="preserve">CH2O</w:t>
            </w:r>
          </w:p>
        </w:tc>
        <w:tc>
          <w:tcPr>
            <w:tcW w:type="dxa" w:w="1900"/>
            <w:tcMar>
              <w:top w:type="dxa" w:w="80"/>
              <w:left w:type="dxa" w:w="100"/>
              <w:bottom w:type="dxa" w:w="80"/>
              <w:right w:type="dxa" w:w="100"/>
            </w:tcMar>
          </w:tcPr>
          <w:p>
            <w:pPr>
              <w:spacing w:after="0"/>
            </w:pPr>
            <w:r>
              <w:rPr>
                <w:b w:val="false"/>
                <w:bCs w:val="false"/>
                <w:sz w:val="19"/>
                <w:szCs w:val="19"/>
              </w:rPr>
              <w:t xml:space="preserve">Consommation_Eau_Litres</w:t>
            </w:r>
          </w:p>
        </w:tc>
        <w:tc>
          <w:tcPr>
            <w:tcW w:type="dxa" w:w="3266"/>
            <w:tcMar>
              <w:top w:type="dxa" w:w="80"/>
              <w:left w:type="dxa" w:w="100"/>
              <w:bottom w:type="dxa" w:w="80"/>
              <w:right w:type="dxa" w:w="100"/>
            </w:tcMar>
          </w:tcPr>
          <w:p>
            <w:pPr>
              <w:spacing w:after="0"/>
            </w:pPr>
            <w:r>
              <w:rPr>
                <w:b w:val="false"/>
                <w:bCs w:val="false"/>
                <w:sz w:val="19"/>
                <w:szCs w:val="19"/>
              </w:rPr>
              <w:t xml:space="preserve">« Combien d'eau buvez-vous par jour ? »</w:t>
            </w:r>
          </w:p>
        </w:tc>
        <w:tc>
          <w:tcPr>
            <w:tcW w:type="dxa" w:w="4000"/>
            <w:tcMar>
              <w:top w:type="dxa" w:w="80"/>
              <w:left w:type="dxa" w:w="100"/>
              <w:bottom w:type="dxa" w:w="80"/>
              <w:right w:type="dxa" w:w="100"/>
            </w:tcMar>
          </w:tcPr>
          <w:p>
            <w:pPr>
              <w:spacing w:after="40"/>
            </w:pPr>
            <w:r>
              <w:rPr>
                <w:b w:val="false"/>
                <w:bCs w:val="false"/>
                <w:sz w:val="19"/>
                <w:szCs w:val="19"/>
              </w:rPr>
              <w:t xml:space="preserve">Échelle ordinale 1 à 3, en litres/jour :</w:t>
            </w:r>
          </w:p>
          <w:p>
            <w:pPr>
              <w:spacing w:after="0"/>
            </w:pPr>
            <w:r>
              <w:rPr>
                <w:b w:val="false"/>
                <w:bCs w:val="false"/>
                <w:sz w:val="19"/>
                <w:szCs w:val="19"/>
              </w:rPr>
              <w:t xml:space="preserve">1 = moins d'1 L, 2 = entre 1 et 2 L, 3 = plus de 2 L</w:t>
            </w:r>
          </w:p>
        </w:tc>
      </w:tr>
      <w:tr>
        <w:tc>
          <w:tcPr>
            <w:tcW w:type="dxa" w:w="1300"/>
            <w:shd w:fill="EAF1F8" w:color="auto" w:val="clear"/>
            <w:tcMar>
              <w:top w:type="dxa" w:w="80"/>
              <w:left w:type="dxa" w:w="100"/>
              <w:bottom w:type="dxa" w:w="80"/>
              <w:right w:type="dxa" w:w="100"/>
            </w:tcMar>
          </w:tcPr>
          <w:p>
            <w:pPr>
              <w:spacing w:after="0"/>
            </w:pPr>
            <w:r>
              <w:rPr>
                <w:b w:val="false"/>
                <w:bCs w:val="false"/>
                <w:sz w:val="19"/>
                <w:szCs w:val="19"/>
              </w:rPr>
              <w:t xml:space="preserve">SCC</w:t>
            </w:r>
          </w:p>
        </w:tc>
        <w:tc>
          <w:tcPr>
            <w:tcW w:type="dxa" w:w="1900"/>
            <w:shd w:fill="EAF1F8" w:color="auto" w:val="clear"/>
            <w:tcMar>
              <w:top w:type="dxa" w:w="80"/>
              <w:left w:type="dxa" w:w="100"/>
              <w:bottom w:type="dxa" w:w="80"/>
              <w:right w:type="dxa" w:w="100"/>
            </w:tcMar>
          </w:tcPr>
          <w:p>
            <w:pPr>
              <w:spacing w:after="0"/>
            </w:pPr>
            <w:r>
              <w:rPr>
                <w:b w:val="false"/>
                <w:bCs w:val="false"/>
                <w:sz w:val="19"/>
                <w:szCs w:val="19"/>
              </w:rPr>
              <w:t xml:space="preserve">Suivi_Calories_Ingerees</w:t>
            </w:r>
          </w:p>
        </w:tc>
        <w:tc>
          <w:tcPr>
            <w:tcW w:type="dxa" w:w="3266"/>
            <w:shd w:fill="EAF1F8" w:color="auto" w:val="clear"/>
            <w:tcMar>
              <w:top w:type="dxa" w:w="80"/>
              <w:left w:type="dxa" w:w="100"/>
              <w:bottom w:type="dxa" w:w="80"/>
              <w:right w:type="dxa" w:w="100"/>
            </w:tcMar>
          </w:tcPr>
          <w:p>
            <w:pPr>
              <w:spacing w:after="0"/>
            </w:pPr>
            <w:r>
              <w:rPr>
                <w:b w:val="false"/>
                <w:bCs w:val="false"/>
                <w:sz w:val="19"/>
                <w:szCs w:val="19"/>
              </w:rPr>
              <w:t xml:space="preserve">« Surveillez-vous les calories que vous consommez au quotidien ? »</w:t>
            </w:r>
          </w:p>
        </w:tc>
        <w:tc>
          <w:tcPr>
            <w:tcW w:type="dxa" w:w="4000"/>
            <w:shd w:fill="EAF1F8" w:color="auto" w:val="clear"/>
            <w:tcMar>
              <w:top w:type="dxa" w:w="80"/>
              <w:left w:type="dxa" w:w="100"/>
              <w:bottom w:type="dxa" w:w="80"/>
              <w:right w:type="dxa" w:w="100"/>
            </w:tcMar>
          </w:tcPr>
          <w:p>
            <w:pPr>
              <w:spacing w:after="0"/>
            </w:pPr>
            <w:r>
              <w:rPr>
                <w:b w:val="false"/>
                <w:bCs w:val="false"/>
                <w:sz w:val="19"/>
                <w:szCs w:val="19"/>
              </w:rPr>
              <w:t xml:space="preserve">Binaire : yes / no</w:t>
            </w:r>
          </w:p>
        </w:tc>
      </w:tr>
      <w:tr>
        <w:tc>
          <w:tcPr>
            <w:tcW w:type="dxa" w:w="1300"/>
            <w:tcMar>
              <w:top w:type="dxa" w:w="80"/>
              <w:left w:type="dxa" w:w="100"/>
              <w:bottom w:type="dxa" w:w="80"/>
              <w:right w:type="dxa" w:w="100"/>
            </w:tcMar>
          </w:tcPr>
          <w:p>
            <w:pPr>
              <w:spacing w:after="0"/>
            </w:pPr>
            <w:r>
              <w:rPr>
                <w:b w:val="false"/>
                <w:bCs w:val="false"/>
                <w:sz w:val="19"/>
                <w:szCs w:val="19"/>
              </w:rPr>
              <w:t xml:space="preserve">FAF</w:t>
            </w:r>
          </w:p>
        </w:tc>
        <w:tc>
          <w:tcPr>
            <w:tcW w:type="dxa" w:w="1900"/>
            <w:tcMar>
              <w:top w:type="dxa" w:w="80"/>
              <w:left w:type="dxa" w:w="100"/>
              <w:bottom w:type="dxa" w:w="80"/>
              <w:right w:type="dxa" w:w="100"/>
            </w:tcMar>
          </w:tcPr>
          <w:p>
            <w:pPr>
              <w:spacing w:after="0"/>
            </w:pPr>
            <w:r>
              <w:rPr>
                <w:b w:val="false"/>
                <w:bCs w:val="false"/>
                <w:sz w:val="19"/>
                <w:szCs w:val="19"/>
              </w:rPr>
              <w:t xml:space="preserve">Frequence_Activite_Physique</w:t>
            </w:r>
          </w:p>
        </w:tc>
        <w:tc>
          <w:tcPr>
            <w:tcW w:type="dxa" w:w="3266"/>
            <w:tcMar>
              <w:top w:type="dxa" w:w="80"/>
              <w:left w:type="dxa" w:w="100"/>
              <w:bottom w:type="dxa" w:w="80"/>
              <w:right w:type="dxa" w:w="100"/>
            </w:tcMar>
          </w:tcPr>
          <w:p>
            <w:pPr>
              <w:spacing w:after="0"/>
            </w:pPr>
            <w:r>
              <w:rPr>
                <w:b w:val="false"/>
                <w:bCs w:val="false"/>
                <w:sz w:val="19"/>
                <w:szCs w:val="19"/>
              </w:rPr>
              <w:t xml:space="preserve">« À quelle fréquence pratiquez-vous une activité physique ? »</w:t>
            </w:r>
          </w:p>
        </w:tc>
        <w:tc>
          <w:tcPr>
            <w:tcW w:type="dxa" w:w="4000"/>
            <w:tcMar>
              <w:top w:type="dxa" w:w="80"/>
              <w:left w:type="dxa" w:w="100"/>
              <w:bottom w:type="dxa" w:w="80"/>
              <w:right w:type="dxa" w:w="100"/>
            </w:tcMar>
          </w:tcPr>
          <w:p>
            <w:pPr>
              <w:spacing w:after="40"/>
            </w:pPr>
            <w:r>
              <w:rPr>
                <w:b w:val="false"/>
                <w:bCs w:val="false"/>
                <w:sz w:val="19"/>
                <w:szCs w:val="19"/>
              </w:rPr>
              <w:t xml:space="preserve">Échelle ordinale 0 à 3, en jours/semaine :</w:t>
            </w:r>
          </w:p>
          <w:p>
            <w:pPr>
              <w:spacing w:after="0"/>
            </w:pPr>
            <w:r>
              <w:rPr>
                <w:b w:val="false"/>
                <w:bCs w:val="false"/>
                <w:sz w:val="19"/>
                <w:szCs w:val="19"/>
              </w:rPr>
              <w:t xml:space="preserve">0 = aucune, 1 = 1 à 2 jours, 2 = 2 à 4 jours, 3 = 4 à 5 jours</w:t>
            </w:r>
          </w:p>
        </w:tc>
      </w:tr>
      <w:tr>
        <w:tc>
          <w:tcPr>
            <w:tcW w:type="dxa" w:w="1300"/>
            <w:shd w:fill="EAF1F8" w:color="auto" w:val="clear"/>
            <w:tcMar>
              <w:top w:type="dxa" w:w="80"/>
              <w:left w:type="dxa" w:w="100"/>
              <w:bottom w:type="dxa" w:w="80"/>
              <w:right w:type="dxa" w:w="100"/>
            </w:tcMar>
          </w:tcPr>
          <w:p>
            <w:pPr>
              <w:spacing w:after="0"/>
            </w:pPr>
            <w:r>
              <w:rPr>
                <w:b w:val="false"/>
                <w:bCs w:val="false"/>
                <w:sz w:val="19"/>
                <w:szCs w:val="19"/>
              </w:rPr>
              <w:t xml:space="preserve">TUE</w:t>
            </w:r>
          </w:p>
        </w:tc>
        <w:tc>
          <w:tcPr>
            <w:tcW w:type="dxa" w:w="1900"/>
            <w:shd w:fill="EAF1F8" w:color="auto" w:val="clear"/>
            <w:tcMar>
              <w:top w:type="dxa" w:w="80"/>
              <w:left w:type="dxa" w:w="100"/>
              <w:bottom w:type="dxa" w:w="80"/>
              <w:right w:type="dxa" w:w="100"/>
            </w:tcMar>
          </w:tcPr>
          <w:p>
            <w:pPr>
              <w:spacing w:after="0"/>
            </w:pPr>
            <w:r>
              <w:rPr>
                <w:b w:val="false"/>
                <w:bCs w:val="false"/>
                <w:sz w:val="19"/>
                <w:szCs w:val="19"/>
              </w:rPr>
              <w:t xml:space="preserve">Temps_Ecrans_Heures</w:t>
            </w:r>
          </w:p>
        </w:tc>
        <w:tc>
          <w:tcPr>
            <w:tcW w:type="dxa" w:w="3266"/>
            <w:shd w:fill="EAF1F8" w:color="auto" w:val="clear"/>
            <w:tcMar>
              <w:top w:type="dxa" w:w="80"/>
              <w:left w:type="dxa" w:w="100"/>
              <w:bottom w:type="dxa" w:w="80"/>
              <w:right w:type="dxa" w:w="100"/>
            </w:tcMar>
          </w:tcPr>
          <w:p>
            <w:pPr>
              <w:spacing w:after="0"/>
            </w:pPr>
            <w:r>
              <w:rPr>
                <w:b w:val="false"/>
                <w:bCs w:val="false"/>
                <w:sz w:val="19"/>
                <w:szCs w:val="19"/>
              </w:rPr>
              <w:t xml:space="preserve">« Combien de temps utilisez-vous des appareils technologiques (téléphone, jeux vidéo, TV, ordinateur) ? »</w:t>
            </w:r>
          </w:p>
        </w:tc>
        <w:tc>
          <w:tcPr>
            <w:tcW w:type="dxa" w:w="4000"/>
            <w:shd w:fill="EAF1F8" w:color="auto" w:val="clear"/>
            <w:tcMar>
              <w:top w:type="dxa" w:w="80"/>
              <w:left w:type="dxa" w:w="100"/>
              <w:bottom w:type="dxa" w:w="80"/>
              <w:right w:type="dxa" w:w="100"/>
            </w:tcMar>
          </w:tcPr>
          <w:p>
            <w:pPr>
              <w:spacing w:after="40"/>
            </w:pPr>
            <w:r>
              <w:rPr>
                <w:b w:val="false"/>
                <w:bCs w:val="false"/>
                <w:sz w:val="19"/>
                <w:szCs w:val="19"/>
              </w:rPr>
              <w:t xml:space="preserve">Échelle ordinale 0 à 2, en heures/jour :</w:t>
            </w:r>
          </w:p>
          <w:p>
            <w:pPr>
              <w:spacing w:after="0"/>
            </w:pPr>
            <w:r>
              <w:rPr>
                <w:b w:val="false"/>
                <w:bCs w:val="false"/>
                <w:sz w:val="19"/>
                <w:szCs w:val="19"/>
              </w:rPr>
              <w:t xml:space="preserve">0 = 0 à 2 h, 1 = 3 à 5 h, 2 = plus de 5 h</w:t>
            </w:r>
          </w:p>
        </w:tc>
      </w:tr>
      <w:tr>
        <w:tc>
          <w:tcPr>
            <w:tcW w:type="dxa" w:w="1300"/>
            <w:tcMar>
              <w:top w:type="dxa" w:w="80"/>
              <w:left w:type="dxa" w:w="100"/>
              <w:bottom w:type="dxa" w:w="80"/>
              <w:right w:type="dxa" w:w="100"/>
            </w:tcMar>
          </w:tcPr>
          <w:p>
            <w:pPr>
              <w:spacing w:after="0"/>
            </w:pPr>
            <w:r>
              <w:rPr>
                <w:b w:val="false"/>
                <w:bCs w:val="false"/>
                <w:sz w:val="19"/>
                <w:szCs w:val="19"/>
              </w:rPr>
              <w:t xml:space="preserve">CALC</w:t>
            </w:r>
          </w:p>
        </w:tc>
        <w:tc>
          <w:tcPr>
            <w:tcW w:type="dxa" w:w="1900"/>
            <w:tcMar>
              <w:top w:type="dxa" w:w="80"/>
              <w:left w:type="dxa" w:w="100"/>
              <w:bottom w:type="dxa" w:w="80"/>
              <w:right w:type="dxa" w:w="100"/>
            </w:tcMar>
          </w:tcPr>
          <w:p>
            <w:pPr>
              <w:spacing w:after="0"/>
            </w:pPr>
            <w:r>
              <w:rPr>
                <w:b w:val="false"/>
                <w:bCs w:val="false"/>
                <w:sz w:val="19"/>
                <w:szCs w:val="19"/>
              </w:rPr>
              <w:t xml:space="preserve">Consommation_Alcool</w:t>
            </w:r>
          </w:p>
        </w:tc>
        <w:tc>
          <w:tcPr>
            <w:tcW w:type="dxa" w:w="3266"/>
            <w:tcMar>
              <w:top w:type="dxa" w:w="80"/>
              <w:left w:type="dxa" w:w="100"/>
              <w:bottom w:type="dxa" w:w="80"/>
              <w:right w:type="dxa" w:w="100"/>
            </w:tcMar>
          </w:tcPr>
          <w:p>
            <w:pPr>
              <w:spacing w:after="0"/>
            </w:pPr>
            <w:r>
              <w:rPr>
                <w:b w:val="false"/>
                <w:bCs w:val="false"/>
                <w:sz w:val="19"/>
                <w:szCs w:val="19"/>
              </w:rPr>
              <w:t xml:space="preserve">« À quelle fréquence buvez-vous de l'alcool ? » — fréquence générale déclarée, sans période fixe précisée dans le questionnaire</w:t>
            </w:r>
          </w:p>
        </w:tc>
        <w:tc>
          <w:tcPr>
            <w:tcW w:type="dxa" w:w="4000"/>
            <w:tcMar>
              <w:top w:type="dxa" w:w="80"/>
              <w:left w:type="dxa" w:w="100"/>
              <w:bottom w:type="dxa" w:w="80"/>
              <w:right w:type="dxa" w:w="100"/>
            </w:tcMar>
          </w:tcPr>
          <w:p>
            <w:pPr>
              <w:spacing w:after="0"/>
            </w:pPr>
            <w:r>
              <w:rPr>
                <w:b w:val="false"/>
                <w:bCs w:val="false"/>
                <w:sz w:val="19"/>
                <w:szCs w:val="19"/>
              </w:rPr>
              <w:t xml:space="preserve">Catégorielle ordonnée : no &lt; Sometimes &lt; Frequently &lt; Always</w:t>
            </w:r>
          </w:p>
        </w:tc>
      </w:tr>
      <w:tr>
        <w:tc>
          <w:tcPr>
            <w:tcW w:type="dxa" w:w="1300"/>
            <w:shd w:fill="EAF1F8" w:color="auto" w:val="clear"/>
            <w:tcMar>
              <w:top w:type="dxa" w:w="80"/>
              <w:left w:type="dxa" w:w="100"/>
              <w:bottom w:type="dxa" w:w="80"/>
              <w:right w:type="dxa" w:w="100"/>
            </w:tcMar>
          </w:tcPr>
          <w:p>
            <w:pPr>
              <w:spacing w:after="0"/>
            </w:pPr>
            <w:r>
              <w:rPr>
                <w:b w:val="false"/>
                <w:bCs w:val="false"/>
                <w:sz w:val="19"/>
                <w:szCs w:val="19"/>
              </w:rPr>
              <w:t xml:space="preserve">MTRANS</w:t>
            </w:r>
          </w:p>
        </w:tc>
        <w:tc>
          <w:tcPr>
            <w:tcW w:type="dxa" w:w="1900"/>
            <w:shd w:fill="EAF1F8" w:color="auto" w:val="clear"/>
            <w:tcMar>
              <w:top w:type="dxa" w:w="80"/>
              <w:left w:type="dxa" w:w="100"/>
              <w:bottom w:type="dxa" w:w="80"/>
              <w:right w:type="dxa" w:w="100"/>
            </w:tcMar>
          </w:tcPr>
          <w:p>
            <w:pPr>
              <w:spacing w:after="0"/>
            </w:pPr>
            <w:r>
              <w:rPr>
                <w:b w:val="false"/>
                <w:bCs w:val="false"/>
                <w:sz w:val="19"/>
                <w:szCs w:val="19"/>
              </w:rPr>
              <w:t xml:space="preserve">Moyen_Transport</w:t>
            </w:r>
          </w:p>
        </w:tc>
        <w:tc>
          <w:tcPr>
            <w:tcW w:type="dxa" w:w="3266"/>
            <w:shd w:fill="EAF1F8" w:color="auto" w:val="clear"/>
            <w:tcMar>
              <w:top w:type="dxa" w:w="80"/>
              <w:left w:type="dxa" w:w="100"/>
              <w:bottom w:type="dxa" w:w="80"/>
              <w:right w:type="dxa" w:w="100"/>
            </w:tcMar>
          </w:tcPr>
          <w:p>
            <w:pPr>
              <w:spacing w:after="0"/>
            </w:pPr>
            <w:r>
              <w:rPr>
                <w:b w:val="false"/>
                <w:bCs w:val="false"/>
                <w:sz w:val="19"/>
                <w:szCs w:val="19"/>
              </w:rPr>
              <w:t xml:space="preserve">« Quel moyen de transport utilisez-vous habituellement ? »</w:t>
            </w:r>
          </w:p>
        </w:tc>
        <w:tc>
          <w:tcPr>
            <w:tcW w:type="dxa" w:w="4000"/>
            <w:shd w:fill="EAF1F8" w:color="auto" w:val="clear"/>
            <w:tcMar>
              <w:top w:type="dxa" w:w="80"/>
              <w:left w:type="dxa" w:w="100"/>
              <w:bottom w:type="dxa" w:w="80"/>
              <w:right w:type="dxa" w:w="100"/>
            </w:tcMar>
          </w:tcPr>
          <w:p>
            <w:pPr>
              <w:spacing w:after="0"/>
            </w:pPr>
            <w:r>
              <w:rPr>
                <w:b w:val="false"/>
                <w:bCs w:val="false"/>
                <w:sz w:val="19"/>
                <w:szCs w:val="19"/>
              </w:rPr>
              <w:t xml:space="preserve">Catégorielle : Automobile, Motorbike, Bike, Public_Transportation, Walking</w:t>
            </w:r>
          </w:p>
        </w:tc>
      </w:tr>
      <w:tr>
        <w:tc>
          <w:tcPr>
            <w:tcW w:type="dxa" w:w="1300"/>
            <w:tcMar>
              <w:top w:type="dxa" w:w="80"/>
              <w:left w:type="dxa" w:w="100"/>
              <w:bottom w:type="dxa" w:w="80"/>
              <w:right w:type="dxa" w:w="100"/>
            </w:tcMar>
          </w:tcPr>
          <w:p>
            <w:pPr>
              <w:spacing w:after="0"/>
            </w:pPr>
            <w:r>
              <w:rPr>
                <w:b w:val="false"/>
                <w:bCs w:val="false"/>
                <w:sz w:val="19"/>
                <w:szCs w:val="19"/>
              </w:rPr>
              <w:t xml:space="preserve">NObeyesdad</w:t>
            </w:r>
          </w:p>
        </w:tc>
        <w:tc>
          <w:tcPr>
            <w:tcW w:type="dxa" w:w="1900"/>
            <w:tcMar>
              <w:top w:type="dxa" w:w="80"/>
              <w:left w:type="dxa" w:w="100"/>
              <w:bottom w:type="dxa" w:w="80"/>
              <w:right w:type="dxa" w:w="100"/>
            </w:tcMar>
          </w:tcPr>
          <w:p>
            <w:pPr>
              <w:spacing w:after="0"/>
            </w:pPr>
            <w:r>
              <w:rPr>
                <w:b w:val="false"/>
                <w:bCs w:val="false"/>
                <w:sz w:val="19"/>
                <w:szCs w:val="19"/>
              </w:rPr>
              <w:t xml:space="preserve">Niveau_Obesite</w:t>
            </w:r>
          </w:p>
        </w:tc>
        <w:tc>
          <w:tcPr>
            <w:tcW w:type="dxa" w:w="3266"/>
            <w:tcMar>
              <w:top w:type="dxa" w:w="80"/>
              <w:left w:type="dxa" w:w="100"/>
              <w:bottom w:type="dxa" w:w="80"/>
              <w:right w:type="dxa" w:w="100"/>
            </w:tcMar>
          </w:tcPr>
          <w:p>
            <w:pPr>
              <w:spacing w:after="0"/>
            </w:pPr>
            <w:r>
              <w:rPr>
                <w:b w:val="false"/>
                <w:bCs w:val="false"/>
                <w:sz w:val="19"/>
                <w:szCs w:val="19"/>
              </w:rPr>
              <w:t xml:space="preserve">Niveau d'obésité (variable cible, calculée à partir de l'IMC)</w:t>
            </w:r>
          </w:p>
        </w:tc>
        <w:tc>
          <w:tcPr>
            <w:tcW w:type="dxa" w:w="4000"/>
            <w:tcMar>
              <w:top w:type="dxa" w:w="80"/>
              <w:left w:type="dxa" w:w="100"/>
              <w:bottom w:type="dxa" w:w="80"/>
              <w:right w:type="dxa" w:w="100"/>
            </w:tcMar>
          </w:tcPr>
          <w:p>
            <w:pPr>
              <w:spacing w:after="0"/>
            </w:pPr>
            <w:r>
              <w:rPr>
                <w:b w:val="false"/>
                <w:bCs w:val="false"/>
                <w:sz w:val="19"/>
                <w:szCs w:val="19"/>
              </w:rPr>
              <w:t xml:space="preserve">Catégorielle ordonnée, 7 classes (voir section 2)</w:t>
            </w:r>
          </w:p>
        </w:tc>
      </w:tr>
    </w:tbl>
    <w:p>
      <w:pPr>
        <w:spacing w:after="160"/>
      </w:pPr>
    </w:p>
    <w:p>
      <w:pPr>
        <w:pStyle w:val="Heading2"/>
        <w:spacing w:after="120" w:before="240"/>
      </w:pPr>
      <w:r>
        <w:t xml:space="preserve">Pourquoi les valeurs ne sont-elles pas des entiers ronds (ex. FCVC = 2,63) ?</w:t>
      </w:r>
    </w:p>
    <w:p>
      <w:pPr>
        <w:spacing w:after="160"/>
        <w:jc w:val="both"/>
      </w:pPr>
      <w:r>
        <w:t xml:space="preserve">Ces variables ordinales n'ont, à l'origine, que 3 ou 4 valeurs possibles (ex. FAF ∈ {0, 1, 2, 3}). Or 77 % des lignes du dataset sont synthétiques (générées par SMOTE, voir section 2) : cette technique crée de nouveaux individus en interpolant entre voisins réels dans l'espace des variables, ce qui produit des valeurs intermédiaires non entières (ex. 2,63) sans signification catégorielle propre. Pour l'analyse, il est donc recommandé soit d'arrondir ces variables à l'entier le plus proche pour revenir aux catégories d'origine, soit de les traiter comme des scores continus approchant l'intensité du comportement déclaré (plus la valeur est élevée, plus la fréquence/quantité déclarée est grande).</w:t>
      </w:r>
    </w:p>
    <w:p>
      <w:pPr>
        <w:spacing w:after="160"/>
        <w:jc w:val="both"/>
      </w:pPr>
      <w:r>
        <w:rPr>
          <w:i/>
          <w:iCs/>
          <w:color w:val="555555"/>
          <w:sz w:val="20"/>
          <w:szCs w:val="20"/>
        </w:rPr>
        <w:t xml:space="preserve">Le fichier ObesityDataSet_variables_explicites.csv est l'unique jeu de données du dossier : mêmes lignes/valeurs que le CSV brut d'origine (supprimé), mais avec des en-têtes de colonnes renommés pour être plus lisibles. L'application Shiny (global.R, ui.R, server.R, run.R) a été mise à jour en conséquence pour utiliser ces nouveaux noms de colonnes.</w:t>
      </w:r>
    </w:p>
    <w:p>
      <w:pPr>
        <w:pStyle w:val="Heading1"/>
        <w:spacing w:after="160" w:before="320"/>
      </w:pPr>
      <w:r>
        <w:t xml:space="preserve">4. Études déjà réalisées sur ce jeu de données</w:t>
      </w:r>
    </w:p>
    <w:p>
      <w:pPr>
        <w:spacing w:after="160"/>
        <w:jc w:val="both"/>
      </w:pPr>
      <w:r>
        <w:t xml:space="preserve">Ce dataset est très utilisé dans la littérature en data science / santé publique depuis sa publication en 2019. Voici les principales études identifiées :</w:t>
      </w:r>
    </w:p>
    <w:p>
      <w:pPr>
        <w:pStyle w:val="Heading2"/>
        <w:spacing w:after="120" w:before="240"/>
      </w:pPr>
      <w:r>
        <w:t xml:space="preserve">Publication d'origine</w:t>
      </w:r>
    </w:p>
    <w:p>
      <w:pPr>
        <w:spacing w:after="160"/>
        <w:jc w:val="both"/>
      </w:pPr>
      <w:r>
        <w:t xml:space="preserve">Palechor &amp; De la Hoz Manotas (2019), Data in Brief — </w:t>
      </w:r>
      <w:r>
        <w:t xml:space="preserve">décrit la constitution du dataset lui-même (article "descripteur de données", pas de modèle prédictif).</w:t>
      </w:r>
    </w:p>
    <w:p>
      <w:pPr>
        <w:spacing w:after="160"/>
        <w:jc w:val="both"/>
      </w:pPr>
      <w:hyperlink w:history="1" r:id="rIdi3f_h0vftk6dwwczbxxi4">
        <w:r>
          <w:rPr>
            <w:rStyle w:val="Hyperlink"/>
          </w:rPr>
          <w:t xml:space="preserve">Consulter l'article (ScienceDirect)</w:t>
        </w:r>
      </w:hyperlink>
    </w:p>
    <w:p>
      <w:pPr>
        <w:pStyle w:val="Heading2"/>
        <w:spacing w:after="120" w:before="240"/>
      </w:pPr>
      <w:r>
        <w:t xml:space="preserve">Santisteban Quiroz, J. P. (2022)</w:t>
      </w:r>
    </w:p>
    <w:p>
      <w:pPr>
        <w:spacing w:after="160"/>
        <w:jc w:val="both"/>
      </w:pPr>
      <w:r>
        <w:t xml:space="preserve">« Estimation of obesity levels based on dietary habits and condition physical using computational intelligence ». Informatics in Medicine Unlocked, vol. 29.</w:t>
      </w:r>
    </w:p>
    <w:p>
      <w:pPr>
        <w:spacing w:after="160"/>
        <w:jc w:val="both"/>
      </w:pPr>
      <w:r>
        <w:t xml:space="preserve">Compare plusieurs modèles de classification sur ce même dataset : LightGBM obtient le meilleur score (97,45 % d'exactitude, AUC 99,90 %), devant XGBoost (96,85 %), Random Forest (95,81 %) et Decision Tree (93,00 %).</w:t>
      </w:r>
    </w:p>
    <w:p>
      <w:pPr>
        <w:spacing w:after="160"/>
        <w:jc w:val="both"/>
      </w:pPr>
      <w:hyperlink w:history="1" r:id="rIdfarjt0gwo_vx7cnex3pcv">
        <w:r>
          <w:rPr>
            <w:rStyle w:val="Hyperlink"/>
          </w:rPr>
          <w:t xml:space="preserve">Consulter l'article (ScienceDirect)</w:t>
        </w:r>
      </w:hyperlink>
    </w:p>
    <w:p>
      <w:pPr>
        <w:pStyle w:val="Heading2"/>
        <w:spacing w:after="120" w:before="240"/>
      </w:pPr>
      <w:r>
        <w:t xml:space="preserve">Helforoush, Z. &amp; Sayyad, H. (2024)</w:t>
      </w:r>
    </w:p>
    <w:p>
      <w:pPr>
        <w:spacing w:after="160"/>
        <w:jc w:val="both"/>
      </w:pPr>
      <w:r>
        <w:t xml:space="preserve">« Prediction and classification of obesity risk based on a hybrid metaheuristic machine learning approach ». Frontiers in Big Data.</w:t>
      </w:r>
    </w:p>
    <w:p>
      <w:pPr>
        <w:spacing w:after="160"/>
        <w:jc w:val="both"/>
      </w:pPr>
      <w:r>
        <w:t xml:space="preserve">Combine le dataset UCI (2 111 lignes) avec un second jeu de données étendu (20 758 lignes) et propose un modèle hybride ANN-PSO (réseau de neurones + optimisation par essaims particulaires) : 91,79 % d'exactitude, contre 89,68 % pour Random Forest, 89,48 % pour CatBoost, 89,16 % pour LightGBM et 89,03 % pour XGBoost.</w:t>
      </w:r>
    </w:p>
    <w:p>
      <w:pPr>
        <w:spacing w:after="160"/>
        <w:jc w:val="both"/>
      </w:pPr>
      <w:hyperlink w:history="1" r:id="rIdc4len7hnmtwk5ru_acabu">
        <w:r>
          <w:rPr>
            <w:rStyle w:val="Hyperlink"/>
          </w:rPr>
          <w:t xml:space="preserve">Consulter l'article (Frontiers)</w:t>
        </w:r>
      </w:hyperlink>
    </w:p>
    <w:p>
      <w:pPr>
        <w:pStyle w:val="Heading2"/>
        <w:spacing w:after="120" w:before="240"/>
      </w:pPr>
      <w:r>
        <w:t xml:space="preserve">Autres travaux identifiés utilisant ce même dataset</w:t>
      </w:r>
    </w:p>
    <w:p>
      <w:pPr>
        <w:pStyle w:val="ListParagraph"/>
        <w:numPr>
          <w:ilvl w:val="0"/>
          <w:numId w:val="2"/>
        </w:numPr>
        <w:spacing w:after="100"/>
      </w:pPr>
      <w:hyperlink w:history="1" r:id="rIdeumokzcpq3x0oqvz_ycng">
        <w:r>
          <w:rPr>
            <w:rStyle w:val="Hyperlink"/>
          </w:rPr>
          <w:t xml:space="preserve">Estimation of Obesity Levels through the Proposed Predictive Approach Based on Physical Activity and Nutritional Habits (PMC)</w:t>
        </w:r>
      </w:hyperlink>
    </w:p>
    <w:p>
      <w:pPr>
        <w:pStyle w:val="ListParagraph"/>
        <w:numPr>
          <w:ilvl w:val="0"/>
          <w:numId w:val="2"/>
        </w:numPr>
        <w:spacing w:after="100"/>
      </w:pPr>
      <w:hyperlink w:history="1" r:id="rId5e30pcjf_ixs-nb6mdpi6">
        <w:r>
          <w:rPr>
            <w:rStyle w:val="Hyperlink"/>
          </w:rPr>
          <w:t xml:space="preserve">Prediction of obesity levels based on physical activity and eating habits with a machine learning model integrated with explainable artificial intelligence (PMC)</w:t>
        </w:r>
      </w:hyperlink>
    </w:p>
    <w:p>
      <w:pPr>
        <w:pStyle w:val="ListParagraph"/>
        <w:numPr>
          <w:ilvl w:val="0"/>
          <w:numId w:val="2"/>
        </w:numPr>
        <w:spacing w:after="100"/>
      </w:pPr>
      <w:hyperlink w:history="1" r:id="rId0wql2xgkjraugvfejrs-b">
        <w:r>
          <w:rPr>
            <w:rStyle w:val="Hyperlink"/>
          </w:rPr>
          <w:t xml:space="preserve">Classification and Prediction of Obesity Levels among Subjects in Colombia, Peru, and Mexico Using Unsupervised and Supervised Learning</w:t>
        </w:r>
      </w:hyperlink>
    </w:p>
    <w:p>Plusieurs projets pédagogiques publics sur GitHub (ex. UBC-MDS « obesity-classifier-group17 ») reprenant ce dataset pour des exercices de classification.</w:p>
    <w:p>
      <w:pPr>
        <w:spacing w:after="100"/>
      </w:pPr>
    </w:p>
    <w:p>
      <w:pPr>
        <w:spacing w:after="160"/>
        <w:jc w:val="both"/>
      </w:pPr>
      <w:r>
        <w:t xml:space="preserve">Constat général : la quasi-totalité des études existantes traitent ce dataset comme un problème de classification supervisée (prédire les 7 niveaux d'obésité), avec de très bonnes performances (90 à 97 % d'exactitude selon les modèles) ; les algorithmes de boosting (LightGBM, XGBoost, CatBoost) et les forêts aléatoires dominent généralement les comparatifs. Peu d'études exploitent en revanche les aspects statistiques exploratoires (ACP, ANOVA, tests d'hypothèses) déjà couverts par l'application Shiny de ce dossier — ce qui laisse un axe de valeur ajoutée pour ce projet.</w:t>
      </w:r>
    </w:p>
    <w:p>
      <w:pPr>
        <w:pStyle w:val="Heading1"/>
        <w:spacing w:after="160" w:before="320"/>
      </w:pPr>
      <w:r>
        <w:t xml:space="preserve">5. Point de vigilance méthodologique</w:t>
      </w:r>
    </w:p>
    <w:p>
      <w:pPr>
        <w:spacing w:after="160"/>
        <w:jc w:val="both"/>
      </w:pPr>
      <w:r>
        <w:t xml:space="preserve">Comme 77 % des lignes sont générées synthétiquement par SMOTE (et non collectées réellement), il convient de garder cet élément à l'esprit dans l'interprétation des résultats statistiques (corrélations, tests d'hypothèses, ACP) : les données synthétiques interpolent entre observations réelles voisines dans l'espace des variables, ce qui peut légèrement lisser certaines relations et réduire la variance intra-classe par rapport à une collecte 100 % réelle. Cela n'invalide pas les analyses, mais justifie une certaine prudence dans les conclusions tirées, en particulier sur les classes d'obésité sévère (Type II, Type III), les plus enrichies en données synthétiques.</w:t>
      </w:r>
    </w:p>
    <w:p>
      <w:pPr>
        <w:pStyle w:val="Heading1"/>
        <w:spacing w:after="160" w:before="320"/>
      </w:pPr>
      <w:r>
        <w:t xml:space="preserve">6. Sources</w:t>
      </w:r>
    </w:p>
    <w:p>
      <w:pPr>
        <w:pStyle w:val="ListParagraph"/>
        <w:numPr>
          <w:ilvl w:val="0"/>
          <w:numId w:val="2"/>
        </w:numPr>
        <w:spacing w:after="100"/>
      </w:pPr>
      <w:hyperlink w:history="1" r:id="rIdr92mwyfou-qgheqv8zo26">
        <w:r>
          <w:rPr>
            <w:rStyle w:val="Hyperlink"/>
          </w:rPr>
          <w:t xml:space="preserve">UCI Machine Learning Repository — dataset 544</w:t>
        </w:r>
      </w:hyperlink>
    </w:p>
    <w:p>
      <w:pPr>
        <w:pStyle w:val="ListParagraph"/>
        <w:numPr>
          <w:ilvl w:val="0"/>
          <w:numId w:val="2"/>
        </w:numPr>
        <w:spacing w:after="100"/>
      </w:pPr>
      <w:hyperlink w:history="1" r:id="rIdt1wk-5vp8xdg-u8k-pavg">
        <w:r>
          <w:rPr>
            <w:rStyle w:val="Hyperlink"/>
          </w:rPr>
          <w:t xml:space="preserve">Palechor &amp; De la Hoz Manotas (2019), Data in Brief — ScienceDirect</w:t>
        </w:r>
      </w:hyperlink>
    </w:p>
    <w:p>
      <w:pPr>
        <w:pStyle w:val="ListParagraph"/>
        <w:numPr>
          <w:ilvl w:val="0"/>
          <w:numId w:val="2"/>
        </w:numPr>
        <w:spacing w:after="100"/>
      </w:pPr>
      <w:hyperlink w:history="1" r:id="rIdwxri-dm604amhqlutlzps">
        <w:r>
          <w:rPr>
            <w:rStyle w:val="Hyperlink"/>
          </w:rPr>
          <w:t xml:space="preserve">Palechor &amp; De la Hoz Manotas (2019) — PubMed</w:t>
        </w:r>
      </w:hyperlink>
    </w:p>
    <w:p>
      <w:pPr>
        <w:pStyle w:val="ListParagraph"/>
        <w:numPr>
          <w:ilvl w:val="0"/>
          <w:numId w:val="2"/>
        </w:numPr>
        <w:spacing w:after="100"/>
      </w:pPr>
      <w:hyperlink w:history="1" r:id="rIdyuycbkuvzzvmjzwkg5ckx">
        <w:r>
          <w:rPr>
            <w:rStyle w:val="Hyperlink"/>
          </w:rPr>
          <w:t xml:space="preserve">Santisteban Quiroz (2022), Informatics in Medicine Unlocked</w:t>
        </w:r>
      </w:hyperlink>
    </w:p>
    <w:p>
      <w:pPr>
        <w:pStyle w:val="ListParagraph"/>
        <w:numPr>
          <w:ilvl w:val="0"/>
          <w:numId w:val="2"/>
        </w:numPr>
        <w:spacing w:after="100"/>
      </w:pPr>
      <w:hyperlink w:history="1" r:id="rIdmlnkksigu0h9ykds-s8ne">
        <w:r>
          <w:rPr>
            <w:rStyle w:val="Hyperlink"/>
          </w:rPr>
          <w:t xml:space="preserve">Helforoush &amp; Sayyad (2024), Frontiers in Big Data</w:t>
        </w:r>
      </w:hyperlink>
    </w:p>
    <w:p>
      <w:pPr>
        <w:pStyle w:val="ListParagraph"/>
        <w:numPr>
          <w:ilvl w:val="0"/>
          <w:numId w:val="2"/>
        </w:numPr>
        <w:spacing w:after="100"/>
      </w:pPr>
      <w:hyperlink w:history="1" r:id="rIdjrsa9osjoavu_qrwk2w7s">
        <w:r>
          <w:rPr>
            <w:rStyle w:val="Hyperlink"/>
          </w:rPr>
          <w:t xml:space="preserve">Estimation of Obesity Levels through the Proposed Predictive Approach (PMC)</w:t>
        </w:r>
      </w:hyperlink>
    </w:p>
    <w:p>
      <w:pPr>
        <w:pStyle w:val="ListParagraph"/>
        <w:numPr>
          <w:ilvl w:val="0"/>
          <w:numId w:val="2"/>
        </w:numPr>
        <w:spacing w:after="100"/>
      </w:pPr>
      <w:hyperlink w:history="1" r:id="rId356wyqmw9rz_fhuikd9hh">
        <w:r>
          <w:rPr>
            <w:rStyle w:val="Hyperlink"/>
          </w:rPr>
          <w:t xml:space="preserve">Prediction of obesity levels with explainable AI (PMC)</w:t>
        </w:r>
      </w:hyperlink>
    </w:p>
    <w:p>
      <w:pPr>
        <w:pStyle w:val="ListParagraph"/>
        <w:numPr>
          <w:ilvl w:val="0"/>
          <w:numId w:val="2"/>
        </w:numPr>
        <w:spacing w:after="100"/>
      </w:pPr>
      <w:r>
        <w:t xml:space="preserve">Détail des catégories exactes de FCVC/NCP/CH2O/FAF/TUE/CAEC/CALC reconstitué à partir de deux relectures indépendantes du dataset original :</w:t>
      </w:r>
    </w:p>
    <w:p>
      <w:pPr>
        <w:pStyle w:val="ListParagraph"/>
        <w:numPr>
          <w:ilvl w:val="1"/>
          <w:numId w:val="2"/>
        </w:numPr>
        <w:spacing w:after="100"/>
      </w:pPr>
      <w:hyperlink w:history="1" r:id="rIdyxr1jdt_bxfkqqauzpupa">
        <w:r>
          <w:rPr>
            <w:rStyle w:val="Hyperlink"/>
          </w:rPr>
          <w:t xml:space="preserve">Exploratory Data Analysis Project — Obesity Levels (Stacy Shen, Medium)</w:t>
        </w:r>
      </w:hyperlink>
    </w:p>
    <w:p>
      <w:pPr>
        <w:pStyle w:val="ListParagraph"/>
        <w:numPr>
          <w:ilvl w:val="1"/>
          <w:numId w:val="2"/>
        </w:numPr>
        <w:spacing w:after="100"/>
      </w:pPr>
      <w:hyperlink w:history="1" r:id="rIdqlrwy2rmsysweqev2eguv">
        <w:r>
          <w:rPr>
            <w:rStyle w:val="Hyperlink"/>
          </w:rPr>
          <w:t xml:space="preserve">Estimation of Obesity Levels through the Proposed Predictive Approach (MDPI Diagnostics, 2023)</w:t>
        </w:r>
      </w:hyperlink>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4E79"/>
      <w:sz w:val="44"/>
      <w:szCs w:val="44"/>
    </w:rPr>
  </w:style>
  <w:style w:type="paragraph" w:styleId="Heading1">
    <w:name w:val="Heading 1"/>
    <w:basedOn w:val="Normal"/>
    <w:next w:val="Normal"/>
    <w:pPr>
      <w:pBdr>
        <w:bottom w:val="single" w:color="2E5F8A" w:sz="6" w:space="4"/>
      </w:pBdr>
      <w:spacing w:after="160" w:before="320"/>
    </w:pPr>
    <w:rPr>
      <w:rFonts w:ascii="Calibri" w:cs="Calibri" w:eastAsia="Calibri" w:hAnsi="Calibri"/>
      <w:b/>
      <w:bCs/>
      <w:color w:val="2E5F8A"/>
      <w:sz w:val="28"/>
      <w:szCs w:val="28"/>
    </w:rPr>
  </w:style>
  <w:style w:type="paragraph" w:styleId="Heading2">
    <w:name w:val="Heading 2"/>
    <w:basedOn w:val="Normal"/>
    <w:next w:val="Normal"/>
    <w:pPr>
      <w:spacing w:after="120" w:before="240"/>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3f_h0vftk6dwwczbxxi4" Type="http://schemas.openxmlformats.org/officeDocument/2006/relationships/hyperlink" Target="https://www.sciencedirect.com/science/article/pii/S2352340919306985" TargetMode="External"/><Relationship Id="rIdfarjt0gwo_vx7cnex3pcv" Type="http://schemas.openxmlformats.org/officeDocument/2006/relationships/hyperlink" Target="https://www.sciencedirect.com/science/article/pii/S2352914822000521" TargetMode="External"/><Relationship Id="rIdc4len7hnmtwk5ru_acabu" Type="http://schemas.openxmlformats.org/officeDocument/2006/relationships/hyperlink" Target="https://www.frontiersin.org/journals/big-data/articles/10.3389/fdata.2024.1469981/full" TargetMode="External"/><Relationship Id="rIdeumokzcpq3x0oqvz_ycng" Type="http://schemas.openxmlformats.org/officeDocument/2006/relationships/hyperlink" Target="https://pmc.ncbi.nlm.nih.gov/articles/PMC10529319/" TargetMode="External"/><Relationship Id="rId5e30pcjf_ixs-nb6mdpi6" Type="http://schemas.openxmlformats.org/officeDocument/2006/relationships/hyperlink" Target="https://pmc.ncbi.nlm.nih.gov/articles/PMC12308079/" TargetMode="External"/><Relationship Id="rId0wql2xgkjraugvfejrs-b" Type="http://schemas.openxmlformats.org/officeDocument/2006/relationships/hyperlink" Target="https://www.academia.edu/122301726/" TargetMode="External"/><Relationship Id="rIdr92mwyfou-qgheqv8zo26" Type="http://schemas.openxmlformats.org/officeDocument/2006/relationships/hyperlink" Target="https://archive.ics.uci.edu/dataset/544/estimation+of+obesity+levels+based+on+eating+habits+and+physical+condition" TargetMode="External"/><Relationship Id="rIdt1wk-5vp8xdg-u8k-pavg" Type="http://schemas.openxmlformats.org/officeDocument/2006/relationships/hyperlink" Target="https://www.sciencedirect.com/science/article/pii/S2352340919306985" TargetMode="External"/><Relationship Id="rIdwxri-dm604amhqlutlzps" Type="http://schemas.openxmlformats.org/officeDocument/2006/relationships/hyperlink" Target="https://pubmed.ncbi.nlm.nih.gov/31467953/" TargetMode="External"/><Relationship Id="rIdyuycbkuvzzvmjzwkg5ckx" Type="http://schemas.openxmlformats.org/officeDocument/2006/relationships/hyperlink" Target="https://www.sciencedirect.com/science/article/pii/S2352914822000521" TargetMode="External"/><Relationship Id="rIdmlnkksigu0h9ykds-s8ne" Type="http://schemas.openxmlformats.org/officeDocument/2006/relationships/hyperlink" Target="https://www.frontiersin.org/journals/big-data/articles/10.3389/fdata.2024.1469981/full" TargetMode="External"/><Relationship Id="rIdjrsa9osjoavu_qrwk2w7s" Type="http://schemas.openxmlformats.org/officeDocument/2006/relationships/hyperlink" Target="https://pmc.ncbi.nlm.nih.gov/articles/PMC10529319/" TargetMode="External"/><Relationship Id="rId356wyqmw9rz_fhuikd9hh" Type="http://schemas.openxmlformats.org/officeDocument/2006/relationships/hyperlink" Target="https://pmc.ncbi.nlm.nih.gov/articles/PMC12308079/" TargetMode="External"/><Relationship Id="rIdyxr1jdt_bxfkqqauzpupa" Type="http://schemas.openxmlformats.org/officeDocument/2006/relationships/hyperlink" Target="https://stacyy.medium.com/itp-449-exploratory-data-analysis-project-obesity-levels-based-on-eating-habits-and-physical-82fa10775c2e" TargetMode="External"/><Relationship Id="rIdqlrwy2rmsysweqev2eguv" Type="http://schemas.openxmlformats.org/officeDocument/2006/relationships/hyperlink" Target="https://www.mdpi.com/2075-4418/13/18/2949"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2026-09-22T16:12:42.997Z</dcterms:created>
  <dcterms:modified xsi:type="dcterms:W3CDTF">2026-09-22T16:12:42.998Z</dcterms:modified>
</cp:coreProperties>
</file>

<file path=docProps/custom.xml><?xml version="1.0" encoding="utf-8"?>
<Properties xmlns="http://schemas.openxmlformats.org/officeDocument/2006/custom-properties" xmlns:vt="http://schemas.openxmlformats.org/officeDocument/2006/docPropsVTypes"/>
</file>