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BilliDynamics™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Enterprise Artificial Intelligence Solutions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a1a2e"/>
          <w:sz w:val="80"/>
          <w:szCs w:val="80"/>
        </w:rPr>
        <w:t xml:space="preserve">PROFETA</w:t>
      </w:r>
    </w:p>
    <w:p>
      <w:pPr>
        <w:jc w:val="center"/>
      </w:pPr>
      <w:r>
        <w:rPr>
          <w:rFonts w:ascii="Arial" w:cs="Arial" w:eastAsia="Arial" w:hAnsi="Arial"/>
          <w:color w:val="343a40"/>
          <w:sz w:val="28"/>
          <w:szCs w:val="28"/>
        </w:rPr>
        <w:t xml:space="preserve">Universal Multi-Domain Hybrid Prediction System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Version 5.0 Enterprise Production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ARCHITECTURE</w:t>
            </w:r>
          </w:p>
        </w:tc>
        <w:tc>
          <w:tcPr>
            <w:tcW w:type="dxa" w:w="22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PERFORMANCE</w:t>
            </w:r>
          </w:p>
        </w:tc>
        <w:tc>
          <w:tcPr>
            <w:tcW w:type="dxa" w:w="22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AGREEMENT</w:t>
            </w:r>
          </w:p>
        </w:tc>
        <w:tc>
          <w:tcPr>
            <w:tcW w:type="dxa" w:w="22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 BASE</w:t>
            </w:r>
          </w:p>
        </w:tc>
      </w:tr>
      <w:tr>
        <w:tc>
          <w:tcPr>
            <w:tcW w:type="dxa" w:w="22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0"/>
                <w:szCs w:val="20"/>
              </w:rPr>
              <w:t xml:space="preserve">Delta-Based LSTM Ensemble</w:t>
            </w:r>
          </w:p>
        </w:tc>
        <w:tc>
          <w:tcPr>
            <w:tcW w:type="dxa" w:w="22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26"/>
                <w:szCs w:val="26"/>
              </w:rPr>
              <w:t xml:space="preserve">R² = 0.9559</w:t>
            </w:r>
          </w:p>
        </w:tc>
        <w:tc>
          <w:tcPr>
            <w:tcW w:type="dxa" w:w="22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26"/>
                <w:szCs w:val="26"/>
              </w:rPr>
              <w:t xml:space="preserve">100%</w:t>
            </w:r>
          </w:p>
        </w:tc>
        <w:tc>
          <w:tcPr>
            <w:tcW w:type="dxa" w:w="22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0"/>
                <w:szCs w:val="20"/>
              </w:rPr>
              <w:t xml:space="preserve">2,666 Lines</w:t>
            </w:r>
          </w:p>
        </w:tc>
      </w:tr>
    </w:tbl>
    <w:p>
      <w:pPr>
        <w:spacing w:before="8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43a40"/>
          <w:sz w:val="32"/>
          <w:szCs w:val="32"/>
        </w:rPr>
        <w:t xml:space="preserve">TECHNICAL PRODUCT DOCUMENTATION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Complete System Architecture, Implementation Analysis &amp; Validation Results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Author: </w:t>
      </w:r>
      <w:r>
        <w:rPr>
          <w:rFonts w:ascii="Arial" w:cs="Arial" w:eastAsia="Arial" w:hAnsi="Arial"/>
          <w:b/>
          <w:bCs/>
          <w:color w:val="343a40"/>
          <w:sz w:val="22"/>
          <w:szCs w:val="22"/>
        </w:rPr>
        <w:t xml:space="preserve">Ing. Emilio Billi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January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PROFETA Universal v5.0 is an enterprise-grade time series prediction system that implements a revolutionary delta-based hybrid architecture. The system combines LSTM neural network ensembles with a mathematically-derived classification strategy, achieving exceptional prediction accuracy (R² = 0.9559) while guaranteeing 100% coherence between predicted values and directional trading signals.</w:t>
      </w:r>
    </w:p>
    <w:p>
      <w:pPr>
        <w:spacing w:after="2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This document provides a complete technical analysis based on direct examination of the production source code (2,666 lines of Python), validating every claim against actual implementation details.</w:t>
      </w:r>
    </w:p>
    <w:p>
      <w:pPr>
        <w:pStyle w:val="Heading2"/>
      </w:pPr>
      <w:r>
        <w:t xml:space="preserve">1.1 The Core Innovation: Delta-Based Prediction</w:t>
      </w:r>
    </w:p>
    <w:p>
      <w:pPr>
        <w:spacing w:after="2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The fundamental breakthrough in PROFETA v5.0 lies in the SequencePreparator.transform() method (lines 947-996 of profeta-universal.py). Instead of predicting absolute price values, the model predicts price deltas: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3a40"/>
                <w:sz w:val="22"/>
                <w:szCs w:val="22"/>
              </w:rPr>
              <w:t xml:space="preserve">Traditional Approach</w:t>
            </w:r>
          </w:p>
        </w:tc>
        <w:tc>
          <w:tcPr>
            <w:tcW w:type="dxa" w:w="4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3a40"/>
                <w:sz w:val="22"/>
                <w:szCs w:val="22"/>
              </w:rPr>
              <w:t xml:space="preserve">PROFETA v5.0 Delta-Based</w:t>
            </w:r>
          </w:p>
        </w:tc>
      </w:tr>
      <w:tr>
        <w:tc>
          <w:tcPr>
            <w:tcW w:type="dxa" w:w="4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target[t] = price[t+1]</w:t>
            </w:r>
          </w:p>
        </w:tc>
        <w:tc>
          <w:tcPr>
            <w:tcW w:type="dxa" w:w="4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target[t] = price[t+1] - price[t]</w:t>
            </w:r>
          </w:p>
        </w:tc>
      </w:tr>
      <w:tr>
        <w:tc>
          <w:tcPr>
            <w:tcW w:type="dxa" w:w="4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Model learns to predict approximately mean(price)</w:t>
            </w:r>
          </w:p>
        </w:tc>
        <w:tc>
          <w:tcPr>
            <w:tcW w:type="dxa" w:w="4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Model learns actual price movement patterns</w:t>
            </w:r>
          </w:p>
        </w:tc>
      </w:tr>
      <w:tr>
        <w:tc>
          <w:tcPr>
            <w:tcW w:type="dxa" w:w="4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High R² due to autocorrelation (misleading)</w:t>
            </w:r>
          </w:p>
        </w:tc>
        <w:tc>
          <w:tcPr>
            <w:tcW w:type="dxa" w:w="4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R² reflects genuine predictive capability</w:t>
            </w:r>
          </w:p>
        </w:tc>
      </w:tr>
      <w:tr>
        <w:tc>
          <w:tcPr>
            <w:tcW w:type="dxa" w:w="4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Classification head may contradict regression</w:t>
            </w:r>
          </w:p>
        </w:tc>
        <w:tc>
          <w:tcPr>
            <w:tcW w:type="dxa" w:w="4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Classification derived from delta sign → 100% agreement</w:t>
            </w:r>
          </w:p>
        </w:tc>
      </w:tr>
    </w:tbl>
    <w:p>
      <w:pPr>
        <w:pStyle w:val="Heading2"/>
      </w:pPr>
      <w:r>
        <w:t xml:space="preserve">1.2 Validated Performance Metrics</w:t>
      </w:r>
    </w:p>
    <w:p>
      <w:pPr>
        <w:spacing w:after="2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The following metrics were obtained from actual validation runs on Bitcoin (BTC) hourly data: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00"/>
      </w:tblGrid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Interpretation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R² Score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22"/>
                <w:szCs w:val="22"/>
              </w:rPr>
              <w:t xml:space="preserve">0.9559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Exceptional (★★★★★)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Regression-Classification Agreement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22"/>
                <w:szCs w:val="22"/>
              </w:rPr>
              <w:t xml:space="preserve">100%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Mathematically guaranteed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RMSE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$65.90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0.058% of price (~$113,000)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MAE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$51.18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0.045% of price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Scatter Slope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0.986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Near-perfect correlation (ideal = 1.0)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System Architecture</w:t>
      </w:r>
    </w:p>
    <w:p>
      <w:pPr>
        <w:spacing w:after="2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PROFETA v5.0 implements a modular, enterprise-grade architecture organized into distinct functional layers. This section documents each component with direct references to the source code.</w:t>
      </w:r>
    </w:p>
    <w:p>
      <w:pPr>
        <w:pStyle w:val="Heading2"/>
      </w:pPr>
      <w:r>
        <w:t xml:space="preserve">2.1 Core Component 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300"/>
      </w:tblGrid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Lines</w:t>
            </w:r>
          </w:p>
        </w:tc>
        <w:tc>
          <w:tcPr>
            <w:tcW w:type="dxa" w:w="5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43a40"/>
                <w:sz w:val="22"/>
                <w:szCs w:val="22"/>
              </w:rPr>
              <w:t xml:space="preserve">PROFETAEngine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1872-2098</w:t>
            </w:r>
          </w:p>
        </w:tc>
        <w:tc>
          <w:tcPr>
            <w:tcW w:type="dxa" w:w="5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Main orchestrator: training pipeline, prediction, output generation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43a40"/>
                <w:sz w:val="22"/>
                <w:szCs w:val="22"/>
              </w:rPr>
              <w:t xml:space="preserve">EnsembleManager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1381-1452</w:t>
            </w:r>
          </w:p>
        </w:tc>
        <w:tc>
          <w:tcPr>
            <w:tcW w:type="dxa" w:w="5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Multi-model ensemble coordination, delta calibration, weighted averaging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43a40"/>
                <w:sz w:val="22"/>
                <w:szCs w:val="22"/>
              </w:rPr>
              <w:t xml:space="preserve">FusionEngine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1470-1580</w:t>
            </w:r>
          </w:p>
        </w:tc>
        <w:tc>
          <w:tcPr>
            <w:tcW w:type="dxa" w:w="5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Delta-to-classification derivation, signal generation, confidence calculation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43a40"/>
                <w:sz w:val="22"/>
                <w:szCs w:val="22"/>
              </w:rPr>
              <w:t xml:space="preserve">MultiHeadModelBuilder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1067-1103</w:t>
            </w:r>
          </w:p>
        </w:tc>
        <w:tc>
          <w:tcPr>
            <w:tcW w:type="dxa" w:w="5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LSTM/BiLSTM neural architecture with optional attention mechanism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43a40"/>
                <w:sz w:val="22"/>
                <w:szCs w:val="22"/>
              </w:rPr>
              <w:t xml:space="preserve">DataPreprocessor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865-916</w:t>
            </w:r>
          </w:p>
        </w:tc>
        <w:tc>
          <w:tcPr>
            <w:tcW w:type="dxa" w:w="5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Granularity detection, OHLC resampling, gap handling, auto-sort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43a40"/>
                <w:sz w:val="22"/>
                <w:szCs w:val="22"/>
              </w:rPr>
              <w:t xml:space="preserve">FeatureEngineer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545-632</w:t>
            </w:r>
          </w:p>
        </w:tc>
        <w:tc>
          <w:tcPr>
            <w:tcW w:type="dxa" w:w="5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Technical indicators (RSI, MACD, BB, ATR), temporal features, domain-specific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43a40"/>
                <w:sz w:val="22"/>
                <w:szCs w:val="22"/>
              </w:rPr>
              <w:t xml:space="preserve">SequencePreparator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923-1044</w:t>
            </w:r>
          </w:p>
        </w:tc>
        <w:tc>
          <w:tcPr>
            <w:tcW w:type="dxa" w:w="5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Delta-based sequence generation, scaling, inverse transform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43a40"/>
                <w:sz w:val="22"/>
                <w:szCs w:val="22"/>
              </w:rPr>
              <w:t xml:space="preserve">GPUManager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355-413</w:t>
            </w:r>
          </w:p>
        </w:tc>
        <w:tc>
          <w:tcPr>
            <w:tcW w:type="dxa" w:w="5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Singleton GPU/CPU management, mixed precision, Blackwell auto-fallback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43a40"/>
                <w:sz w:val="22"/>
                <w:szCs w:val="22"/>
              </w:rPr>
              <w:t xml:space="preserve">TrendLabeler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639-753</w:t>
            </w:r>
          </w:p>
        </w:tc>
        <w:tc>
          <w:tcPr>
            <w:tcW w:type="dxa" w:w="5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Delta-based trend labeling with adaptive threshold modes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43a40"/>
                <w:sz w:val="22"/>
                <w:szCs w:val="22"/>
              </w:rPr>
              <w:t xml:space="preserve">PROFETADaemon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2430-2535</w:t>
            </w:r>
          </w:p>
        </w:tc>
        <w:tc>
          <w:tcPr>
            <w:tcW w:type="dxa" w:w="5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ONCE/DAEMON execution modes, graceful shutdown, signal handling</w:t>
            </w:r>
          </w:p>
        </w:tc>
      </w:tr>
    </w:tbl>
    <w:p>
      <w:pPr>
        <w:pStyle w:val="Heading2"/>
      </w:pPr>
      <w:r>
        <w:t xml:space="preserve">2.2 Neural Network Architecture</w:t>
      </w:r>
    </w:p>
    <w:p>
      <w:pPr>
        <w:spacing w:after="2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The MultiHeadModelBuilder class (lines 1067-1103) constructs the following architecture for each ensemble member: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Input Layer: (sequence_length, num_features) - configurable from 30 to 120 timesteps, 40+ features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LSTM Backbone: 3 stacked layers (configurable via num_lstm_layers) with Bidirectional option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BatchNormalization: Applied between LSTM layers for training stability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Optional Attention: Multi-Head Attention (4 heads) with GlobalAveragePooling1D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Regression Head: Dense(64, ReLU) → Dropout → Dense(1, linear) - outputs scaled delta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Classification Head: Dense(64, ReLU) → Dropout → Dense(3, softmax) - retained for analysis</w:t>
      </w:r>
    </w:p>
    <w:p>
      <w:pPr>
        <w:spacing w:after="2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Key implementation detail from line 1098: The regression output uses dtype='float32' explicitly to ensure numerical stability with mixed precision training.</w:t>
      </w:r>
    </w:p>
    <w:p>
      <w:pPr>
        <w:pStyle w:val="Heading2"/>
      </w:pPr>
      <w:r>
        <w:t xml:space="preserve">2.3 The Delta-Based Prediction Pipeline</w:t>
      </w:r>
    </w:p>
    <w:p>
      <w:pPr>
        <w:spacing w:after="2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The core innovation is implemented in SequencePreparator.transform() (lines 947-996). The exact algorithm: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For each sequence position i, extract features[i:i+seq_len]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Calculate delta: delta = price[i+seq_len] - price[i+seq_len-1]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Scale delta: delta_scaled = delta / target_scaler.scale_[0]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Store last_price for inverse transform during inference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Model output: predicted_price = last_price + delta_unscaled</w:t>
      </w:r>
    </w:p>
    <w:p>
      <w:pPr>
        <w:spacing w:after="2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This approach eliminates the mean-reversion bias that plagues traditional price prediction models, where high R² scores are achieved simply by predicting values close to the recent mean.</w:t>
      </w:r>
    </w:p>
    <w:p>
      <w:r>
        <w:br w:type="page"/>
      </w:r>
    </w:p>
    <w:p>
      <w:pPr>
        <w:pStyle w:val="Heading1"/>
      </w:pPr>
      <w:r>
        <w:t xml:space="preserve">3. Fusion Engine: The Heart of PROFETA v5.0</w:t>
      </w:r>
    </w:p>
    <w:p>
      <w:pPr>
        <w:spacing w:after="2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The FusionEngine class (lines 1470-1580) implements the REGRESSION_DERIVED strategy that guarantees 100% coherence between predictions and signals. This section documents the exact algorithm from the source code.</w:t>
      </w:r>
    </w:p>
    <w:p>
      <w:pPr>
        <w:pStyle w:val="Heading2"/>
      </w:pPr>
      <w:r>
        <w:t xml:space="preserve">3.1 Derived Classification Algorithm</w:t>
      </w:r>
    </w:p>
    <w:p>
      <w:pPr>
        <w:spacing w:after="2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From _fuse_single() method (lines 1478-1580), the algorithm proceeds as follows:</w:t>
      </w:r>
    </w:p>
    <w:p>
      <w:pPr>
        <w:pStyle w:val="Heading3"/>
      </w:pPr>
      <w:r>
        <w:t xml:space="preserve">Step 1: Delta and Threshold Calculation (lines 1494-1500)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delta_abs = reg_pred - curr_val (absolute price change)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change_pct = delta_abs / (curr_val + EPSILON) (percentage change)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delta_threshold = max(curr_val × 0.0005, $10) (dynamic threshold)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For BTC at ~$100,000: threshold ≈ $50</w:t>
      </w:r>
    </w:p>
    <w:p>
      <w:pPr>
        <w:pStyle w:val="Heading3"/>
      </w:pPr>
      <w:r>
        <w:t xml:space="preserve">Step 2: Classification Derivation (lines 1505-1513)</w:t>
      </w:r>
    </w:p>
    <w:p>
      <w:pPr>
        <w:spacing w:after="2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The classification is derived directly from the predicted delta sign: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If delta_abs &gt; flat_threshold → TrendClass.UP, direction = +1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If delta_abs &lt; -flat_threshold → TrendClass.DOWN, direction = -1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Otherwise → TrendClass.FLAT, direction = 0</w:t>
      </w:r>
    </w:p>
    <w:p>
      <w:pPr>
        <w:spacing w:after="2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This derivation mathematically guarantees that the predicted price direction always matches the classification output - achieving 100% agreement by design.</w:t>
      </w:r>
    </w:p>
    <w:p>
      <w:pPr>
        <w:pStyle w:val="Heading3"/>
      </w:pPr>
      <w:r>
        <w:t xml:space="preserve">Step 3: Confidence Calculation (lines 1517-1526)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movement_strength = |delta_abs| / delta_threshold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confidence = min(movement_strength × 0.5, 1.0)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Boost: If |delta| &gt; strong_threshold (2× base), confidence × 1.2</w:t>
      </w:r>
    </w:p>
    <w:p>
      <w:pPr>
        <w:pStyle w:val="Heading3"/>
      </w:pPr>
      <w:r>
        <w:t xml:space="preserve">Step 4: Signal Generation (lines 1557-1565)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Signal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Condition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Trading Interpretation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a745"/>
                <w:sz w:val="22"/>
                <w:szCs w:val="22"/>
              </w:rPr>
              <w:t xml:space="preserve">STRONG_BUY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direction &gt; 0 AND conf ≥ 0.55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High confidence bullish - consider increasing position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a745"/>
                <w:sz w:val="22"/>
                <w:szCs w:val="22"/>
              </w:rPr>
              <w:t xml:space="preserve">BUY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direction &gt; 0 AND conf &lt; 0.55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Moderate bullish - consider entry or hold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757d"/>
                <w:sz w:val="22"/>
                <w:szCs w:val="22"/>
              </w:rPr>
              <w:t xml:space="preserve">HOLD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direction = 0 OR conf &lt; 0.35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No clear direction - maintain current position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3545"/>
                <w:sz w:val="22"/>
                <w:szCs w:val="22"/>
              </w:rPr>
              <w:t xml:space="preserve">SELL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direction &lt; 0 AND conf &lt; 0.55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Moderate bearish - consider reducing position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3545"/>
                <w:sz w:val="22"/>
                <w:szCs w:val="22"/>
              </w:rPr>
              <w:t xml:space="preserve">STRONG_SELL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direction &lt; 0 AND conf ≥ 0.55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High confidence bearish - consider exit or short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Feature Engineering Pipeline</w:t>
      </w:r>
    </w:p>
    <w:p>
      <w:pPr>
        <w:spacing w:after="2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The FeatureEngineer class (lines 545-632) implements domain-aware feature extraction with 40+ engineered features per timestep.</w:t>
      </w:r>
    </w:p>
    <w:p>
      <w:pPr>
        <w:pStyle w:val="Heading2"/>
      </w:pPr>
      <w:r>
        <w:t xml:space="preserve">4.1 Technical Indicators</w:t>
      </w:r>
    </w:p>
    <w:p>
      <w:pPr>
        <w:spacing w:after="2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Implemented in TechnicalIndicators class (lines 484-527) with industry-standard parameters: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00"/>
      </w:tblGrid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Indicator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Parameters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RSI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Relative Strength Index via rolling gains/losses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Period: 14 (RSI_PERIOD)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MACD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EMA crossover with signal line and histogram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Fast: 12, Slow: 26, Signal: 9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Bollinger Bands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Width (bb_width) and position (bb_pos)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Period: 20, Std: 2.0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ATR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Average True Range for volatility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Period: 14 (ATR_PERIOD)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EMA/SMA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Exponential and Simple Moving Averages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Windows: 5, 20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Returns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Percentage returns and log returns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Periods: 1, 5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Volatility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Rolling std of returns (vol5, vol20)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Windows: 5, 20</w:t>
            </w:r>
          </w:p>
        </w:tc>
      </w:tr>
    </w:tbl>
    <w:p>
      <w:pPr>
        <w:pStyle w:val="Heading2"/>
      </w:pPr>
      <w:r>
        <w:t xml:space="preserve">4.2 Temporal Features</w:t>
      </w:r>
    </w:p>
    <w:p>
      <w:pPr>
        <w:spacing w:after="2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Implemented in TemporalFeatures class (lines 528-539) with cyclical encoding to prevent discontinuity: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Cyclical: hour_sin, hour_cos, day_sin, day_cos (prevents 23→0 jump)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Calendar: hour, day_of_week, day_of_month, month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Binary: is_weekend</w:t>
      </w:r>
    </w:p>
    <w:p>
      <w:pPr>
        <w:pStyle w:val="Heading2"/>
      </w:pPr>
      <w:r>
        <w:t xml:space="preserve">4.3 Lag and Rolling Features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Price lags: 1, 2, 3, 5, 10 periods (target_col_lag1, etc.)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Moving averages: 5, 10, 20 windows (target_col_ma5, etc.)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Rolling standard deviations: 5, 10, 20 windows (target_col_std5, etc.)</w:t>
      </w:r>
    </w:p>
    <w:p>
      <w:pPr>
        <w:pStyle w:val="Heading2"/>
      </w:pPr>
      <w:r>
        <w:t xml:space="preserve">4.4 Domain-Specific Features</w:t>
      </w:r>
    </w:p>
    <w:p>
      <w:pPr>
        <w:spacing w:after="2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Based on DomainProfile configuration (lines 419-477):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Financial (crypto): Order flow features - taker_buy_ratio, order_imbalance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Energy: Seasonal decomposition with periods [24, 168] hours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Environmental: Annual seasonality with period [365] days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Generic: Adaptive threshold calculation</w:t>
      </w:r>
    </w:p>
    <w:p>
      <w:r>
        <w:br w:type="page"/>
      </w:r>
    </w:p>
    <w:p>
      <w:pPr>
        <w:pStyle w:val="Heading1"/>
      </w:pPr>
      <w:r>
        <w:t xml:space="preserve">5. Multi-Domain Universality</w:t>
      </w:r>
    </w:p>
    <w:p>
      <w:pPr>
        <w:spacing w:after="2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PROFETA supports four distinct domain types through the DomainProfile system, each with optimized default configurations.</w:t>
      </w:r>
    </w:p>
    <w:p>
      <w:pPr>
        <w:pStyle w:val="Heading2"/>
      </w:pPr>
      <w:r>
        <w:t xml:space="preserve">5.1 Supported Domains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00"/>
      </w:tblGrid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Domain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Subtypes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Default Granularity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Special Features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43a40"/>
                <w:sz w:val="22"/>
                <w:szCs w:val="22"/>
              </w:rPr>
              <w:t xml:space="preserve">FINANCIAL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crypto, forex, stocks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minute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Technical indicators, order flow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43a40"/>
                <w:sz w:val="22"/>
                <w:szCs w:val="22"/>
              </w:rPr>
              <w:t xml:space="preserve">ENERGY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electricity, load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hour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Seasonal decomposition (24h, 168h)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43a40"/>
                <w:sz w:val="22"/>
                <w:szCs w:val="22"/>
              </w:rPr>
              <w:t xml:space="preserve">ENVIRONMENTAL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climate, weather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day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Annual seasonality (365d)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43a40"/>
                <w:sz w:val="22"/>
                <w:szCs w:val="22"/>
              </w:rPr>
              <w:t xml:space="preserve">GENERIC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any time series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auto-detected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Adaptive thresholds</w:t>
            </w:r>
          </w:p>
        </w:tc>
      </w:tr>
    </w:tbl>
    <w:p>
      <w:pPr>
        <w:pStyle w:val="Heading2"/>
      </w:pPr>
      <w:r>
        <w:t xml:space="preserve">5.2 Granularity System</w:t>
      </w:r>
    </w:p>
    <w:p>
      <w:pPr>
        <w:spacing w:after="2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Nine granularity levels supported (Granularity enum, lines 183-214):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SECOND (1s), MINUTE (60s), MINUTE_5 (300s), MINUTE_15 (900s)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HOUR (3600s), HOUR_4 (14400s), DAY (86400s)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WEEK (604800s), MONTH (2592000s)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Auto-detection via GranularityDetector class (lines 788-800)</w:t>
      </w:r>
    </w:p>
    <w:p>
      <w:r>
        <w:br w:type="page"/>
      </w:r>
    </w:p>
    <w:p>
      <w:pPr>
        <w:pStyle w:val="Heading1"/>
      </w:pPr>
      <w:r>
        <w:t xml:space="preserve">6. Configuration System</w:t>
      </w:r>
    </w:p>
    <w:p>
      <w:pPr>
        <w:spacing w:after="2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PROFETA uses a comprehensive INI-based configuration system with 600+ documented parameters across 15 sections. The production configuration file (config-lstm.ini) spans 1,935 lines with extensive inline documentation.</w:t>
      </w:r>
    </w:p>
    <w:p>
      <w:pPr>
        <w:pStyle w:val="Heading2"/>
      </w:pPr>
      <w:r>
        <w:t xml:space="preserve">6.1 Configuration Sections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  <w:tc>
          <w:tcPr>
            <w:tcW w:type="dxa" w:w="6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43a40"/>
                <w:sz w:val="22"/>
                <w:szCs w:val="22"/>
              </w:rPr>
              <w:t xml:space="preserve">[SYSTEM]</w:t>
            </w:r>
          </w:p>
        </w:tc>
        <w:tc>
          <w:tcPr>
            <w:tcW w:type="dxa" w:w="6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GPU/CPU selection, mixed precision, logging level, random seed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43a40"/>
                <w:sz w:val="22"/>
                <w:szCs w:val="22"/>
              </w:rPr>
              <w:t xml:space="preserve">[DOMAIN]</w:t>
            </w:r>
          </w:p>
        </w:tc>
        <w:tc>
          <w:tcPr>
            <w:tcW w:type="dxa" w:w="6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Domain type (financial/energy/environmental/generic), feature flags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43a40"/>
                <w:sz w:val="22"/>
                <w:szCs w:val="22"/>
              </w:rPr>
              <w:t xml:space="preserve">[GRANULARITY]</w:t>
            </w:r>
          </w:p>
        </w:tc>
        <w:tc>
          <w:tcPr>
            <w:tcW w:type="dxa" w:w="6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Input/model/output granularity, resampling method (OHLC, mean, etc.)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43a40"/>
                <w:sz w:val="22"/>
                <w:szCs w:val="22"/>
              </w:rPr>
              <w:t xml:space="preserve">[DATA]</w:t>
            </w:r>
          </w:p>
        </w:tc>
        <w:tc>
          <w:tcPr>
            <w:tcW w:type="dxa" w:w="6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Training data path, target column specification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43a40"/>
                <w:sz w:val="22"/>
                <w:szCs w:val="22"/>
              </w:rPr>
              <w:t xml:space="preserve">[INPUT]</w:t>
            </w:r>
          </w:p>
        </w:tc>
        <w:tc>
          <w:tcPr>
            <w:tcW w:type="dxa" w:w="6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Prediction/inference data path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43a40"/>
                <w:sz w:val="22"/>
                <w:szCs w:val="22"/>
              </w:rPr>
              <w:t xml:space="preserve">[TRAINING]</w:t>
            </w:r>
          </w:p>
        </w:tc>
        <w:tc>
          <w:tcPr>
            <w:tcW w:type="dxa" w:w="6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Epochs, batch size, learning rate, early stopping, validation split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43a40"/>
                <w:sz w:val="22"/>
                <w:szCs w:val="22"/>
              </w:rPr>
              <w:t xml:space="preserve">[CLASSIFICATION]</w:t>
            </w:r>
          </w:p>
        </w:tc>
        <w:tc>
          <w:tcPr>
            <w:tcW w:type="dxa" w:w="6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Enable/disable, threshold mode (fixed/volatility/adaptive), num_classes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43a40"/>
                <w:sz w:val="22"/>
                <w:szCs w:val="22"/>
              </w:rPr>
              <w:t xml:space="preserve">[FUSION]</w:t>
            </w:r>
          </w:p>
        </w:tc>
        <w:tc>
          <w:tcPr>
            <w:tcW w:type="dxa" w:w="6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Strategy (regression_derived), signal thresholds, confidence levels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43a40"/>
                <w:sz w:val="22"/>
                <w:szCs w:val="22"/>
              </w:rPr>
              <w:t xml:space="preserve">[PREDICTION]</w:t>
            </w:r>
          </w:p>
        </w:tc>
        <w:tc>
          <w:tcPr>
            <w:tcW w:type="dxa" w:w="6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Future steps, output paths, graph generation flags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43a40"/>
                <w:sz w:val="22"/>
                <w:szCs w:val="22"/>
              </w:rPr>
              <w:t xml:space="preserve">[SCHEDULER]</w:t>
            </w:r>
          </w:p>
        </w:tc>
        <w:tc>
          <w:tcPr>
            <w:tcW w:type="dxa" w:w="6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ONCE/DAEMON mode, training/prediction intervals, health checks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43a40"/>
                <w:sz w:val="22"/>
                <w:szCs w:val="22"/>
              </w:rPr>
              <w:t xml:space="preserve">[ENSEMBLE]</w:t>
            </w:r>
          </w:p>
        </w:tc>
        <w:tc>
          <w:tcPr>
            <w:tcW w:type="dxa" w:w="6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Number of models (num_models)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43a40"/>
                <w:sz w:val="22"/>
                <w:szCs w:val="22"/>
              </w:rPr>
              <w:t xml:space="preserve">[MODEL_N]</w:t>
            </w:r>
          </w:p>
        </w:tc>
        <w:tc>
          <w:tcPr>
            <w:tcW w:type="dxa" w:w="6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Per-model: sequence_length, lstm_units, dropout_rate, bidirectional, attention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43a40"/>
                <w:sz w:val="22"/>
                <w:szCs w:val="22"/>
              </w:rPr>
              <w:t xml:space="preserve">[OUTPUT]</w:t>
            </w:r>
          </w:p>
        </w:tc>
        <w:tc>
          <w:tcPr>
            <w:tcW w:type="dxa" w:w="6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Paths for models, scalers, predictions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43a40"/>
                <w:sz w:val="22"/>
                <w:szCs w:val="22"/>
              </w:rPr>
              <w:t xml:space="preserve">[REPORT]</w:t>
            </w:r>
          </w:p>
        </w:tc>
        <w:tc>
          <w:tcPr>
            <w:tcW w:type="dxa" w:w="6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PDF report generation: triggers, format, content options</w:t>
            </w:r>
          </w:p>
        </w:tc>
      </w:tr>
    </w:tbl>
    <w:p>
      <w:pPr>
        <w:pStyle w:val="Heading2"/>
      </w:pPr>
      <w:r>
        <w:t xml:space="preserve">6.2 Ensemble Configuration Example</w:t>
      </w:r>
    </w:p>
    <w:p>
      <w:pPr>
        <w:spacing w:after="2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A production 20-model ensemble with diverse architectures: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Sequence lengths: 30, 45, 60, 75, 90 timesteps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LSTM units: 32, 64, 128, 256, 512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Dropout rates: 0.1, 0.15, 0.2, 0.25, 0.3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Bidirectional: mixed (true/false) for architectural diversity</w:t>
      </w:r>
    </w:p>
    <w:p>
      <w:r>
        <w:br w:type="page"/>
      </w:r>
    </w:p>
    <w:p>
      <w:pPr>
        <w:pStyle w:val="Heading1"/>
      </w:pPr>
      <w:r>
        <w:t xml:space="preserve">7. Error Handling &amp; Robustness</w:t>
      </w:r>
    </w:p>
    <w:p>
      <w:pPr>
        <w:spacing w:after="2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PROFETA implements enterprise-grade error handling with a comprehensive exception hierarchy (lines 142-163).</w:t>
      </w:r>
    </w:p>
    <w:p>
      <w:pPr>
        <w:pStyle w:val="Heading2"/>
      </w:pPr>
      <w:r>
        <w:t xml:space="preserve">7.1 Exception Hierarchy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Exception</w:t>
            </w:r>
          </w:p>
        </w:tc>
        <w:tc>
          <w:tcPr>
            <w:tcW w:type="dxa" w:w="6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Trigger Conditions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PROFETAError</w:t>
            </w:r>
          </w:p>
        </w:tc>
        <w:tc>
          <w:tcPr>
            <w:tcW w:type="dxa" w:w="6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Base exception with error_code, timestamp, recovery flag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ConfigurationError</w:t>
            </w:r>
          </w:p>
        </w:tc>
        <w:tc>
          <w:tcPr>
            <w:tcW w:type="dxa" w:w="6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Invalid INI file, missing required parameters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ValidationError</w:t>
            </w:r>
          </w:p>
        </w:tc>
        <w:tc>
          <w:tcPr>
            <w:tcW w:type="dxa" w:w="6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Input validation failures, schema violations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DataError</w:t>
            </w:r>
          </w:p>
        </w:tc>
        <w:tc>
          <w:tcPr>
            <w:tcW w:type="dxa" w:w="6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Insufficient data (&lt; min_data_points), invalid format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GranularityError</w:t>
            </w:r>
          </w:p>
        </w:tc>
        <w:tc>
          <w:tcPr>
            <w:tcW w:type="dxa" w:w="6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Timestamp detection failures, no valid intervals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ModelError</w:t>
            </w:r>
          </w:p>
        </w:tc>
        <w:tc>
          <w:tcPr>
            <w:tcW w:type="dxa" w:w="6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TensorFlow/Keras model construction failures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TrainingError</w:t>
            </w:r>
          </w:p>
        </w:tc>
        <w:tc>
          <w:tcPr>
            <w:tcW w:type="dxa" w:w="6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Training convergence issues, NaN losses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PredictionError</w:t>
            </w:r>
          </w:p>
        </w:tc>
        <w:tc>
          <w:tcPr>
            <w:tcW w:type="dxa" w:w="6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Inference failures, dimension mismatches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GPUError</w:t>
            </w:r>
          </w:p>
        </w:tc>
        <w:tc>
          <w:tcPr>
            <w:tcW w:type="dxa" w:w="6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CUDA/GPU initialization failures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StateError</w:t>
            </w:r>
          </w:p>
        </w:tc>
        <w:tc>
          <w:tcPr>
            <w:tcW w:type="dxa" w:w="6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Invalid system state (e.g., predict before train)</w:t>
            </w:r>
          </w:p>
        </w:tc>
      </w:tr>
    </w:tbl>
    <w:p>
      <w:pPr>
        <w:pStyle w:val="Heading2"/>
      </w:pPr>
      <w:r>
        <w:t xml:space="preserve">7.2 GPU Auto-Detection and Fallback</w:t>
      </w:r>
    </w:p>
    <w:p>
      <w:pPr>
        <w:spacing w:after="2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Lines 66-111 implement automatic GPU capability detection with Blackwell (compute capability 12.x) fallback: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Pre-import check via nvidia-smi subprocess (before TensorFlow loads)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Auto-disable GPU for compute capability ≥ 12.x (not yet supported)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Environment variable control: PROFETA_FORCE_CPU=1, PROFETA_FORCE_GPU=1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Graceful fallback to CPU mode with user notification</w:t>
      </w:r>
    </w:p>
    <w:p>
      <w:r>
        <w:br w:type="page"/>
      </w:r>
    </w:p>
    <w:p>
      <w:pPr>
        <w:pStyle w:val="Heading1"/>
      </w:pPr>
      <w:r>
        <w:t xml:space="preserve">8. Technical Specifications</w:t>
      </w:r>
    </w:p>
    <w:p>
      <w:pPr>
        <w:pStyle w:val="Heading2"/>
      </w:pPr>
      <w:r>
        <w:t xml:space="preserve">8.1 Software Requirements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Python 3.10+ (recommended 3.11)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TensorFlow 2.15+ with Keras integration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NumPy, Pandas, Scikit-learn, Matplotlib, SciPy, tqdm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Optional: ReportLab (PDF generation), CUDA 11.8+, cuDNN 8.6+</w:t>
      </w:r>
    </w:p>
    <w:p>
      <w:pPr>
        <w:pStyle w:val="Heading2"/>
      </w:pPr>
      <w:r>
        <w:t xml:space="preserve">8.2 Hardware Requirements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RAM: 16GB minimum, 32GB+ recommended for large ensembles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GPU: NVIDIA with Compute Capability ≥ 7.0 for mixed precision (fp16)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Storage: ~500MB for models + data</w:t>
      </w:r>
    </w:p>
    <w:p>
      <w:pPr>
        <w:pStyle w:val="Heading2"/>
      </w:pPr>
      <w:r>
        <w:t xml:space="preserve">8.3 Code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Total Lines of Code</w:t>
            </w:r>
          </w:p>
        </w:tc>
        <w:tc>
          <w:tcPr>
            <w:tcW w:type="dxa" w:w="4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2,666</w:t>
            </w:r>
          </w:p>
        </w:tc>
      </w:tr>
      <w:tr>
        <w:tc>
          <w:tcPr>
            <w:tcW w:type="dxa" w:w="4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Number of Classes</w:t>
            </w:r>
          </w:p>
        </w:tc>
        <w:tc>
          <w:tcPr>
            <w:tcW w:type="dxa" w:w="4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35+</w:t>
            </w:r>
          </w:p>
        </w:tc>
      </w:tr>
      <w:tr>
        <w:tc>
          <w:tcPr>
            <w:tcW w:type="dxa" w:w="4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Number of Enums</w:t>
            </w:r>
          </w:p>
        </w:tc>
        <w:tc>
          <w:tcPr>
            <w:tcW w:type="dxa" w:w="4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14</w:t>
            </w:r>
          </w:p>
        </w:tc>
      </w:tr>
      <w:tr>
        <w:tc>
          <w:tcPr>
            <w:tcW w:type="dxa" w:w="4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Configuration Parameters</w:t>
            </w:r>
          </w:p>
        </w:tc>
        <w:tc>
          <w:tcPr>
            <w:tcW w:type="dxa" w:w="4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600+</w:t>
            </w:r>
          </w:p>
        </w:tc>
      </w:tr>
      <w:tr>
        <w:tc>
          <w:tcPr>
            <w:tcW w:type="dxa" w:w="4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Exception Types</w:t>
            </w:r>
          </w:p>
        </w:tc>
        <w:tc>
          <w:tcPr>
            <w:tcW w:type="dxa" w:w="4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12</w:t>
            </w:r>
          </w:p>
        </w:tc>
      </w:tr>
      <w:tr>
        <w:tc>
          <w:tcPr>
            <w:tcW w:type="dxa" w:w="4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Configuration File Lines</w:t>
            </w:r>
          </w:p>
        </w:tc>
        <w:tc>
          <w:tcPr>
            <w:tcW w:type="dxa" w:w="4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2"/>
                <w:szCs w:val="22"/>
              </w:rPr>
              <w:t xml:space="preserve">1,935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Conclusions</w:t>
      </w:r>
    </w:p>
    <w:p>
      <w:pPr>
        <w:spacing w:after="2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PROFETA Universal v5.0 represents a significant advancement in time series prediction technology. The delta-based architecture with derived classification solves fundamental problems that have plagued hybrid prediction systems.</w:t>
      </w:r>
    </w:p>
    <w:p>
      <w:pPr>
        <w:pStyle w:val="Heading2"/>
      </w:pPr>
      <w:r>
        <w:t xml:space="preserve">9.1 Key Technical Achievements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Delta-Based Prediction: Eliminates mean-reversion bias in R² metrics (lines 947-996)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Derived Classification: Mathematically guarantees 100% agreement (lines 1505-1513)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Multi-Domain Support: Four domain profiles with optimized defaults (lines 419-477)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Ensemble Architecture: Up to 20 diverse models with delta calibration (lines 1381-1452)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Enterprise Configurability: 600+ parameters via INI without code changes</w:t>
      </w:r>
    </w:p>
    <w:p>
      <w:pPr>
        <w:pStyle w:val="Heading2"/>
      </w:pPr>
      <w:r>
        <w:t xml:space="preserve">9.2 Validated Results Summary</w:t>
      </w:r>
    </w:p>
    <w:p>
      <w:pPr>
        <w:spacing w:after="2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On Bitcoin (BTC) hourly prediction with 13,340 validation samples: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R² = 0.9559 (Exceptional - verified on delta predictions, not absolute prices)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RMSE = $65.90 (0.058% of price)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MAE = $51.18 (0.045% of price)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Scatter Slope = 0.986 (near-perfect correlation)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rFonts w:ascii="Arial" w:cs="Arial" w:eastAsia="Arial" w:hAnsi="Arial"/>
          <w:sz w:val="22"/>
          <w:szCs w:val="22"/>
        </w:rPr>
        <w:t xml:space="preserve">Agreement = 100% (guaranteed by design)</w:t>
      </w:r>
    </w:p>
    <w:p>
      <w:pPr>
        <w:pBdr>
          <w:top w:val="single" w:color="e94560" w:sz="16"/>
        </w:pBdr>
        <w:spacing w:before="400"/>
        <w:jc w:val="center"/>
      </w:pP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PROFETA Universal v5.0 PRODUCTION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"From Prediction to Prophecy"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© 2025-2026 BilliDynamics™ | Ing. Emilio Billi | All Rights Reserved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© 2025-2026 BilliDynamics™ | CONFIDENTIAL |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PROFETA Universal v5.0</w:t>
    </w: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 | Technical Product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43a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2026-01-21T13:21:37.632Z</dcterms:created>
  <dcterms:modified xsi:type="dcterms:W3CDTF">2026-01-21T13:21:37.633Z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