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40"/>
        </w:rPr>
        <w:t>SDGScenes Strong Baseline Relation Grounding Experiment Handoff</w:t>
      </w:r>
    </w:p>
    <w:p>
      <w:pPr>
        <w:spacing w:after="120"/>
      </w:pPr>
      <w:r>
        <w:rPr>
          <w:rFonts w:ascii="Microsoft YaHei" w:hAnsi="Microsoft YaHei" w:eastAsia="Microsoft YaHei"/>
          <w:color w:val="555555"/>
          <w:sz w:val="22"/>
        </w:rPr>
        <w:t>SOTA 防御性对比 + AutoDL 云端运行记录 | RTX PRO 6000 / 96GB | 2026-07-11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一句话结论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本实验包把主 claim 锚定在 InstructScene 同协议 final-layout relation grounding；ReSpace / SDGScenes 作为 SOTA 防御性对比，只有在 split、输入、输出表示和 evaluator 可对齐时才进入数值 direct comparison，否则进入 protocol / feasibility 表。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0. 当前状态摘要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Field</w:t>
            </w:r>
          </w:p>
        </w:tc>
        <w:tc>
          <w:tcPr>
            <w:tcW w:type="dxa" w:w="706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Value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Cloud instance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AutoDL, SSH target connect.westd.seetacloud.com:47607; password intentionally omitted.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Observed GPU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NVIDIA RTX PRO 6000 Blackwell Server Edition, 97,887 MiB VRAM; driver 595.58.03; CUDA shown by driver 13.2.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Base image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Requested PyTorch 2.1.2 image. Base torch is 2.1.2+cu118 and warns it is incompatible with Blackwell sm_120.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Runtime decision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Preserve base-image provenance; create a separate relation-sdg runtime with a Blackwell-compatible PyTorch wheel source for actual GPU experiments.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Cloud workspace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/root/autodl-tmp/rg-sota-cloud with provenance, logs, repos, datasets, outputs, artifacts, and scripts subfolders.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DeepSeek / Claude Code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Claude Code install planned. DeepSeek configuration is skipped until the API key is entered on the cloud machine; no key is stored in this document.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Raw-data policy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Raw 3D-FRONT / 3D-FUTURE / SSR-3DFRONT assets stay on data disk or approved storage; GitHub receives code, manifests, summary CSV/MD, and small figures only.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1. 实验目标和 claim 边界</w:t>
      </w:r>
    </w:p>
    <w:p>
      <w:pPr>
        <w:pStyle w:val="ListBullet"/>
      </w:pPr>
      <w:r>
        <w:rPr>
          <w:rFonts w:ascii="Microsoft YaHei" w:hAnsi="Microsoft YaHei" w:eastAsia="Microsoft YaHei"/>
        </w:rPr>
        <w:t>主论文 claim：在 official InstructScene validation protocol 下，提升 final realized relation grounding accuracy，并报告 movement / collision / overlap / OOB / runtime。</w:t>
      </w:r>
    </w:p>
    <w:p>
      <w:pPr>
        <w:pStyle w:val="ListBullet"/>
      </w:pPr>
      <w:r>
        <w:rPr>
          <w:rFonts w:ascii="Microsoft YaHei" w:hAnsi="Microsoft YaHei" w:eastAsia="Microsoft YaHei"/>
        </w:rPr>
        <w:t>SOTA 部分采用防御性分层：能公平复现同协议的给数值；不能对齐协议的给 protocol analysis、feasibility log 和 reproducibility boundary。</w:t>
      </w:r>
    </w:p>
    <w:p>
      <w:pPr>
        <w:pStyle w:val="ListBullet"/>
      </w:pPr>
      <w:r>
        <w:rPr>
          <w:rFonts w:ascii="Microsoft YaHei" w:hAnsi="Microsoft YaHei" w:eastAsia="Microsoft YaHei"/>
        </w:rPr>
        <w:t>不 claim outperform ReSpace / SDGScenes，不 claim text-driven 3D scene generation SOTA，不 claim universal visual quality improvement。</w:t>
      </w:r>
    </w:p>
    <w:p>
      <w:pPr>
        <w:pStyle w:val="ListBullet"/>
      </w:pPr>
      <w:r>
        <w:rPr>
          <w:rFonts w:ascii="Microsoft YaHei" w:hAnsi="Microsoft YaHei" w:eastAsia="Microsoft YaHei"/>
        </w:rPr>
        <w:t>若其他生成器输出 object category + translation + size + yaw，则 verifier-repair 可作为 plug-in final-layout grounding layer 测试。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2. 同协议主实验表（待 CSV 回填）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2100"/>
        <w:gridCol w:w="1250"/>
        <w:gridCol w:w="1250"/>
        <w:gridCol w:w="1650"/>
        <w:gridCol w:w="1010"/>
      </w:tblGrid>
      <w:tr>
        <w:tc>
          <w:tcPr>
            <w:tcW w:type="dxa" w:w="210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Method</w:t>
            </w:r>
          </w:p>
        </w:tc>
        <w:tc>
          <w:tcPr>
            <w:tcW w:type="dxa" w:w="210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Protocol</w:t>
            </w:r>
          </w:p>
        </w:tc>
        <w:tc>
          <w:tcPr>
            <w:tcW w:type="dxa" w:w="125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Relation Acc.</w:t>
            </w:r>
          </w:p>
        </w:tc>
        <w:tc>
          <w:tcPr>
            <w:tcW w:type="dxa" w:w="125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Movement</w:t>
            </w:r>
          </w:p>
        </w:tc>
        <w:tc>
          <w:tcPr>
            <w:tcW w:type="dxa" w:w="165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Collision / Overlap</w:t>
            </w:r>
          </w:p>
        </w:tc>
        <w:tc>
          <w:tcPr>
            <w:tcW w:type="dxa" w:w="101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Status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InstructScene official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Same split / same evaluator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0.000m</w:t>
            </w:r>
          </w:p>
        </w:tc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0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Direct baseline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Ours: Floor-Prior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Same split / same evaluator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0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Primary result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Ours: collision-gated Floor-Prior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Same split / same evaluator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0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Mesh-validity claim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Random / local move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Same split / same evaluator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0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Control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Constraint optimization baseline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Same split / same evaluator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0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Control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Oracle parser upper bound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Same split / same evaluator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TBD</w:t>
            </w:r>
          </w:p>
        </w:tc>
        <w:tc>
          <w:tcPr>
            <w:tcW w:type="dxa" w:w="10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Upper bound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3. SOTA protocol comparison table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50"/>
        <w:gridCol w:w="1850"/>
        <w:gridCol w:w="1850"/>
        <w:gridCol w:w="1700"/>
        <w:gridCol w:w="1300"/>
        <w:gridCol w:w="1310"/>
      </w:tblGrid>
      <w:tr>
        <w:tc>
          <w:tcPr>
            <w:tcW w:type="dxa" w:w="135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Method</w:t>
            </w:r>
          </w:p>
        </w:tc>
        <w:tc>
          <w:tcPr>
            <w:tcW w:type="dxa" w:w="185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Input / Dataset</w:t>
            </w:r>
          </w:p>
        </w:tc>
        <w:tc>
          <w:tcPr>
            <w:tcW w:type="dxa" w:w="185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Output representation</w:t>
            </w:r>
          </w:p>
        </w:tc>
        <w:tc>
          <w:tcPr>
            <w:tcW w:type="dxa" w:w="170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Relation supervision</w:t>
            </w:r>
          </w:p>
        </w:tc>
        <w:tc>
          <w:tcPr>
            <w:tcW w:type="dxa" w:w="130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Direct comparable?</w:t>
            </w:r>
          </w:p>
        </w:tc>
        <w:tc>
          <w:tcPr>
            <w:tcW w:type="dxa" w:w="131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Fair status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InstructScene</w:t>
            </w:r>
          </w:p>
        </w:tc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Existing validation protocol</w:t>
            </w:r>
          </w:p>
        </w:tc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Layout objects + bbox-level geometry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Instruction relation grounding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Yes</w:t>
            </w:r>
          </w:p>
        </w:tc>
        <w:tc>
          <w:tcPr>
            <w:tcW w:type="dxa" w:w="13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Numerical baseline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ReSpace</w:t>
            </w:r>
          </w:p>
        </w:tc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Text-driven autoregressive editing; SSR-3DFRONT</w:t>
            </w:r>
          </w:p>
        </w:tc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3D indoor scene layout/edit output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Text-conditioned relations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Only if split/metrics align</w:t>
            </w:r>
          </w:p>
        </w:tc>
        <w:tc>
          <w:tcPr>
            <w:tcW w:type="dxa" w:w="1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Feasibility + possible plug-in test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SDGScenes</w:t>
            </w:r>
          </w:p>
        </w:tc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Semantic dependency graph + VLM constraints</w:t>
            </w:r>
          </w:p>
        </w:tc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Constraint-optimized scene layout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Graph / constraint satisfaction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Only if official code/data align</w:t>
            </w:r>
          </w:p>
        </w:tc>
        <w:tc>
          <w:tcPr>
            <w:tcW w:type="dxa" w:w="1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Defensive strong baseline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RelScene</w:t>
            </w:r>
          </w:p>
        </w:tc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Relation benchmark reference</w:t>
            </w:r>
          </w:p>
        </w:tc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Benchmark/evaluator-oriented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Spatial relation evaluation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Reference only</w:t>
            </w:r>
          </w:p>
        </w:tc>
        <w:tc>
          <w:tcPr>
            <w:tcW w:type="dxa" w:w="13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Metric design context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CommonScenes-like</w:t>
            </w:r>
          </w:p>
        </w:tc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Scene generation variants</w:t>
            </w:r>
          </w:p>
        </w:tc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Usually protocol-specific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Varies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No by default</w:t>
            </w:r>
          </w:p>
        </w:tc>
        <w:tc>
          <w:tcPr>
            <w:tcW w:type="dxa" w:w="13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Protocol analysis only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4. ReSpace feasibility track</w:t>
      </w:r>
    </w:p>
    <w:p>
      <w:pPr>
        <w:pStyle w:val="ListBullet"/>
      </w:pPr>
      <w:r>
        <w:rPr>
          <w:rFonts w:ascii="Microsoft YaHei" w:hAnsi="Microsoft YaHei" w:eastAsia="Microsoft YaHei"/>
        </w:rPr>
        <w:t>先确认 official model release、SSR-3DFRONT sample、inference command 是否无障碍可跑。</w:t>
      </w:r>
    </w:p>
    <w:p>
      <w:pPr>
        <w:pStyle w:val="ListBullet"/>
      </w:pPr>
      <w:r>
        <w:rPr>
          <w:rFonts w:ascii="Microsoft YaHei" w:hAnsi="Microsoft YaHei" w:eastAsia="Microsoft YaHei"/>
        </w:rPr>
        <w:t>若可跑：执行 small smoke test，转换输出到 category / translation / size / yaw，并计算 relation satisfaction、VBL、collision / overlap 指标。</w:t>
      </w:r>
    </w:p>
    <w:p>
      <w:pPr>
        <w:pStyle w:val="ListBullet"/>
      </w:pPr>
      <w:r>
        <w:rPr>
          <w:rFonts w:ascii="Microsoft YaHei" w:hAnsi="Microsoft YaHei" w:eastAsia="Microsoft YaHei"/>
        </w:rPr>
        <w:t>若输出可转 layout：把 verifier-repair 作为 plug-in 后处理层跑在 ReSpace output 上，证明方法可插拔。</w:t>
      </w:r>
    </w:p>
    <w:p>
      <w:pPr>
        <w:pStyle w:val="ListBullet"/>
      </w:pPr>
      <w:r>
        <w:rPr>
          <w:rFonts w:ascii="Microsoft YaHei" w:hAnsi="Microsoft YaHei" w:eastAsia="Microsoft YaHei"/>
        </w:rPr>
        <w:t>若不可跑：只写 feasibility table，不进入 numerical ranking，不扩大 claim。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5. SDGScenes defensive strong baseline</w:t>
      </w:r>
    </w:p>
    <w:p>
      <w:pPr>
        <w:pStyle w:val="ListBullet"/>
      </w:pPr>
      <w:r>
        <w:rPr>
          <w:rFonts w:ascii="Microsoft YaHei" w:hAnsi="Microsoft YaHei" w:eastAsia="Microsoft YaHei"/>
        </w:rPr>
        <w:t>优先使用 official SDGScenes code/data；若无法无障碍复现，退化为 SDGScenes-style constraint optimization baseline，并清楚标注不是官方复现。</w:t>
      </w:r>
    </w:p>
    <w:p>
      <w:pPr>
        <w:pStyle w:val="ListBullet"/>
      </w:pPr>
      <w:r>
        <w:rPr>
          <w:rFonts w:ascii="Microsoft YaHei" w:hAnsi="Microsoft YaHei" w:eastAsia="Microsoft YaHei"/>
        </w:rPr>
        <w:t>若官方结果表可获得，只作为 reported-results context，不和我们的同协议数字放在同一个 ranking 表。</w:t>
      </w:r>
    </w:p>
    <w:p>
      <w:pPr>
        <w:pStyle w:val="ListBullet"/>
      </w:pPr>
      <w:r>
        <w:rPr>
          <w:rFonts w:ascii="Microsoft YaHei" w:hAnsi="Microsoft YaHei" w:eastAsia="Microsoft YaHei"/>
        </w:rPr>
        <w:t>实验文案中承认 SDGScenes 是更完整的 user-intent / constraint system；我们的独特性是 fixed pretrained InstructScene 下 final-layout grounding repair。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6. 云端运行和归档清单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50"/>
        <w:gridCol w:w="1900"/>
        <w:gridCol w:w="1600"/>
        <w:gridCol w:w="3310"/>
      </w:tblGrid>
      <w:tr>
        <w:tc>
          <w:tcPr>
            <w:tcW w:type="dxa" w:w="255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Path / Artifact</w:t>
            </w:r>
          </w:p>
        </w:tc>
        <w:tc>
          <w:tcPr>
            <w:tcW w:type="dxa" w:w="190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Keep where</w:t>
            </w:r>
          </w:p>
        </w:tc>
        <w:tc>
          <w:tcPr>
            <w:tcW w:type="dxa" w:w="160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GitHub status</w:t>
            </w:r>
          </w:p>
        </w:tc>
        <w:tc>
          <w:tcPr>
            <w:tcW w:type="dxa" w:w="331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Reason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provenance/instance_probe_*.txt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AutoDL + summarized copy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Commit summary only</w:t>
            </w:r>
          </w:p>
        </w:tc>
        <w:tc>
          <w:tcPr>
            <w:tcW w:type="dxa" w:w="3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Hardware/image provenance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logs/bootstrap_*.log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AutoDL raw archive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Commit redacted summary</w:t>
            </w:r>
          </w:p>
        </w:tc>
        <w:tc>
          <w:tcPr>
            <w:tcW w:type="dxa" w:w="3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Environment reproducibility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manifests/raw_data_manifest.tsv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AutoDL + GitHub if no restricted paths leak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Commit after review</w:t>
            </w:r>
          </w:p>
        </w:tc>
        <w:tc>
          <w:tcPr>
            <w:tcW w:type="dxa" w:w="33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Raw-data traceability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runs/*/metrics.csv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AutoDL + GitHub summary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Commit allowed if small</w:t>
            </w:r>
          </w:p>
        </w:tc>
        <w:tc>
          <w:tcPr>
            <w:tcW w:type="dxa" w:w="33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Experiment evidence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HTML gallery / rendered examples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AutoDL artifacts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Commit selected small gallery only</w:t>
            </w:r>
          </w:p>
        </w:tc>
        <w:tc>
          <w:tcPr>
            <w:tcW w:type="dxa" w:w="33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Visual QA evidence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raw 3D-FRONT / 3D-FUTURE files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Data disk / approved storage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Do not commit</w:t>
            </w:r>
          </w:p>
        </w:tc>
        <w:tc>
          <w:tcPr>
            <w:tcW w:type="dxa" w:w="3310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</w:rPr>
              <w:t>License and size risk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model checkpoints / npz caches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Data disk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Do not commit</w:t>
            </w:r>
          </w:p>
        </w:tc>
        <w:tc>
          <w:tcPr>
            <w:tcW w:type="dxa" w:w="3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Large or restricted artifacts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7. Claim policy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Allowed wording</w:t>
            </w:r>
          </w:p>
        </w:tc>
        <w:tc>
          <w:tcPr>
            <w:tcW w:type="dxa" w:w="4680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Blocked wording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Compared with official InstructScene output under the same validation protocol, our method improves final realized relation accuracy.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Outperforms ReSpace / SDGScenes.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ReSpace and SDGScenes are stronger related systems but use different protocols; they are non-direct SOTA references unless shared-protocol reproduction succeeds.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SOTA on text-driven 3D scene generation.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Verifier-repair can potentially serve as a plug-in final-layout grounding layer for generators that expose object layouts.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First relation-aware 3D scene generation method.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Visual quality evaluation found no systematic degradation under the tested sample and metrics.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Universal visual quality improvement or complete commonsense / reachability reasoning.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8. Next actions</w:t>
      </w:r>
    </w:p>
    <w:p>
      <w:pPr>
        <w:pStyle w:val="ListBullet"/>
      </w:pPr>
      <w:r>
        <w:rPr>
          <w:rFonts w:ascii="Microsoft YaHei" w:hAnsi="Microsoft YaHei" w:eastAsia="Microsoft YaHei"/>
        </w:rPr>
        <w:t>Finish AutoDL bootstrap; verify relation-sdg env with CUDA tensor smoke test on RTX PRO 6000.</w:t>
      </w:r>
    </w:p>
    <w:p>
      <w:pPr>
        <w:pStyle w:val="ListBullet"/>
      </w:pPr>
      <w:r>
        <w:rPr>
          <w:rFonts w:ascii="Microsoft YaHei" w:hAnsi="Microsoft YaHei" w:eastAsia="Microsoft YaHei"/>
        </w:rPr>
        <w:t>Authenticate GitHub on cloud via gh auth login and clone/sync the private experiment repository.</w:t>
      </w:r>
    </w:p>
    <w:p>
      <w:pPr>
        <w:pStyle w:val="ListBullet"/>
      </w:pPr>
      <w:r>
        <w:rPr>
          <w:rFonts w:ascii="Microsoft YaHei" w:hAnsi="Microsoft YaHei" w:eastAsia="Microsoft YaHei"/>
        </w:rPr>
        <w:t>Enter DeepSeek API key only on the cloud machine; then run Claude Code with the provided SDGScenes prompt.</w:t>
      </w:r>
    </w:p>
    <w:p>
      <w:pPr>
        <w:pStyle w:val="ListBullet"/>
      </w:pPr>
      <w:r>
        <w:rPr>
          <w:rFonts w:ascii="Microsoft YaHei" w:hAnsi="Microsoft YaHei" w:eastAsia="Microsoft YaHei"/>
        </w:rPr>
        <w:t>Run bedroom smoke test first, then bedroom/living/dining full runs only after split/seed/threshold/evaluator are fixed.</w:t>
      </w:r>
    </w:p>
    <w:p>
      <w:pPr>
        <w:pStyle w:val="ListBullet"/>
      </w:pPr>
      <w:r>
        <w:rPr>
          <w:rFonts w:ascii="Microsoft YaHei" w:hAnsi="Microsoft YaHei" w:eastAsia="Microsoft YaHei"/>
        </w:rPr>
        <w:t>After metrics CSV exists, regenerate this document with filled tables and attach it to the Notion cloud run log.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7777"/>
        <w:sz w:val="18"/>
      </w:rPr>
      <w:t>SDGScenes strong-baseline handoff - generated 2026-07-11 - no secrets included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