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Microsoft YaHei"/>
          <w:b/>
          <w:color w:val="0B2545"/>
          <w:sz w:val="40"/>
        </w:rPr>
        <w:t>SDGScenes Defensive Baseline · H800 Experiment Handoff</w:t>
      </w:r>
    </w:p>
    <w:p>
      <w:pPr>
        <w:spacing w:after="240"/>
      </w:pPr>
      <w:r>
        <w:rPr>
          <w:rFonts w:ascii="Calibri" w:hAnsi="Calibri" w:eastAsia="Microsoft YaHei"/>
          <w:b w:val="0"/>
          <w:color w:val="666666"/>
          <w:sz w:val="22"/>
        </w:rPr>
        <w:t>Relation Grounding SOTA 对比实验记录 / 2026-07-20</w:t>
      </w:r>
    </w:p>
    <w:tbl>
      <w:tblPr>
        <w:tblStyle w:val="TableGrid"/>
        <w:tblW w:type="auto" w:w="0"/>
        <w:jc w:val="left"/>
        <w:tblLayout w:type="fixed"/>
        <w:tblLook w:firstColumn="1" w:firstRow="1" w:lastColumn="0" w:lastRow="0" w:noHBand="0" w:noVBand="1" w:val="04A0"/>
      </w:tblPr>
      <w:tblGrid>
        <w:gridCol w:w="9360"/>
      </w:tblGrid>
      <w:tr>
        <w:tc>
          <w:tcPr>
            <w:tcW w:type="dxa" w:w="9360"/>
            <w:shd w:fill="F4F6F9"/>
            <w:tcMar>
              <w:top w:w="80" w:type="dxa"/>
              <w:start w:w="120" w:type="dxa"/>
              <w:bottom w:w="80" w:type="dxa"/>
              <w:end w:w="120" w:type="dxa"/>
            </w:tcMar>
            <w:vAlign w:val="center"/>
          </w:tcPr>
          <w:p>
            <w:r>
              <w:rPr>
                <w:rFonts w:ascii="Calibri" w:hAnsi="Calibri" w:eastAsia="Microsoft YaHei"/>
                <w:b/>
                <w:color w:val="1F4D78"/>
              </w:rPr>
              <w:t xml:space="preserve">结论先行： </w:t>
            </w:r>
            <w:r>
              <w:rPr>
                <w:rFonts w:ascii="Calibri" w:hAnsi="Calibri" w:eastAsia="Microsoft YaHei"/>
                <w:b w:val="0"/>
              </w:rPr>
              <w:t>已在 AutoDL H800 上跑完非官方 SDGScenes-inspired constrained-optimization defensive smoke baseline，生成 summary/per-scene/raw optimized layouts/metadata/report，并在云端仓库形成本地 commit。该结果只作为防御性内部 baseline，不作为官方 SDGScenes 复现或 SOTA ranking。</w:t>
            </w:r>
          </w:p>
        </w:tc>
      </w:tr>
    </w:tbl>
    <w:p>
      <w:pPr>
        <w:pStyle w:val="Heading1"/>
      </w:pPr>
      <w:r>
        <w:t>1. 实验定位与 claim 边界</w:t>
      </w:r>
    </w:p>
    <w:p>
      <w:r>
        <w:rPr>
          <w:rFonts w:ascii="Calibri" w:hAnsi="Calibri" w:eastAsia="Microsoft YaHei"/>
          <w:b w:val="0"/>
        </w:rPr>
        <w:t>本实验服务于 SOTA 防御性对比：当官方 SDGScenes 代码、数据、split、输出表示和 evaluator 不能与 InstructScene validation protocol 完全对齐时，不强行放入 direct ranking 表；同时提供一个可复现的 constrained-optimization 风格内部 baseline，说明 generic optimizer 在 final-layout relation grounding 上的能力边界。</w:t>
      </w:r>
    </w:p>
    <w:p>
      <w:pPr>
        <w:pStyle w:val="ListBullet"/>
        <w:spacing w:after="80"/>
      </w:pPr>
      <w:r>
        <w:rPr>
          <w:rFonts w:ascii="Calibri" w:hAnsi="Calibri" w:eastAsia="Microsoft YaHei"/>
          <w:b w:val="0"/>
        </w:rPr>
        <w:t>可 claim：Compared with the official InstructScene output under the same validation protocol, our method improves final realized relation accuracy.</w:t>
      </w:r>
    </w:p>
    <w:p>
      <w:pPr>
        <w:pStyle w:val="ListBullet"/>
        <w:spacing w:after="80"/>
      </w:pPr>
      <w:r>
        <w:rPr>
          <w:rFonts w:ascii="Calibri" w:hAnsi="Calibri" w:eastAsia="Microsoft YaHei"/>
          <w:b w:val="0"/>
        </w:rPr>
        <w:t>可 claim：SDGScenes is a stronger related user-intent/constraint system, but current numbers are protocol/context references unless shared-protocol reproduction succeeds.</w:t>
      </w:r>
    </w:p>
    <w:p>
      <w:pPr>
        <w:pStyle w:val="ListBullet"/>
        <w:spacing w:after="80"/>
      </w:pPr>
      <w:r>
        <w:rPr>
          <w:rFonts w:ascii="Calibri" w:hAnsi="Calibri" w:eastAsia="Microsoft YaHei"/>
          <w:b w:val="0"/>
        </w:rPr>
        <w:t>不可 claim：outperform SDGScenes、SOTA on text-driven 3D scene generation、official SDGScenes reproduction。</w:t>
      </w:r>
    </w:p>
    <w:p>
      <w:pPr>
        <w:pStyle w:val="Heading1"/>
      </w:pPr>
      <w:r>
        <w:t>2. 云端环境与运行状态</w:t>
      </w:r>
    </w:p>
    <w:tbl>
      <w:tblPr>
        <w:tblStyle w:val="TableGrid"/>
        <w:tblW w:type="auto" w:w="0"/>
        <w:jc w:val="left"/>
        <w:tblLayout w:type="fixed"/>
        <w:tblLook w:firstColumn="1" w:firstRow="1" w:lastColumn="0" w:lastRow="0" w:noHBand="0" w:noVBand="1" w:val="04A0"/>
      </w:tblPr>
      <w:tblGrid>
        <w:gridCol w:w="4680"/>
        <w:gridCol w:w="4680"/>
      </w:tblGrid>
      <w:tr>
        <w:tc>
          <w:tcPr>
            <w:tcW w:type="dxa" w:w="2376"/>
            <w:shd w:fill="F2F4F7"/>
            <w:tcMar>
              <w:top w:w="80" w:type="dxa"/>
              <w:start w:w="120" w:type="dxa"/>
              <w:bottom w:w="80" w:type="dxa"/>
              <w:end w:w="120" w:type="dxa"/>
            </w:tcMar>
            <w:vAlign w:val="center"/>
          </w:tcPr>
          <w:p>
            <w:r>
              <w:rPr>
                <w:rFonts w:ascii="Calibri" w:hAnsi="Calibri" w:eastAsia="Microsoft YaHei"/>
                <w:b/>
              </w:rPr>
              <w:t>字段</w:t>
            </w:r>
          </w:p>
        </w:tc>
        <w:tc>
          <w:tcPr>
            <w:tcW w:type="dxa" w:w="6984"/>
            <w:shd w:fill="F2F4F7"/>
            <w:tcMar>
              <w:top w:w="80" w:type="dxa"/>
              <w:start w:w="120" w:type="dxa"/>
              <w:bottom w:w="80" w:type="dxa"/>
              <w:end w:w="120" w:type="dxa"/>
            </w:tcMar>
            <w:vAlign w:val="center"/>
          </w:tcPr>
          <w:p>
            <w:r>
              <w:rPr>
                <w:rFonts w:ascii="Calibri" w:hAnsi="Calibri" w:eastAsia="Microsoft YaHei"/>
                <w:b/>
              </w:rPr>
              <w:t>内容</w:t>
            </w:r>
          </w:p>
        </w:tc>
      </w:tr>
      <w:tr>
        <w:tc>
          <w:tcPr>
            <w:tcW w:type="dxa" w:w="2376"/>
            <w:tcMar>
              <w:top w:w="80" w:type="dxa"/>
              <w:start w:w="120" w:type="dxa"/>
              <w:bottom w:w="80" w:type="dxa"/>
              <w:end w:w="120" w:type="dxa"/>
            </w:tcMar>
            <w:vAlign w:val="center"/>
          </w:tcPr>
          <w:p>
            <w:pPr>
              <w:spacing w:after="40"/>
            </w:pPr>
            <w:r>
              <w:rPr>
                <w:rFonts w:ascii="Calibri" w:hAnsi="Calibri" w:eastAsia="Microsoft YaHei"/>
                <w:b w:val="0"/>
              </w:rPr>
              <w:t>AutoDL GPU</w:t>
            </w:r>
          </w:p>
        </w:tc>
        <w:tc>
          <w:tcPr>
            <w:tcW w:type="dxa" w:w="6984"/>
            <w:tcMar>
              <w:top w:w="80" w:type="dxa"/>
              <w:start w:w="120" w:type="dxa"/>
              <w:bottom w:w="80" w:type="dxa"/>
              <w:end w:w="120" w:type="dxa"/>
            </w:tcMar>
            <w:vAlign w:val="center"/>
          </w:tcPr>
          <w:p>
            <w:pPr>
              <w:spacing w:after="40"/>
            </w:pPr>
            <w:r>
              <w:rPr>
                <w:rFonts w:ascii="Calibri" w:hAnsi="Calibri" w:eastAsia="Microsoft YaHei"/>
                <w:b w:val="0"/>
              </w:rPr>
              <w:t>NVIDIA H800 PCIe, 81,559 MiB VRAM</w:t>
            </w:r>
          </w:p>
        </w:tc>
      </w:tr>
      <w:tr>
        <w:tc>
          <w:tcPr>
            <w:tcW w:type="dxa" w:w="2376"/>
            <w:tcMar>
              <w:top w:w="80" w:type="dxa"/>
              <w:start w:w="120" w:type="dxa"/>
              <w:bottom w:w="80" w:type="dxa"/>
              <w:end w:w="120" w:type="dxa"/>
            </w:tcMar>
            <w:vAlign w:val="center"/>
          </w:tcPr>
          <w:p>
            <w:pPr>
              <w:spacing w:after="40"/>
            </w:pPr>
            <w:r>
              <w:rPr>
                <w:rFonts w:ascii="Calibri" w:hAnsi="Calibri" w:eastAsia="Microsoft YaHei"/>
                <w:b w:val="0"/>
              </w:rPr>
              <w:t>Runtime</w:t>
            </w:r>
          </w:p>
        </w:tc>
        <w:tc>
          <w:tcPr>
            <w:tcW w:type="dxa" w:w="6984"/>
            <w:tcMar>
              <w:top w:w="80" w:type="dxa"/>
              <w:start w:w="120" w:type="dxa"/>
              <w:bottom w:w="80" w:type="dxa"/>
              <w:end w:w="120" w:type="dxa"/>
            </w:tcMar>
            <w:vAlign w:val="center"/>
          </w:tcPr>
          <w:p>
            <w:pPr>
              <w:spacing w:after="40"/>
            </w:pPr>
            <w:r>
              <w:rPr>
                <w:rFonts w:ascii="Calibri" w:hAnsi="Calibri" w:eastAsia="Microsoft YaHei"/>
                <w:b w:val="0"/>
              </w:rPr>
              <w:t>torch==2.11.0+cu128; CUDA available=True; capability=[9, 0]</w:t>
            </w:r>
          </w:p>
        </w:tc>
      </w:tr>
      <w:tr>
        <w:tc>
          <w:tcPr>
            <w:tcW w:type="dxa" w:w="2376"/>
            <w:tcMar>
              <w:top w:w="80" w:type="dxa"/>
              <w:start w:w="120" w:type="dxa"/>
              <w:bottom w:w="80" w:type="dxa"/>
              <w:end w:w="120" w:type="dxa"/>
            </w:tcMar>
            <w:vAlign w:val="center"/>
          </w:tcPr>
          <w:p>
            <w:pPr>
              <w:spacing w:after="40"/>
            </w:pPr>
            <w:r>
              <w:rPr>
                <w:rFonts w:ascii="Calibri" w:hAnsi="Calibri" w:eastAsia="Microsoft YaHei"/>
                <w:b w:val="0"/>
              </w:rPr>
              <w:t>Cloud workspace</w:t>
            </w:r>
          </w:p>
        </w:tc>
        <w:tc>
          <w:tcPr>
            <w:tcW w:type="dxa" w:w="6984"/>
            <w:tcMar>
              <w:top w:w="80" w:type="dxa"/>
              <w:start w:w="120" w:type="dxa"/>
              <w:bottom w:w="80" w:type="dxa"/>
              <w:end w:w="120" w:type="dxa"/>
            </w:tcMar>
            <w:vAlign w:val="center"/>
          </w:tcPr>
          <w:p>
            <w:pPr>
              <w:spacing w:after="40"/>
            </w:pPr>
            <w:r>
              <w:rPr>
                <w:rFonts w:ascii="Calibri" w:hAnsi="Calibri" w:eastAsia="Microsoft YaHei"/>
                <w:b w:val="0"/>
              </w:rPr>
              <w:t>/root/autodl-tmp/rg-sota-cloud</w:t>
            </w:r>
          </w:p>
        </w:tc>
      </w:tr>
      <w:tr>
        <w:tc>
          <w:tcPr>
            <w:tcW w:type="dxa" w:w="2376"/>
            <w:tcMar>
              <w:top w:w="80" w:type="dxa"/>
              <w:start w:w="120" w:type="dxa"/>
              <w:bottom w:w="80" w:type="dxa"/>
              <w:end w:w="120" w:type="dxa"/>
            </w:tcMar>
            <w:vAlign w:val="center"/>
          </w:tcPr>
          <w:p>
            <w:pPr>
              <w:spacing w:after="40"/>
            </w:pPr>
            <w:r>
              <w:rPr>
                <w:rFonts w:ascii="Calibri" w:hAnsi="Calibri" w:eastAsia="Microsoft YaHei"/>
                <w:b w:val="0"/>
              </w:rPr>
              <w:t>Repo path</w:t>
            </w:r>
          </w:p>
        </w:tc>
        <w:tc>
          <w:tcPr>
            <w:tcW w:type="dxa" w:w="6984"/>
            <w:tcMar>
              <w:top w:w="80" w:type="dxa"/>
              <w:start w:w="120" w:type="dxa"/>
              <w:bottom w:w="80" w:type="dxa"/>
              <w:end w:w="120" w:type="dxa"/>
            </w:tcMar>
            <w:vAlign w:val="center"/>
          </w:tcPr>
          <w:p>
            <w:pPr>
              <w:spacing w:after="40"/>
            </w:pPr>
            <w:r>
              <w:rPr>
                <w:rFonts w:ascii="Calibri" w:hAnsi="Calibri" w:eastAsia="Microsoft YaHei"/>
                <w:b w:val="0"/>
              </w:rPr>
              <w:t>/root/autodl-tmp/rg-sota-cloud/repos/research_worldmodel</w:t>
            </w:r>
          </w:p>
        </w:tc>
      </w:tr>
      <w:tr>
        <w:tc>
          <w:tcPr>
            <w:tcW w:type="dxa" w:w="2376"/>
            <w:tcMar>
              <w:top w:w="80" w:type="dxa"/>
              <w:start w:w="120" w:type="dxa"/>
              <w:bottom w:w="80" w:type="dxa"/>
              <w:end w:w="120" w:type="dxa"/>
            </w:tcMar>
            <w:vAlign w:val="center"/>
          </w:tcPr>
          <w:p>
            <w:pPr>
              <w:spacing w:after="40"/>
            </w:pPr>
            <w:r>
              <w:rPr>
                <w:rFonts w:ascii="Calibri" w:hAnsi="Calibri" w:eastAsia="Microsoft YaHei"/>
                <w:b w:val="0"/>
              </w:rPr>
              <w:t>Branch</w:t>
            </w:r>
          </w:p>
        </w:tc>
        <w:tc>
          <w:tcPr>
            <w:tcW w:type="dxa" w:w="6984"/>
            <w:tcMar>
              <w:top w:w="80" w:type="dxa"/>
              <w:start w:w="120" w:type="dxa"/>
              <w:bottom w:w="80" w:type="dxa"/>
              <w:end w:w="120" w:type="dxa"/>
            </w:tcMar>
            <w:vAlign w:val="center"/>
          </w:tcPr>
          <w:p>
            <w:pPr>
              <w:spacing w:after="40"/>
            </w:pPr>
            <w:r>
              <w:rPr>
                <w:rFonts w:ascii="Calibri" w:hAnsi="Calibri" w:eastAsia="Microsoft YaHei"/>
                <w:b w:val="0"/>
              </w:rPr>
              <w:t>exp/sdgscenes-defensive-baseline-20260711</w:t>
            </w:r>
          </w:p>
        </w:tc>
      </w:tr>
      <w:tr>
        <w:tc>
          <w:tcPr>
            <w:tcW w:type="dxa" w:w="2376"/>
            <w:tcMar>
              <w:top w:w="80" w:type="dxa"/>
              <w:start w:w="120" w:type="dxa"/>
              <w:bottom w:w="80" w:type="dxa"/>
              <w:end w:w="120" w:type="dxa"/>
            </w:tcMar>
            <w:vAlign w:val="center"/>
          </w:tcPr>
          <w:p>
            <w:pPr>
              <w:spacing w:after="40"/>
            </w:pPr>
            <w:r>
              <w:rPr>
                <w:rFonts w:ascii="Calibri" w:hAnsi="Calibri" w:eastAsia="Microsoft YaHei"/>
                <w:b w:val="0"/>
              </w:rPr>
              <w:t>New commit</w:t>
            </w:r>
          </w:p>
        </w:tc>
        <w:tc>
          <w:tcPr>
            <w:tcW w:type="dxa" w:w="6984"/>
            <w:tcMar>
              <w:top w:w="80" w:type="dxa"/>
              <w:start w:w="120" w:type="dxa"/>
              <w:bottom w:w="80" w:type="dxa"/>
              <w:end w:w="120" w:type="dxa"/>
            </w:tcMar>
            <w:vAlign w:val="center"/>
          </w:tcPr>
          <w:p>
            <w:pPr>
              <w:spacing w:after="40"/>
            </w:pPr>
            <w:r>
              <w:rPr>
                <w:rFonts w:ascii="Calibri" w:hAnsi="Calibri" w:eastAsia="Microsoft YaHei"/>
                <w:b w:val="0"/>
              </w:rPr>
              <w:t>b7f1aab · Add SDGScenes-inspired defensive smoke baseline</w:t>
            </w:r>
          </w:p>
        </w:tc>
      </w:tr>
      <w:tr>
        <w:tc>
          <w:tcPr>
            <w:tcW w:type="dxa" w:w="2376"/>
            <w:tcMar>
              <w:top w:w="80" w:type="dxa"/>
              <w:start w:w="120" w:type="dxa"/>
              <w:bottom w:w="80" w:type="dxa"/>
              <w:end w:w="120" w:type="dxa"/>
            </w:tcMar>
            <w:vAlign w:val="center"/>
          </w:tcPr>
          <w:p>
            <w:pPr>
              <w:spacing w:after="40"/>
            </w:pPr>
            <w:r>
              <w:rPr>
                <w:rFonts w:ascii="Calibri" w:hAnsi="Calibri" w:eastAsia="Microsoft YaHei"/>
                <w:b w:val="0"/>
              </w:rPr>
              <w:t>Push status</w:t>
            </w:r>
          </w:p>
        </w:tc>
        <w:tc>
          <w:tcPr>
            <w:tcW w:type="dxa" w:w="6984"/>
            <w:tcMar>
              <w:top w:w="80" w:type="dxa"/>
              <w:start w:w="120" w:type="dxa"/>
              <w:bottom w:w="80" w:type="dxa"/>
              <w:end w:w="120" w:type="dxa"/>
            </w:tcMar>
            <w:vAlign w:val="center"/>
          </w:tcPr>
          <w:p>
            <w:pPr>
              <w:spacing w:after="40"/>
            </w:pPr>
            <w:r>
              <w:rPr>
                <w:rFonts w:ascii="Calibri" w:hAnsi="Calibri" w:eastAsia="Microsoft YaHei"/>
                <w:b w:val="0"/>
              </w:rPr>
              <w:t>AutoDL→GitHub push failed/stalled due TLS/network instability; patch/bundle/tarball exported locally.</w:t>
            </w:r>
          </w:p>
        </w:tc>
      </w:tr>
    </w:tbl>
    <w:p>
      <w:pPr>
        <w:pStyle w:val="Heading1"/>
      </w:pPr>
      <w:r>
        <w:t>3. 新增实验脚本与数据</w:t>
      </w:r>
    </w:p>
    <w:p>
      <w:r>
        <w:rPr>
          <w:rFonts w:ascii="Calibri" w:hAnsi="Calibri" w:eastAsia="Microsoft YaHei"/>
          <w:b w:val="0"/>
        </w:rPr>
        <w:t>新增脚本读取 archive 中的 InstructScene per-scene layout_boxes 和 repair_target_relations，优化 object x/z translation；保留 size、class、y translation、yaw。优化目标由 relation penalty、movement regularization、AABB footprint overlap penalty、OOB center penalty 组成。</w:t>
      </w:r>
    </w:p>
    <w:p>
      <w:pPr>
        <w:pStyle w:val="ListBullet"/>
        <w:spacing w:after="80"/>
      </w:pPr>
      <w:r>
        <w:rPr>
          <w:rFonts w:ascii="Calibri" w:hAnsi="Calibri" w:eastAsia="Microsoft YaHei"/>
          <w:b w:val="0"/>
        </w:rPr>
        <w:t>Input: experiment_archive/relation_aware_instructscene_20260530/local_results/full/{room}/relation_aware_parsed_p2_close0.75_far1.6_eval.json</w:t>
      </w:r>
    </w:p>
    <w:p>
      <w:pPr>
        <w:pStyle w:val="ListBullet"/>
        <w:spacing w:after="80"/>
      </w:pPr>
      <w:r>
        <w:rPr>
          <w:rFonts w:ascii="Calibri" w:hAnsi="Calibri" w:eastAsia="Microsoft YaHei"/>
          <w:b w:val="0"/>
        </w:rPr>
        <w:t>Output: summary.csv, per_scene.csv, optimized_layouts.json, run_metadata.json, sdgscenes_inspired_smoke_report.md</w:t>
      </w:r>
    </w:p>
    <w:p>
      <w:pPr>
        <w:pStyle w:val="ListBullet"/>
        <w:spacing w:after="80"/>
      </w:pPr>
      <w:r>
        <w:rPr>
          <w:rFonts w:ascii="Calibri" w:hAnsi="Calibri" w:eastAsia="Microsoft YaHei"/>
          <w:b w:val="0"/>
        </w:rPr>
        <w:t>Unsupported vertical relations above/below are passed through and not optimized.</w:t>
      </w:r>
    </w:p>
    <w:p>
      <w:pPr>
        <w:pStyle w:val="ListBullet"/>
        <w:spacing w:after="80"/>
      </w:pPr>
      <w:r>
        <w:rPr>
          <w:rFonts w:ascii="Calibri" w:hAnsi="Calibri" w:eastAsia="Microsoft YaHei"/>
          <w:b w:val="0"/>
        </w:rPr>
        <w:t>Collision proxy is AABB footprint overlap; this is not the FCL mesh evaluator.</w:t>
      </w:r>
    </w:p>
    <w:p>
      <w:pPr>
        <w:pStyle w:val="Heading1"/>
      </w:pPr>
      <w:r>
        <w:t>4. Smoke baseline numeric summary</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1656"/>
            <w:shd w:fill="F2F4F7"/>
            <w:tcMar>
              <w:top w:w="80" w:type="dxa"/>
              <w:start w:w="120" w:type="dxa"/>
              <w:bottom w:w="80" w:type="dxa"/>
              <w:end w:w="120" w:type="dxa"/>
            </w:tcMar>
            <w:vAlign w:val="center"/>
          </w:tcPr>
          <w:p>
            <w:pPr>
              <w:jc w:val="center"/>
            </w:pPr>
            <w:r>
              <w:rPr>
                <w:rFonts w:ascii="Calibri" w:hAnsi="Calibri" w:eastAsia="Microsoft YaHei"/>
                <w:b/>
                <w:sz w:val="19"/>
              </w:rPr>
              <w:t>room</w:t>
            </w:r>
          </w:p>
        </w:tc>
        <w:tc>
          <w:tcPr>
            <w:tcW w:type="dxa" w:w="1080"/>
            <w:shd w:fill="F2F4F7"/>
            <w:tcMar>
              <w:top w:w="80" w:type="dxa"/>
              <w:start w:w="120" w:type="dxa"/>
              <w:bottom w:w="80" w:type="dxa"/>
              <w:end w:w="120" w:type="dxa"/>
            </w:tcMar>
            <w:vAlign w:val="center"/>
          </w:tcPr>
          <w:p>
            <w:pPr>
              <w:jc w:val="center"/>
            </w:pPr>
            <w:r>
              <w:rPr>
                <w:rFonts w:ascii="Calibri" w:hAnsi="Calibri" w:eastAsia="Microsoft YaHei"/>
                <w:b/>
                <w:sz w:val="19"/>
              </w:rPr>
              <w:t>scenes</w:t>
            </w:r>
          </w:p>
        </w:tc>
        <w:tc>
          <w:tcPr>
            <w:tcW w:type="dxa" w:w="1152"/>
            <w:shd w:fill="F2F4F7"/>
            <w:tcMar>
              <w:top w:w="80" w:type="dxa"/>
              <w:start w:w="120" w:type="dxa"/>
              <w:bottom w:w="80" w:type="dxa"/>
              <w:end w:w="120" w:type="dxa"/>
            </w:tcMar>
            <w:vAlign w:val="center"/>
          </w:tcPr>
          <w:p>
            <w:pPr>
              <w:jc w:val="center"/>
            </w:pPr>
            <w:r>
              <w:rPr>
                <w:rFonts w:ascii="Calibri" w:hAnsi="Calibri" w:eastAsia="Microsoft YaHei"/>
                <w:b/>
                <w:sz w:val="19"/>
              </w:rPr>
              <w:t>targets</w:t>
            </w:r>
          </w:p>
        </w:tc>
        <w:tc>
          <w:tcPr>
            <w:tcW w:type="dxa" w:w="1152"/>
            <w:shd w:fill="F2F4F7"/>
            <w:tcMar>
              <w:top w:w="80" w:type="dxa"/>
              <w:start w:w="120" w:type="dxa"/>
              <w:bottom w:w="80" w:type="dxa"/>
              <w:end w:w="120" w:type="dxa"/>
            </w:tcMar>
            <w:vAlign w:val="center"/>
          </w:tcPr>
          <w:p>
            <w:pPr>
              <w:jc w:val="center"/>
            </w:pPr>
            <w:r>
              <w:rPr>
                <w:rFonts w:ascii="Calibri" w:hAnsi="Calibri" w:eastAsia="Microsoft YaHei"/>
                <w:b/>
                <w:sz w:val="19"/>
              </w:rPr>
              <w:t>before</w:t>
            </w:r>
          </w:p>
        </w:tc>
        <w:tc>
          <w:tcPr>
            <w:tcW w:type="dxa" w:w="1152"/>
            <w:shd w:fill="F2F4F7"/>
            <w:tcMar>
              <w:top w:w="80" w:type="dxa"/>
              <w:start w:w="120" w:type="dxa"/>
              <w:bottom w:w="80" w:type="dxa"/>
              <w:end w:w="120" w:type="dxa"/>
            </w:tcMar>
            <w:vAlign w:val="center"/>
          </w:tcPr>
          <w:p>
            <w:pPr>
              <w:jc w:val="center"/>
            </w:pPr>
            <w:r>
              <w:rPr>
                <w:rFonts w:ascii="Calibri" w:hAnsi="Calibri" w:eastAsia="Microsoft YaHei"/>
                <w:b/>
                <w:sz w:val="19"/>
              </w:rPr>
              <w:t>after</w:t>
            </w:r>
          </w:p>
        </w:tc>
        <w:tc>
          <w:tcPr>
            <w:tcW w:type="dxa" w:w="1152"/>
            <w:shd w:fill="F2F4F7"/>
            <w:tcMar>
              <w:top w:w="80" w:type="dxa"/>
              <w:start w:w="120" w:type="dxa"/>
              <w:bottom w:w="80" w:type="dxa"/>
              <w:end w:w="120" w:type="dxa"/>
            </w:tcMar>
            <w:vAlign w:val="center"/>
          </w:tcPr>
          <w:p>
            <w:pPr>
              <w:jc w:val="center"/>
            </w:pPr>
            <w:r>
              <w:rPr>
                <w:rFonts w:ascii="Calibri" w:hAnsi="Calibri" w:eastAsia="Microsoft YaHei"/>
                <w:b/>
                <w:sz w:val="19"/>
              </w:rPr>
              <w:t>gain</w:t>
            </w:r>
          </w:p>
        </w:tc>
        <w:tc>
          <w:tcPr>
            <w:tcW w:type="dxa" w:w="936"/>
            <w:shd w:fill="F2F4F7"/>
            <w:tcMar>
              <w:top w:w="80" w:type="dxa"/>
              <w:start w:w="120" w:type="dxa"/>
              <w:bottom w:w="80" w:type="dxa"/>
              <w:end w:w="120" w:type="dxa"/>
            </w:tcMar>
            <w:vAlign w:val="center"/>
          </w:tcPr>
          <w:p>
            <w:pPr>
              <w:jc w:val="center"/>
            </w:pPr>
            <w:r>
              <w:rPr>
                <w:rFonts w:ascii="Calibri" w:hAnsi="Calibri" w:eastAsia="Microsoft YaHei"/>
                <w:b/>
                <w:sz w:val="19"/>
              </w:rPr>
              <w:t>OOB Δ</w:t>
            </w:r>
          </w:p>
        </w:tc>
      </w:tr>
      <w:tr>
        <w:tc>
          <w:tcPr>
            <w:tcW w:type="dxa" w:w="1656"/>
            <w:tcMar>
              <w:top w:w="80" w:type="dxa"/>
              <w:start w:w="120" w:type="dxa"/>
              <w:bottom w:w="80" w:type="dxa"/>
              <w:end w:w="120" w:type="dxa"/>
            </w:tcMar>
            <w:vAlign w:val="center"/>
          </w:tcPr>
          <w:p>
            <w:pPr>
              <w:jc w:val="left"/>
            </w:pPr>
            <w:r>
              <w:rPr>
                <w:rFonts w:ascii="Calibri" w:hAnsi="Calibri" w:eastAsia="Microsoft YaHei"/>
                <w:b w:val="0"/>
                <w:sz w:val="19"/>
              </w:rPr>
              <w:t>bedroom</w:t>
            </w:r>
          </w:p>
        </w:tc>
        <w:tc>
          <w:tcPr>
            <w:tcW w:type="dxa" w:w="1080"/>
            <w:tcMar>
              <w:top w:w="80" w:type="dxa"/>
              <w:start w:w="120" w:type="dxa"/>
              <w:bottom w:w="80" w:type="dxa"/>
              <w:end w:w="120" w:type="dxa"/>
            </w:tcMar>
            <w:vAlign w:val="center"/>
          </w:tcPr>
          <w:p>
            <w:pPr>
              <w:jc w:val="center"/>
            </w:pPr>
            <w:r>
              <w:rPr>
                <w:rFonts w:ascii="Calibri" w:hAnsi="Calibri" w:eastAsia="Microsoft YaHei"/>
                <w:b w:val="0"/>
                <w:sz w:val="19"/>
              </w:rPr>
              <w:t>162</w:t>
            </w:r>
          </w:p>
        </w:tc>
        <w:tc>
          <w:tcPr>
            <w:tcW w:type="dxa" w:w="1152"/>
            <w:tcMar>
              <w:top w:w="80" w:type="dxa"/>
              <w:start w:w="120" w:type="dxa"/>
              <w:bottom w:w="80" w:type="dxa"/>
              <w:end w:w="120" w:type="dxa"/>
            </w:tcMar>
            <w:vAlign w:val="center"/>
          </w:tcPr>
          <w:p>
            <w:pPr>
              <w:jc w:val="center"/>
            </w:pPr>
            <w:r>
              <w:rPr>
                <w:rFonts w:ascii="Calibri" w:hAnsi="Calibri" w:eastAsia="Microsoft YaHei"/>
                <w:b w:val="0"/>
                <w:sz w:val="19"/>
              </w:rPr>
              <w:t>243</w:t>
            </w:r>
          </w:p>
        </w:tc>
        <w:tc>
          <w:tcPr>
            <w:tcW w:type="dxa" w:w="1152"/>
            <w:tcMar>
              <w:top w:w="80" w:type="dxa"/>
              <w:start w:w="120" w:type="dxa"/>
              <w:bottom w:w="80" w:type="dxa"/>
              <w:end w:w="120" w:type="dxa"/>
            </w:tcMar>
            <w:vAlign w:val="center"/>
          </w:tcPr>
          <w:p>
            <w:pPr>
              <w:jc w:val="center"/>
            </w:pPr>
            <w:r>
              <w:rPr>
                <w:rFonts w:ascii="Calibri" w:hAnsi="Calibri" w:eastAsia="Microsoft YaHei"/>
                <w:b w:val="0"/>
                <w:sz w:val="19"/>
              </w:rPr>
              <w:t>0.5885</w:t>
            </w:r>
          </w:p>
        </w:tc>
        <w:tc>
          <w:tcPr>
            <w:tcW w:type="dxa" w:w="1152"/>
            <w:tcMar>
              <w:top w:w="80" w:type="dxa"/>
              <w:start w:w="120" w:type="dxa"/>
              <w:bottom w:w="80" w:type="dxa"/>
              <w:end w:w="120" w:type="dxa"/>
            </w:tcMar>
            <w:vAlign w:val="center"/>
          </w:tcPr>
          <w:p>
            <w:pPr>
              <w:jc w:val="center"/>
            </w:pPr>
            <w:r>
              <w:rPr>
                <w:rFonts w:ascii="Calibri" w:hAnsi="Calibri" w:eastAsia="Microsoft YaHei"/>
                <w:b w:val="0"/>
                <w:sz w:val="19"/>
              </w:rPr>
              <w:t>0.8765</w:t>
            </w:r>
          </w:p>
        </w:tc>
        <w:tc>
          <w:tcPr>
            <w:tcW w:type="dxa" w:w="1152"/>
            <w:tcMar>
              <w:top w:w="80" w:type="dxa"/>
              <w:start w:w="120" w:type="dxa"/>
              <w:bottom w:w="80" w:type="dxa"/>
              <w:end w:w="120" w:type="dxa"/>
            </w:tcMar>
            <w:vAlign w:val="center"/>
          </w:tcPr>
          <w:p>
            <w:pPr>
              <w:jc w:val="center"/>
            </w:pPr>
            <w:r>
              <w:rPr>
                <w:rFonts w:ascii="Calibri" w:hAnsi="Calibri" w:eastAsia="Microsoft YaHei"/>
                <w:b/>
                <w:color w:val="1F3A5F"/>
                <w:sz w:val="19"/>
              </w:rPr>
              <w:t>+0.2881</w:t>
            </w:r>
          </w:p>
        </w:tc>
        <w:tc>
          <w:tcPr>
            <w:tcW w:type="dxa" w:w="936"/>
            <w:tcMar>
              <w:top w:w="80" w:type="dxa"/>
              <w:start w:w="120" w:type="dxa"/>
              <w:bottom w:w="80" w:type="dxa"/>
              <w:end w:w="120" w:type="dxa"/>
            </w:tcMar>
            <w:vAlign w:val="center"/>
          </w:tcPr>
          <w:p>
            <w:pPr>
              <w:jc w:val="center"/>
            </w:pPr>
            <w:r>
              <w:rPr>
                <w:rFonts w:ascii="Calibri" w:hAnsi="Calibri" w:eastAsia="Microsoft YaHei"/>
                <w:b w:val="0"/>
                <w:sz w:val="19"/>
              </w:rPr>
              <w:t>0</w:t>
            </w:r>
          </w:p>
        </w:tc>
      </w:tr>
      <w:tr>
        <w:tc>
          <w:tcPr>
            <w:tcW w:type="dxa" w:w="1656"/>
            <w:tcMar>
              <w:top w:w="80" w:type="dxa"/>
              <w:start w:w="120" w:type="dxa"/>
              <w:bottom w:w="80" w:type="dxa"/>
              <w:end w:w="120" w:type="dxa"/>
            </w:tcMar>
            <w:vAlign w:val="center"/>
          </w:tcPr>
          <w:p>
            <w:pPr>
              <w:jc w:val="left"/>
            </w:pPr>
            <w:r>
              <w:rPr>
                <w:rFonts w:ascii="Calibri" w:hAnsi="Calibri" w:eastAsia="Microsoft YaHei"/>
                <w:b w:val="0"/>
                <w:sz w:val="19"/>
              </w:rPr>
              <w:t>livingroom</w:t>
            </w:r>
          </w:p>
        </w:tc>
        <w:tc>
          <w:tcPr>
            <w:tcW w:type="dxa" w:w="1080"/>
            <w:tcMar>
              <w:top w:w="80" w:type="dxa"/>
              <w:start w:w="120" w:type="dxa"/>
              <w:bottom w:w="80" w:type="dxa"/>
              <w:end w:w="120" w:type="dxa"/>
            </w:tcMar>
            <w:vAlign w:val="center"/>
          </w:tcPr>
          <w:p>
            <w:pPr>
              <w:jc w:val="center"/>
            </w:pPr>
            <w:r>
              <w:rPr>
                <w:rFonts w:ascii="Calibri" w:hAnsi="Calibri" w:eastAsia="Microsoft YaHei"/>
                <w:b w:val="0"/>
                <w:sz w:val="19"/>
              </w:rPr>
              <w:t>192</w:t>
            </w:r>
          </w:p>
        </w:tc>
        <w:tc>
          <w:tcPr>
            <w:tcW w:type="dxa" w:w="1152"/>
            <w:tcMar>
              <w:top w:w="80" w:type="dxa"/>
              <w:start w:w="120" w:type="dxa"/>
              <w:bottom w:w="80" w:type="dxa"/>
              <w:end w:w="120" w:type="dxa"/>
            </w:tcMar>
            <w:vAlign w:val="center"/>
          </w:tcPr>
          <w:p>
            <w:pPr>
              <w:jc w:val="center"/>
            </w:pPr>
            <w:r>
              <w:rPr>
                <w:rFonts w:ascii="Calibri" w:hAnsi="Calibri" w:eastAsia="Microsoft YaHei"/>
                <w:b w:val="0"/>
                <w:sz w:val="19"/>
              </w:rPr>
              <w:t>229</w:t>
            </w:r>
          </w:p>
        </w:tc>
        <w:tc>
          <w:tcPr>
            <w:tcW w:type="dxa" w:w="1152"/>
            <w:tcMar>
              <w:top w:w="80" w:type="dxa"/>
              <w:start w:w="120" w:type="dxa"/>
              <w:bottom w:w="80" w:type="dxa"/>
              <w:end w:w="120" w:type="dxa"/>
            </w:tcMar>
            <w:vAlign w:val="center"/>
          </w:tcPr>
          <w:p>
            <w:pPr>
              <w:jc w:val="center"/>
            </w:pPr>
            <w:r>
              <w:rPr>
                <w:rFonts w:ascii="Calibri" w:hAnsi="Calibri" w:eastAsia="Microsoft YaHei"/>
                <w:b w:val="0"/>
                <w:sz w:val="19"/>
              </w:rPr>
              <w:t>0.3319</w:t>
            </w:r>
          </w:p>
        </w:tc>
        <w:tc>
          <w:tcPr>
            <w:tcW w:type="dxa" w:w="1152"/>
            <w:tcMar>
              <w:top w:w="80" w:type="dxa"/>
              <w:start w:w="120" w:type="dxa"/>
              <w:bottom w:w="80" w:type="dxa"/>
              <w:end w:w="120" w:type="dxa"/>
            </w:tcMar>
            <w:vAlign w:val="center"/>
          </w:tcPr>
          <w:p>
            <w:pPr>
              <w:jc w:val="center"/>
            </w:pPr>
            <w:r>
              <w:rPr>
                <w:rFonts w:ascii="Calibri" w:hAnsi="Calibri" w:eastAsia="Microsoft YaHei"/>
                <w:b w:val="0"/>
                <w:sz w:val="19"/>
              </w:rPr>
              <w:t>0.7686</w:t>
            </w:r>
          </w:p>
        </w:tc>
        <w:tc>
          <w:tcPr>
            <w:tcW w:type="dxa" w:w="1152"/>
            <w:tcMar>
              <w:top w:w="80" w:type="dxa"/>
              <w:start w:w="120" w:type="dxa"/>
              <w:bottom w:w="80" w:type="dxa"/>
              <w:end w:w="120" w:type="dxa"/>
            </w:tcMar>
            <w:vAlign w:val="center"/>
          </w:tcPr>
          <w:p>
            <w:pPr>
              <w:jc w:val="center"/>
            </w:pPr>
            <w:r>
              <w:rPr>
                <w:rFonts w:ascii="Calibri" w:hAnsi="Calibri" w:eastAsia="Microsoft YaHei"/>
                <w:b/>
                <w:color w:val="1F3A5F"/>
                <w:sz w:val="19"/>
              </w:rPr>
              <w:t>+0.4367</w:t>
            </w:r>
          </w:p>
        </w:tc>
        <w:tc>
          <w:tcPr>
            <w:tcW w:type="dxa" w:w="936"/>
            <w:tcMar>
              <w:top w:w="80" w:type="dxa"/>
              <w:start w:w="120" w:type="dxa"/>
              <w:bottom w:w="80" w:type="dxa"/>
              <w:end w:w="120" w:type="dxa"/>
            </w:tcMar>
            <w:vAlign w:val="center"/>
          </w:tcPr>
          <w:p>
            <w:pPr>
              <w:jc w:val="center"/>
            </w:pPr>
            <w:r>
              <w:rPr>
                <w:rFonts w:ascii="Calibri" w:hAnsi="Calibri" w:eastAsia="Microsoft YaHei"/>
                <w:b w:val="0"/>
                <w:sz w:val="19"/>
              </w:rPr>
              <w:t>0</w:t>
            </w:r>
          </w:p>
        </w:tc>
      </w:tr>
      <w:tr>
        <w:tc>
          <w:tcPr>
            <w:tcW w:type="dxa" w:w="1656"/>
            <w:tcMar>
              <w:top w:w="80" w:type="dxa"/>
              <w:start w:w="120" w:type="dxa"/>
              <w:bottom w:w="80" w:type="dxa"/>
              <w:end w:w="120" w:type="dxa"/>
            </w:tcMar>
            <w:vAlign w:val="center"/>
          </w:tcPr>
          <w:p>
            <w:pPr>
              <w:jc w:val="left"/>
            </w:pPr>
            <w:r>
              <w:rPr>
                <w:rFonts w:ascii="Calibri" w:hAnsi="Calibri" w:eastAsia="Microsoft YaHei"/>
                <w:b w:val="0"/>
                <w:sz w:val="19"/>
              </w:rPr>
              <w:t>diningroom</w:t>
            </w:r>
          </w:p>
        </w:tc>
        <w:tc>
          <w:tcPr>
            <w:tcW w:type="dxa" w:w="1080"/>
            <w:tcMar>
              <w:top w:w="80" w:type="dxa"/>
              <w:start w:w="120" w:type="dxa"/>
              <w:bottom w:w="80" w:type="dxa"/>
              <w:end w:w="120" w:type="dxa"/>
            </w:tcMar>
            <w:vAlign w:val="center"/>
          </w:tcPr>
          <w:p>
            <w:pPr>
              <w:jc w:val="center"/>
            </w:pPr>
            <w:r>
              <w:rPr>
                <w:rFonts w:ascii="Calibri" w:hAnsi="Calibri" w:eastAsia="Microsoft YaHei"/>
                <w:b w:val="0"/>
                <w:sz w:val="19"/>
              </w:rPr>
              <w:t>177</w:t>
            </w:r>
          </w:p>
        </w:tc>
        <w:tc>
          <w:tcPr>
            <w:tcW w:type="dxa" w:w="1152"/>
            <w:tcMar>
              <w:top w:w="80" w:type="dxa"/>
              <w:start w:w="120" w:type="dxa"/>
              <w:bottom w:w="80" w:type="dxa"/>
              <w:end w:w="120" w:type="dxa"/>
            </w:tcMar>
            <w:vAlign w:val="center"/>
          </w:tcPr>
          <w:p>
            <w:pPr>
              <w:jc w:val="center"/>
            </w:pPr>
            <w:r>
              <w:rPr>
                <w:rFonts w:ascii="Calibri" w:hAnsi="Calibri" w:eastAsia="Microsoft YaHei"/>
                <w:b w:val="0"/>
                <w:sz w:val="19"/>
              </w:rPr>
              <w:t>236</w:t>
            </w:r>
          </w:p>
        </w:tc>
        <w:tc>
          <w:tcPr>
            <w:tcW w:type="dxa" w:w="1152"/>
            <w:tcMar>
              <w:top w:w="80" w:type="dxa"/>
              <w:start w:w="120" w:type="dxa"/>
              <w:bottom w:w="80" w:type="dxa"/>
              <w:end w:w="120" w:type="dxa"/>
            </w:tcMar>
            <w:vAlign w:val="center"/>
          </w:tcPr>
          <w:p>
            <w:pPr>
              <w:jc w:val="center"/>
            </w:pPr>
            <w:r>
              <w:rPr>
                <w:rFonts w:ascii="Calibri" w:hAnsi="Calibri" w:eastAsia="Microsoft YaHei"/>
                <w:b w:val="0"/>
                <w:sz w:val="19"/>
              </w:rPr>
              <w:t>0.3305</w:t>
            </w:r>
          </w:p>
        </w:tc>
        <w:tc>
          <w:tcPr>
            <w:tcW w:type="dxa" w:w="1152"/>
            <w:tcMar>
              <w:top w:w="80" w:type="dxa"/>
              <w:start w:w="120" w:type="dxa"/>
              <w:bottom w:w="80" w:type="dxa"/>
              <w:end w:w="120" w:type="dxa"/>
            </w:tcMar>
            <w:vAlign w:val="center"/>
          </w:tcPr>
          <w:p>
            <w:pPr>
              <w:jc w:val="center"/>
            </w:pPr>
            <w:r>
              <w:rPr>
                <w:rFonts w:ascii="Calibri" w:hAnsi="Calibri" w:eastAsia="Microsoft YaHei"/>
                <w:b w:val="0"/>
                <w:sz w:val="19"/>
              </w:rPr>
              <w:t>0.7288</w:t>
            </w:r>
          </w:p>
        </w:tc>
        <w:tc>
          <w:tcPr>
            <w:tcW w:type="dxa" w:w="1152"/>
            <w:tcMar>
              <w:top w:w="80" w:type="dxa"/>
              <w:start w:w="120" w:type="dxa"/>
              <w:bottom w:w="80" w:type="dxa"/>
              <w:end w:w="120" w:type="dxa"/>
            </w:tcMar>
            <w:vAlign w:val="center"/>
          </w:tcPr>
          <w:p>
            <w:pPr>
              <w:jc w:val="center"/>
            </w:pPr>
            <w:r>
              <w:rPr>
                <w:rFonts w:ascii="Calibri" w:hAnsi="Calibri" w:eastAsia="Microsoft YaHei"/>
                <w:b/>
                <w:color w:val="1F3A5F"/>
                <w:sz w:val="19"/>
              </w:rPr>
              <w:t>+0.3983</w:t>
            </w:r>
          </w:p>
        </w:tc>
        <w:tc>
          <w:tcPr>
            <w:tcW w:type="dxa" w:w="936"/>
            <w:tcMar>
              <w:top w:w="80" w:type="dxa"/>
              <w:start w:w="120" w:type="dxa"/>
              <w:bottom w:w="80" w:type="dxa"/>
              <w:end w:w="120" w:type="dxa"/>
            </w:tcMar>
            <w:vAlign w:val="center"/>
          </w:tcPr>
          <w:p>
            <w:pPr>
              <w:jc w:val="center"/>
            </w:pPr>
            <w:r>
              <w:rPr>
                <w:rFonts w:ascii="Calibri" w:hAnsi="Calibri" w:eastAsia="Microsoft YaHei"/>
                <w:b w:val="0"/>
                <w:sz w:val="19"/>
              </w:rPr>
              <w:t>0</w:t>
            </w:r>
          </w:p>
        </w:tc>
      </w:tr>
    </w:tbl>
    <w:p>
      <w:r>
        <w:rPr>
          <w:rFonts w:ascii="Calibri" w:hAnsi="Calibri" w:eastAsia="Microsoft YaHei"/>
          <w:b w:val="0"/>
        </w:rPr>
        <w:t>Interpretation: the optimizer substantially improves the simplified relation evaluator while keeping OOB delta at zero and reducing AABB overlap area in aggregate. Because the evaluator is simplified and this is not official SDGScenes, these numbers should appear in an internal defensive-baseline table or appendix, not in the main SOTA ranking table.</w:t>
      </w:r>
    </w:p>
    <w:p>
      <w:pPr>
        <w:pStyle w:val="Heading1"/>
      </w:pPr>
      <w:r>
        <w:t>5. 与主论文实验表的关系</w:t>
      </w:r>
    </w:p>
    <w:p>
      <w:pPr>
        <w:pStyle w:val="ListBullet"/>
        <w:spacing w:after="80"/>
      </w:pPr>
      <w:r>
        <w:rPr>
          <w:rFonts w:ascii="Calibri" w:hAnsi="Calibri" w:eastAsia="Microsoft YaHei"/>
          <w:b w:val="0"/>
        </w:rPr>
        <w:t>主表仍以 official InstructScene output、Direct repair、Floor-Prior、collision-gated Floor-Prior 为同协议数值结果。</w:t>
      </w:r>
    </w:p>
    <w:p>
      <w:pPr>
        <w:pStyle w:val="ListBullet"/>
        <w:spacing w:after="80"/>
      </w:pPr>
      <w:r>
        <w:rPr>
          <w:rFonts w:ascii="Calibri" w:hAnsi="Calibri" w:eastAsia="Microsoft YaHei"/>
          <w:b w:val="0"/>
        </w:rPr>
        <w:t>SDGScenes official system 放在 protocol comparison / related work / reported-results context。</w:t>
      </w:r>
    </w:p>
    <w:p>
      <w:pPr>
        <w:pStyle w:val="ListBullet"/>
        <w:spacing w:after="80"/>
      </w:pPr>
      <w:r>
        <w:rPr>
          <w:rFonts w:ascii="Calibri" w:hAnsi="Calibri" w:eastAsia="Microsoft YaHei"/>
          <w:b w:val="0"/>
        </w:rPr>
        <w:t>本 H800 smoke baseline 可作为“SDGScenes-inspired constrained optimizer (ours-run defensive smoke)”单独列出，明确非官方。</w:t>
      </w:r>
    </w:p>
    <w:p>
      <w:pPr>
        <w:pStyle w:val="ListBullet"/>
        <w:spacing w:after="80"/>
      </w:pPr>
      <w:r>
        <w:rPr>
          <w:rFonts w:ascii="Calibri" w:hAnsi="Calibri" w:eastAsia="Microsoft YaHei"/>
          <w:b w:val="0"/>
        </w:rPr>
        <w:t>如果后续找到官方 SDGScenes code+data 且能对齐 split/evaluator，再升级为 direct comparison track。</w:t>
      </w:r>
    </w:p>
    <w:p>
      <w:pPr>
        <w:pStyle w:val="Heading1"/>
      </w:pPr>
      <w:r>
        <w:t>6. Artifact index</w:t>
      </w:r>
    </w:p>
    <w:tbl>
      <w:tblPr>
        <w:tblStyle w:val="TableGrid"/>
        <w:tblW w:type="auto" w:w="0"/>
        <w:jc w:val="left"/>
        <w:tblLayout w:type="fixed"/>
        <w:tblLook w:firstColumn="1" w:firstRow="1" w:lastColumn="0" w:lastRow="0" w:noHBand="0" w:noVBand="1" w:val="04A0"/>
      </w:tblPr>
      <w:tblGrid>
        <w:gridCol w:w="4680"/>
        <w:gridCol w:w="4680"/>
      </w:tblGrid>
      <w:tr>
        <w:tc>
          <w:tcPr>
            <w:tcW w:type="dxa" w:w="2232"/>
            <w:shd w:fill="F2F4F7"/>
            <w:tcMar>
              <w:top w:w="80" w:type="dxa"/>
              <w:start w:w="120" w:type="dxa"/>
              <w:bottom w:w="80" w:type="dxa"/>
              <w:end w:w="120" w:type="dxa"/>
            </w:tcMar>
            <w:vAlign w:val="center"/>
          </w:tcPr>
          <w:p>
            <w:r>
              <w:rPr>
                <w:rFonts w:ascii="Calibri" w:hAnsi="Calibri" w:eastAsia="Microsoft YaHei"/>
                <w:b/>
              </w:rPr>
              <w:t>Artifact</w:t>
            </w:r>
          </w:p>
        </w:tc>
        <w:tc>
          <w:tcPr>
            <w:tcW w:type="dxa" w:w="7128"/>
            <w:shd w:fill="F2F4F7"/>
            <w:tcMar>
              <w:top w:w="80" w:type="dxa"/>
              <w:start w:w="120" w:type="dxa"/>
              <w:bottom w:w="80" w:type="dxa"/>
              <w:end w:w="120" w:type="dxa"/>
            </w:tcMar>
            <w:vAlign w:val="center"/>
          </w:tcPr>
          <w:p>
            <w:r>
              <w:rPr>
                <w:rFonts w:ascii="Calibri" w:hAnsi="Calibri" w:eastAsia="Microsoft YaHei"/>
                <w:b/>
              </w:rPr>
              <w:t>Path</w:t>
            </w:r>
          </w:p>
        </w:tc>
      </w:tr>
      <w:tr>
        <w:tc>
          <w:tcPr>
            <w:tcW w:type="dxa" w:w="2232"/>
            <w:tcMar>
              <w:top w:w="80" w:type="dxa"/>
              <w:start w:w="120" w:type="dxa"/>
              <w:bottom w:w="80" w:type="dxa"/>
              <w:end w:w="120" w:type="dxa"/>
            </w:tcMar>
            <w:vAlign w:val="center"/>
          </w:tcPr>
          <w:p>
            <w:r>
              <w:rPr>
                <w:rFonts w:ascii="Calibri" w:hAnsi="Calibri" w:eastAsia="Microsoft YaHei"/>
                <w:b w:val="0"/>
                <w:sz w:val="18"/>
              </w:rPr>
              <w:t>Git full patch</w:t>
            </w:r>
          </w:p>
        </w:tc>
        <w:tc>
          <w:tcPr>
            <w:tcW w:type="dxa" w:w="7128"/>
            <w:tcMar>
              <w:top w:w="80" w:type="dxa"/>
              <w:start w:w="120" w:type="dxa"/>
              <w:bottom w:w="80" w:type="dxa"/>
              <w:end w:w="120" w:type="dxa"/>
            </w:tcMar>
            <w:vAlign w:val="center"/>
          </w:tcPr>
          <w:p>
            <w:r>
              <w:rPr>
                <w:rFonts w:ascii="Calibri" w:hAnsi="Calibri" w:eastAsia="Microsoft YaHei"/>
                <w:b w:val="0"/>
                <w:sz w:val="18"/>
              </w:rPr>
              <w:t>outputs/sdgscenes_defensive_baseline/github_export_20260720/sdgscenes_defensive_baseline_20260720_full.patch</w:t>
            </w:r>
          </w:p>
        </w:tc>
      </w:tr>
      <w:tr>
        <w:tc>
          <w:tcPr>
            <w:tcW w:type="dxa" w:w="2232"/>
            <w:tcMar>
              <w:top w:w="80" w:type="dxa"/>
              <w:start w:w="120" w:type="dxa"/>
              <w:bottom w:w="80" w:type="dxa"/>
              <w:end w:w="120" w:type="dxa"/>
            </w:tcMar>
            <w:vAlign w:val="center"/>
          </w:tcPr>
          <w:p>
            <w:r>
              <w:rPr>
                <w:rFonts w:ascii="Calibri" w:hAnsi="Calibri" w:eastAsia="Microsoft YaHei"/>
                <w:b w:val="0"/>
                <w:sz w:val="18"/>
              </w:rPr>
              <w:t>Git bundle</w:t>
            </w:r>
          </w:p>
        </w:tc>
        <w:tc>
          <w:tcPr>
            <w:tcW w:type="dxa" w:w="7128"/>
            <w:tcMar>
              <w:top w:w="80" w:type="dxa"/>
              <w:start w:w="120" w:type="dxa"/>
              <w:bottom w:w="80" w:type="dxa"/>
              <w:end w:w="120" w:type="dxa"/>
            </w:tcMar>
            <w:vAlign w:val="center"/>
          </w:tcPr>
          <w:p>
            <w:r>
              <w:rPr>
                <w:rFonts w:ascii="Calibri" w:hAnsi="Calibri" w:eastAsia="Microsoft YaHei"/>
                <w:b w:val="0"/>
                <w:sz w:val="18"/>
              </w:rPr>
              <w:t>outputs/sdgscenes_defensive_baseline/github_export_20260720/sdgscenes_defensive_baseline_20260720.bundle</w:t>
            </w:r>
          </w:p>
        </w:tc>
      </w:tr>
      <w:tr>
        <w:tc>
          <w:tcPr>
            <w:tcW w:type="dxa" w:w="2232"/>
            <w:tcMar>
              <w:top w:w="80" w:type="dxa"/>
              <w:start w:w="120" w:type="dxa"/>
              <w:bottom w:w="80" w:type="dxa"/>
              <w:end w:w="120" w:type="dxa"/>
            </w:tcMar>
            <w:vAlign w:val="center"/>
          </w:tcPr>
          <w:p>
            <w:r>
              <w:rPr>
                <w:rFonts w:ascii="Calibri" w:hAnsi="Calibri" w:eastAsia="Microsoft YaHei"/>
                <w:b w:val="0"/>
                <w:sz w:val="18"/>
              </w:rPr>
              <w:t>Result tarball</w:t>
            </w:r>
          </w:p>
        </w:tc>
        <w:tc>
          <w:tcPr>
            <w:tcW w:type="dxa" w:w="7128"/>
            <w:tcMar>
              <w:top w:w="80" w:type="dxa"/>
              <w:start w:w="120" w:type="dxa"/>
              <w:bottom w:w="80" w:type="dxa"/>
              <w:end w:w="120" w:type="dxa"/>
            </w:tcMar>
            <w:vAlign w:val="center"/>
          </w:tcPr>
          <w:p>
            <w:r>
              <w:rPr>
                <w:rFonts w:ascii="Calibri" w:hAnsi="Calibri" w:eastAsia="Microsoft YaHei"/>
                <w:b w:val="0"/>
                <w:sz w:val="18"/>
              </w:rPr>
              <w:t>outputs/sdgscenes_defensive_baseline/github_export_20260720/sdgscenes_inspired_smoke_results_20260720.tar.gz</w:t>
            </w:r>
          </w:p>
        </w:tc>
      </w:tr>
      <w:tr>
        <w:tc>
          <w:tcPr>
            <w:tcW w:type="dxa" w:w="2232"/>
            <w:tcMar>
              <w:top w:w="80" w:type="dxa"/>
              <w:start w:w="120" w:type="dxa"/>
              <w:bottom w:w="80" w:type="dxa"/>
              <w:end w:w="120" w:type="dxa"/>
            </w:tcMar>
            <w:vAlign w:val="center"/>
          </w:tcPr>
          <w:p>
            <w:r>
              <w:rPr>
                <w:rFonts w:ascii="Calibri" w:hAnsi="Calibri" w:eastAsia="Microsoft YaHei"/>
                <w:b w:val="0"/>
                <w:sz w:val="18"/>
              </w:rPr>
              <w:t>Cloud report</w:t>
            </w:r>
          </w:p>
        </w:tc>
        <w:tc>
          <w:tcPr>
            <w:tcW w:type="dxa" w:w="7128"/>
            <w:tcMar>
              <w:top w:w="80" w:type="dxa"/>
              <w:start w:w="120" w:type="dxa"/>
              <w:bottom w:w="80" w:type="dxa"/>
              <w:end w:w="120" w:type="dxa"/>
            </w:tcMar>
            <w:vAlign w:val="center"/>
          </w:tcPr>
          <w:p>
            <w:r>
              <w:rPr>
                <w:rFonts w:ascii="Calibri" w:hAnsi="Calibri" w:eastAsia="Microsoft YaHei"/>
                <w:b w:val="0"/>
                <w:sz w:val="18"/>
              </w:rPr>
              <w:t>experiments/sdgscenes_baseline/reports/sdgscenes_inspired_smoke_report.md</w:t>
            </w:r>
          </w:p>
        </w:tc>
      </w:tr>
      <w:tr>
        <w:tc>
          <w:tcPr>
            <w:tcW w:type="dxa" w:w="2232"/>
            <w:tcMar>
              <w:top w:w="80" w:type="dxa"/>
              <w:start w:w="120" w:type="dxa"/>
              <w:bottom w:w="80" w:type="dxa"/>
              <w:end w:w="120" w:type="dxa"/>
            </w:tcMar>
            <w:vAlign w:val="center"/>
          </w:tcPr>
          <w:p>
            <w:r>
              <w:rPr>
                <w:rFonts w:ascii="Calibri" w:hAnsi="Calibri" w:eastAsia="Microsoft YaHei"/>
                <w:b w:val="0"/>
                <w:sz w:val="18"/>
              </w:rPr>
              <w:t>Cloud script</w:t>
            </w:r>
          </w:p>
        </w:tc>
        <w:tc>
          <w:tcPr>
            <w:tcW w:type="dxa" w:w="7128"/>
            <w:tcMar>
              <w:top w:w="80" w:type="dxa"/>
              <w:start w:w="120" w:type="dxa"/>
              <w:bottom w:w="80" w:type="dxa"/>
              <w:end w:w="120" w:type="dxa"/>
            </w:tcMar>
            <w:vAlign w:val="center"/>
          </w:tcPr>
          <w:p>
            <w:r>
              <w:rPr>
                <w:rFonts w:ascii="Calibri" w:hAnsi="Calibri" w:eastAsia="Microsoft YaHei"/>
                <w:b w:val="0"/>
                <w:sz w:val="18"/>
              </w:rPr>
              <w:t>experiments/sdgscenes_baseline/scripts/run_sdgscenes_defensive_smoke.py</w:t>
            </w:r>
          </w:p>
        </w:tc>
      </w:tr>
    </w:tbl>
    <w:p>
      <w:pPr>
        <w:pStyle w:val="Heading1"/>
      </w:pPr>
      <w:r>
        <w:t>7. GitHub 同步恢复方案</w:t>
      </w:r>
    </w:p>
    <w:p>
      <w:r>
        <w:rPr>
          <w:rFonts w:ascii="Calibri" w:hAnsi="Calibri" w:eastAsia="Microsoft YaHei"/>
          <w:b w:val="0"/>
        </w:rPr>
        <w:t>云端 commit 已存在，但 AutoDL 到 GitHub 的 HTTPS push 出现 TLS connection termination。推荐从本地安全环境使用 GitHub credential manager / gh auth / SSH key 推送；不要把 PAT 粘贴进聊天或公共 shell 历史。</w:t>
      </w:r>
    </w:p>
    <w:p>
      <w:pPr>
        <w:pStyle w:val="ListBullet"/>
        <w:spacing w:after="80"/>
      </w:pPr>
      <w:r>
        <w:rPr>
          <w:rFonts w:ascii="Calibri" w:hAnsi="Calibri" w:eastAsia="Microsoft YaHei"/>
          <w:b w:val="0"/>
        </w:rPr>
        <w:t>方案 A：在云端网络恢复后进入 repo 目录，执行 git push -u origin exp/sdgscenes-defensive-baseline-20260711。</w:t>
      </w:r>
    </w:p>
    <w:p>
      <w:pPr>
        <w:pStyle w:val="ListBullet"/>
        <w:spacing w:after="80"/>
      </w:pPr>
      <w:r>
        <w:rPr>
          <w:rFonts w:ascii="Calibri" w:hAnsi="Calibri" w:eastAsia="Microsoft YaHei"/>
          <w:b w:val="0"/>
        </w:rPr>
        <w:t>方案 B：在本地仓库应用 full.patch 后 commit/push。</w:t>
      </w:r>
    </w:p>
    <w:p>
      <w:pPr>
        <w:pStyle w:val="ListBullet"/>
        <w:spacing w:after="80"/>
      </w:pPr>
      <w:r>
        <w:rPr>
          <w:rFonts w:ascii="Calibri" w:hAnsi="Calibri" w:eastAsia="Microsoft YaHei"/>
          <w:b w:val="0"/>
        </w:rPr>
        <w:t>方案 C：使用 git bundle 导入两条 commit，再 push 分支。</w:t>
      </w:r>
    </w:p>
    <w:p>
      <w:pPr>
        <w:pStyle w:val="Heading1"/>
      </w:pPr>
      <w:r>
        <w:t>8. 下一步建议</w:t>
      </w:r>
    </w:p>
    <w:p>
      <w:pPr>
        <w:pStyle w:val="ListBullet"/>
        <w:spacing w:after="80"/>
      </w:pPr>
      <w:r>
        <w:rPr>
          <w:rFonts w:ascii="Calibri" w:hAnsi="Calibri" w:eastAsia="Microsoft YaHei"/>
          <w:b w:val="0"/>
        </w:rPr>
        <w:t>把 smoke report 的 protocol boundary 段落同步到论文实验小节或 appendix。</w:t>
      </w:r>
    </w:p>
    <w:p>
      <w:pPr>
        <w:pStyle w:val="ListBullet"/>
        <w:spacing w:after="80"/>
      </w:pPr>
      <w:r>
        <w:rPr>
          <w:rFonts w:ascii="Calibri" w:hAnsi="Calibri" w:eastAsia="Microsoft YaHei"/>
          <w:b w:val="0"/>
        </w:rPr>
        <w:t>在 SOTA protocol comparison table 中把 SDGScenes 标记为 non-direct unless shared-protocol reproduction succeeds。</w:t>
      </w:r>
    </w:p>
    <w:p>
      <w:pPr>
        <w:pStyle w:val="ListBullet"/>
        <w:spacing w:after="80"/>
      </w:pPr>
      <w:r>
        <w:rPr>
          <w:rFonts w:ascii="Calibri" w:hAnsi="Calibri" w:eastAsia="Microsoft YaHei"/>
          <w:b w:val="0"/>
        </w:rPr>
        <w:t>如果要继续增强 baseline，可加入 FCL mesh evaluator 或将 optimized_layouts.json 重新喂入现有 evaluator。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6666"/>
        <w:sz w:val="18"/>
      </w:rPr>
      <w:t>SDGScenes defensive baseline handoff · 2026-07-20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SDGScenes Defensive Baseline H800 Experiment Handoff</dc:title>
  <dc:subject>Relation Grounding SOTA defensive baseline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