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A295E"/>
          <w:sz w:val="52"/>
        </w:rPr>
        <w:t>BKApay</w:t>
      </w:r>
    </w:p>
    <w:p>
      <w:pPr>
        <w:spacing w:before="0" w:after="80"/>
        <w:jc w:val="center"/>
      </w:pPr>
      <w:r>
        <w:rPr>
          <w:color w:val="F38A00"/>
          <w:sz w:val="24"/>
        </w:rPr>
        <w:t>Plateforme de paiement Mobile Money pour l'Afrique</w:t>
      </w:r>
    </w:p>
    <w:p>
      <w:pPr>
        <w:spacing w:after="60"/>
        <w:jc w:val="center"/>
      </w:pPr>
      <w:r>
        <w:rPr>
          <w:i/>
          <w:color w:val="555555"/>
          <w:sz w:val="20"/>
        </w:rPr>
        <w:t>Dossier de presentation — Candidature a l'accompagnement strategique</w:t>
      </w:r>
    </w:p>
    <w:p>
      <w:pPr>
        <w:spacing w:after="40"/>
        <w:jc w:val="center"/>
      </w:pPr>
      <w:r>
        <w:rPr>
          <w:b/>
          <w:color w:val="145AA8"/>
          <w:sz w:val="22"/>
        </w:rPr>
        <w:t>Kpetekousso Emali Juste  —  Fondateur &amp; CEO</w:t>
      </w:r>
    </w:p>
    <w:p>
      <w:pPr>
        <w:spacing w:after="200"/>
        <w:jc w:val="center"/>
      </w:pPr>
      <w:r>
        <w:rPr>
          <w:color w:val="555555"/>
          <w:sz w:val="19"/>
        </w:rPr>
        <w:t>En production depuis novembre 2025  |  17 pays operationnels</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lancee en production en novembre 2025, operationnelle dans 17 pays africains six mois apres son lancement, sans interruption de service et sans anomalie technique majeure. La plateforme permet a des particuliers, des entreprises et des developpeurs d'envoyer, recevoir et gerer des fonds via les reseaux telephoniques locaux (Orange Money, MTN MoMo, Wave, Moov, Airtel, etc.). Elle genere des commissions reelles et croit activement sur ses marches cles.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0A295E"/>
            <w:tcBorders>
              <w:top w:val="nil"/>
              <w:left w:val="nil"/>
              <w:bottom w:val="nil"/>
              <w:right w:val="nil"/>
            </w:tcBorders>
          </w:tcPr>
          <w:p>
            <w:pPr>
              <w:jc w:val="center"/>
            </w:pPr>
            <w:r>
              <w:rPr>
                <w:b/>
                <w:color w:val="FFFFFF"/>
                <w:sz w:val="18"/>
              </w:rPr>
              <w:t>Lancement</w:t>
            </w:r>
          </w:p>
        </w:tc>
        <w:tc>
          <w:tcPr>
            <w:tcW w:type="dxa" w:w="2351"/>
            <w:shd w:val="clear" w:color="auto" w:fill="0A295E"/>
            <w:tcBorders>
              <w:top w:val="nil"/>
              <w:left w:val="nil"/>
              <w:bottom w:val="nil"/>
              <w:right w:val="nil"/>
            </w:tcBorders>
          </w:tcPr>
          <w:p>
            <w:pPr>
              <w:jc w:val="center"/>
            </w:pPr>
            <w:r>
              <w:rPr>
                <w:b/>
                <w:color w:val="FFFFFF"/>
                <w:sz w:val="18"/>
              </w:rPr>
              <w:t>Utilisateurs inscrits</w:t>
            </w:r>
          </w:p>
        </w:tc>
        <w:tc>
          <w:tcPr>
            <w:tcW w:type="dxa" w:w="2351"/>
            <w:shd w:val="clear" w:color="auto" w:fill="0A295E"/>
            <w:tcBorders>
              <w:top w:val="nil"/>
              <w:left w:val="nil"/>
              <w:bottom w:val="nil"/>
              <w:right w:val="nil"/>
            </w:tcBorders>
          </w:tcPr>
          <w:p>
            <w:pPr>
              <w:jc w:val="center"/>
            </w:pPr>
            <w:r>
              <w:rPr>
                <w:b/>
                <w:color w:val="FFFFFF"/>
                <w:sz w:val="18"/>
              </w:rPr>
              <w:t>KYC verifies</w:t>
            </w:r>
          </w:p>
        </w:tc>
        <w:tc>
          <w:tcPr>
            <w:tcW w:type="dxa" w:w="2351"/>
            <w:shd w:val="clear" w:color="auto" w:fill="0A295E"/>
            <w:tcBorders>
              <w:top w:val="nil"/>
              <w:left w:val="nil"/>
              <w:bottom w:val="nil"/>
              <w:right w:val="nil"/>
            </w:tcBorders>
          </w:tcPr>
          <w:p>
            <w:pPr>
              <w:jc w:val="center"/>
            </w:pPr>
            <w:r>
              <w:rPr>
                <w:b/>
                <w:color w:val="FFFFFF"/>
                <w:sz w:val="18"/>
              </w:rPr>
              <w:t>Volume traite (cumule)</w:t>
            </w:r>
          </w:p>
        </w:tc>
      </w:tr>
      <w:tr>
        <w:tc>
          <w:tcPr>
            <w:tcW w:type="dxa" w:w="2351"/>
            <w:shd w:val="clear" w:color="auto" w:fill="E8F0FA"/>
            <w:tcBorders>
              <w:top w:val="nil"/>
              <w:left w:val="nil"/>
              <w:bottom w:val="nil"/>
              <w:right w:val="nil"/>
            </w:tcBorders>
          </w:tcPr>
          <w:p>
            <w:pPr>
              <w:jc w:val="center"/>
            </w:pPr>
            <w:r>
              <w:rPr>
                <w:b/>
                <w:color w:val="0A295E"/>
                <w:sz w:val="20"/>
              </w:rPr>
              <w:t>Novembre 2025</w:t>
            </w:r>
          </w:p>
        </w:tc>
        <w:tc>
          <w:tcPr>
            <w:tcW w:type="dxa" w:w="2351"/>
            <w:shd w:val="clear" w:color="auto" w:fill="E8F0FA"/>
            <w:tcBorders>
              <w:top w:val="nil"/>
              <w:left w:val="nil"/>
              <w:bottom w:val="nil"/>
              <w:right w:val="nil"/>
            </w:tcBorders>
          </w:tcPr>
          <w:p>
            <w:pPr>
              <w:jc w:val="center"/>
            </w:pPr>
            <w:r>
              <w:rPr>
                <w:b/>
                <w:color w:val="0A295E"/>
                <w:sz w:val="20"/>
              </w:rPr>
              <w:t>~600 utilisateurs</w:t>
            </w:r>
          </w:p>
        </w:tc>
        <w:tc>
          <w:tcPr>
            <w:tcW w:type="dxa" w:w="2351"/>
            <w:shd w:val="clear" w:color="auto" w:fill="E8F0FA"/>
            <w:tcBorders>
              <w:top w:val="nil"/>
              <w:left w:val="nil"/>
              <w:bottom w:val="nil"/>
              <w:right w:val="nil"/>
            </w:tcBorders>
          </w:tcPr>
          <w:p>
            <w:pPr>
              <w:jc w:val="center"/>
            </w:pPr>
            <w:r>
              <w:rPr>
                <w:b/>
                <w:color w:val="0A295E"/>
                <w:sz w:val="20"/>
              </w:rPr>
              <w:t>~60 verifies</w:t>
            </w:r>
          </w:p>
        </w:tc>
        <w:tc>
          <w:tcPr>
            <w:tcW w:type="dxa" w:w="2351"/>
            <w:shd w:val="clear" w:color="auto" w:fill="E8F0FA"/>
            <w:tcBorders>
              <w:top w:val="nil"/>
              <w:left w:val="nil"/>
              <w:bottom w:val="nil"/>
              <w:right w:val="nil"/>
            </w:tcBorders>
          </w:tcPr>
          <w:p>
            <w:pPr>
              <w:jc w:val="center"/>
            </w:pPr>
            <w:r>
              <w:rPr>
                <w:b/>
                <w:color w:val="0A295E"/>
                <w:sz w:val="20"/>
              </w:rPr>
              <w:t>~20 000 000 XOF</w:t>
            </w:r>
          </w:p>
        </w:tc>
      </w:tr>
    </w:tbl>
    <w:p>
      <w:pPr>
        <w:spacing w:after="60"/>
      </w:pPr>
    </w:p>
    <w:p>
      <w:pPr>
        <w:spacing w:after="120"/>
      </w:pPr>
      <w:r>
        <w:rPr>
          <w:i/>
          <w:color w:val="555555"/>
          <w:sz w:val="18"/>
        </w:rPr>
        <w:t>Note : le volume traite represente le montant total des transactions passees par la plateforme depuis son lancement. Ce chiffre est distinct des commissions encaissees par BKApay, qui correspondent aux frais de service preleves sur chaque operation.</w:t>
      </w: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Les frais de service sont adaptes par pays et par operateur pour rester competitifs sur chaque marche. La plateforme est deployee et fonctionnelle dans 17 pays depuis novembre 2025, avec une stabilite technique confirmee sur six mois de production reelle.</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genere ses revenus via des frais de service appliques a chaque transaction. Ces frais varient selon le pays et l'operateur afin de s'adapter aux conditions locales. A titre d'exemple, les frais peuvent s'elever a 6 % sur les paiements entrants (depots) et 6 % sur les paiements sortants (retraits), soit 12 % preleves au total sur un cycle complet depot-retrait.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Frais indicatifs</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6 % sur le montant entrant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6 % sur le montant sortant</w:t>
            </w:r>
          </w:p>
        </w:tc>
      </w:tr>
      <w:tr>
        <w:tc>
          <w:tcPr>
            <w:tcW w:type="dxa" w:w="3135"/>
            <w:shd w:val="clear" w:color="auto" w:fill="EEF4FC"/>
            <w:tcBorders>
              <w:top w:val="nil"/>
              <w:left w:val="nil"/>
              <w:bottom w:val="nil"/>
              <w:right w:val="nil"/>
            </w:tcBorders>
          </w:tcPr>
          <w:p>
            <w:r>
              <w:rPr>
                <w:color w:val="333333"/>
                <w:sz w:val="19"/>
              </w:rPr>
              <w:t>Cycle complet depot + retrait</w:t>
            </w:r>
          </w:p>
        </w:tc>
        <w:tc>
          <w:tcPr>
            <w:tcW w:type="dxa" w:w="3135"/>
            <w:shd w:val="clear" w:color="auto" w:fill="EEF4FC"/>
            <w:tcBorders>
              <w:top w:val="nil"/>
              <w:left w:val="nil"/>
              <w:bottom w:val="nil"/>
              <w:right w:val="nil"/>
            </w:tcBorders>
          </w:tcPr>
          <w:p>
            <w:r>
              <w:rPr>
                <w:color w:val="333333"/>
                <w:sz w:val="19"/>
              </w:rPr>
              <w:t>Flux entrant puis sortant</w:t>
            </w:r>
          </w:p>
        </w:tc>
        <w:tc>
          <w:tcPr>
            <w:tcW w:type="dxa" w:w="3135"/>
            <w:shd w:val="clear" w:color="auto" w:fill="EEF4FC"/>
            <w:tcBorders>
              <w:top w:val="nil"/>
              <w:left w:val="nil"/>
              <w:bottom w:val="nil"/>
              <w:right w:val="nil"/>
            </w:tcBorders>
          </w:tcPr>
          <w:p>
            <w:r>
              <w:rPr>
                <w:color w:val="333333"/>
                <w:sz w:val="19"/>
              </w:rPr>
              <w:t>Jusqu'a 12 % au total</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Frais specifiques crypto + reseau</w:t>
            </w:r>
          </w:p>
        </w:tc>
      </w:tr>
    </w:tbl>
    <w:p>
      <w:pPr>
        <w:spacing w:after="60"/>
      </w:pPr>
    </w:p>
    <w:p>
      <w:pPr>
        <w:spacing w:after="80"/>
      </w:pPr>
      <w:r>
        <w:rPr>
          <w:i/>
          <w:color w:val="555555"/>
          <w:sz w:val="18"/>
        </w:rPr>
        <w:t>Note : les taux ci-dessus sont donnes a titre d'exemple. Les frais reels sont configures par l'administrateur selon le pays, l'operateur et le type d'operation.</w:t>
      </w:r>
    </w:p>
    <w:p>
      <w:pPr>
        <w:spacing w:before="120" w:after="80"/>
      </w:pPr>
      <w:r>
        <w:rPr>
          <w:b/>
          <w:color w:val="145AA8"/>
          <w:sz w:val="24"/>
        </w:rPr>
        <w:t>Projections de commissions</w:t>
      </w:r>
    </w:p>
    <w:p>
      <w:pPr>
        <w:spacing w:after="60"/>
      </w:pPr>
      <w:r>
        <w:rPr>
          <w:b w:val="0"/>
          <w:color w:val="333333"/>
          <w:sz w:val="21"/>
        </w:rPr>
        <w:t>Objectif immediat (30 prochains jours) : depasser 50 000 000 FCFA de commissions de frais de service sur le mois. Avec des frais appliques sur les flux entrants et sortants, cet objectif est atteignable a partir d'un volume mensuel bien en deca des capacites techniques de la plateforme.</w:t>
      </w:r>
    </w:p>
    <w:p>
      <w:pPr>
        <w:spacing w:after="60"/>
      </w:pPr>
      <w:r>
        <w:rPr>
          <w:b w:val="0"/>
          <w:color w:val="333333"/>
          <w:sz w:val="21"/>
        </w:rPr>
        <w:t>Objectif a moyen terme : faire croitre ces commissions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spacing w:after="60"/>
      </w:pPr>
      <w:r>
        <w:rPr>
          <w:b w:val="0"/>
          <w:color w:val="333333"/>
          <w:sz w:val="21"/>
        </w:rPr>
        <w:t>Six mois apres son lancement en novembre 2025, BKApay tourne en production sans interruption et sans anomalie technique majeure. L'ensemble des 17 pays est operationnel avec des transactions reelles traitees quotidiennement.</w:t>
      </w:r>
    </w:p>
    <w:p>
      <w:pPr>
        <w:pStyle w:val="ListBullet"/>
        <w:spacing w:after="40"/>
      </w:pPr>
      <w:r>
        <w:rPr>
          <w:color w:val="333333"/>
          <w:sz w:val="21"/>
        </w:rPr>
        <w:t>Lancement en production : novembre 2025 — 6 mois de fonctionnement continu sans incident majeur</w:t>
      </w:r>
    </w:p>
    <w:p>
      <w:pPr>
        <w:pStyle w:val="ListBullet"/>
        <w:spacing w:after="40"/>
      </w:pPr>
      <w:r>
        <w:rPr>
          <w:color w:val="333333"/>
          <w:sz w:val="21"/>
        </w:rPr>
        <w:t>17 pays couverts et pleinement operationnels (Orange, MTN, Wave, Moov, Airtel et autres)</w:t>
      </w:r>
    </w:p>
    <w:p>
      <w:pPr>
        <w:pStyle w:val="ListBullet"/>
        <w:spacing w:after="40"/>
      </w:pPr>
      <w:r>
        <w:rPr>
          <w:color w:val="333333"/>
          <w:sz w:val="21"/>
        </w:rPr>
        <w:t>Plateforme stable, sans erreur critique, disponible 24h/24 et 7j/7 sur bkapay.com</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total de transactions traite depuis le lancement</w:t>
      </w:r>
    </w:p>
    <w:p>
      <w:pPr>
        <w:pStyle w:val="ListBullet"/>
        <w:spacing w:after="40"/>
      </w:pPr>
      <w:r>
        <w:rPr>
          <w:color w:val="333333"/>
          <w:sz w:val="21"/>
        </w:rPr>
        <w:t>Frais de service preleves sur chaque flux entrant et sortant, generant des commissions reelles</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(CI, CM, SN, CD, BJ). Partenariats avec des marchands e-commerce et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et extension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Produit live depuis novembre 2025 — </w:t>
      </w:r>
      <w:r>
        <w:rPr>
          <w:color w:val="333333"/>
          <w:sz w:val="21"/>
        </w:rPr>
        <w:t>Six mois de production reelle sans incident majeur dans 17 pays. Ce n'est pas un prototype ni une demo — c'est une infrastructure qui fonctionne avec de vraies transactions.</w:t>
      </w:r>
    </w:p>
    <w:p>
      <w:pPr>
        <w:spacing w:after="60"/>
      </w:pPr>
      <w:r>
        <w:rPr>
          <w:b/>
          <w:color w:val="145AA8"/>
          <w:sz w:val="21"/>
        </w:rPr>
        <w:t xml:space="preserve">  Multi-pays &amp; multi-operateurs natif — </w:t>
      </w:r>
      <w:r>
        <w:rPr>
          <w:color w:val="333333"/>
          <w:sz w:val="21"/>
        </w:rPr>
        <w:t>17 pays couverts via une architecture modulaire permettant d'ajouter un nouveau pays rapidement.</w:t>
      </w:r>
    </w:p>
    <w:p>
      <w:pPr>
        <w:spacing w:after="60"/>
      </w:pPr>
      <w:r>
        <w:rPr>
          <w:b/>
          <w:color w:val="145AA8"/>
          <w:sz w:val="21"/>
        </w:rPr>
        <w:t xml:space="preserve">  Frais adaptes au marche local — </w:t>
      </w:r>
      <w:r>
        <w:rPr>
          <w:color w:val="333333"/>
          <w:sz w:val="21"/>
        </w:rPr>
        <w:t>Configures par pays et par operateur, les frais optimisent la competitivite sur chaque territoire tout en preservant la rentabilite.</w:t>
      </w:r>
    </w:p>
    <w:p>
      <w:pPr>
        <w:spacing w:after="60"/>
      </w:pPr>
      <w:r>
        <w:rPr>
          <w:b/>
          <w:color w:val="145AA8"/>
          <w:sz w:val="21"/>
        </w:rPr>
        <w:t xml:space="preserve">  Double prelevement sur le cycle complet — </w:t>
      </w:r>
      <w:r>
        <w:rPr>
          <w:color w:val="333333"/>
          <w:sz w:val="21"/>
        </w:rPr>
        <w:t>Frais appliques a l'entree et a la sortie des fonds, maximisant le revenu par utilisateur actif.</w:t>
      </w:r>
    </w:p>
    <w:p>
      <w:pPr>
        <w:spacing w:after="60"/>
      </w:pPr>
      <w:r>
        <w:rPr>
          <w:b/>
          <w:color w:val="145AA8"/>
          <w:sz w:val="21"/>
        </w:rPr>
        <w:t xml:space="preserve">  API Provider-agnostique — </w:t>
      </w:r>
      <w:r>
        <w:rPr>
          <w:color w:val="333333"/>
          <w:sz w:val="21"/>
        </w:rPr>
        <w:t>L'API Business v2.0 abstrait le provider sous-jacent. Un developpeur integre une fois et accede a tous les pays.</w:t>
      </w:r>
    </w:p>
    <w:p>
      <w:pPr>
        <w:spacing w:after="60"/>
      </w:pPr>
      <w:r>
        <w:rPr>
          <w:b/>
          <w:color w:val="145AA8"/>
          <w:sz w:val="21"/>
        </w:rPr>
        <w:t xml:space="preserve">  IA embarquee (EMALI) — </w:t>
      </w:r>
      <w:r>
        <w:rPr>
          <w:color w:val="333333"/>
          <w:sz w:val="21"/>
        </w:rPr>
        <w:t>Assistant conversationnel permettant aux utilisateurs de realiser des transactions en langage naturel.</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depuis six mois en production et a la traction reelle. Ce qui nous manque aujourd'hui n'est pas une preuve de concept — c'est une structuration rigoureuse du narratif investisseur, une modelisation financiere defendable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120"/>
      </w:pPr>
    </w:p>
    <w:p>
      <w:pPr>
        <w:spacing w:before="40" w:after="40"/>
        <w:pBdr>
          <w:bottom w:val="single" w:sz="6" w:space="1" w:color="F38A00"/>
        </w:pBdr>
      </w:pPr>
    </w:p>
    <w:p>
      <w:pPr>
        <w:spacing w:after="40"/>
      </w:pPr>
    </w:p>
    <w:p>
      <w:pPr>
        <w:spacing w:after="40"/>
      </w:pPr>
      <w:r>
        <w:rPr>
          <w:color w:val="555555"/>
          <w:sz w:val="20"/>
        </w:rPr>
        <w:t>Fait a _________________________, le _________________________</w:t>
      </w:r>
    </w:p>
    <w:p>
      <w:pPr>
        <w:spacing w:after="160"/>
      </w:pPr>
    </w:p>
    <w:p>
      <w:pPr>
        <w:spacing w:after="40"/>
        <w:jc w:val="center"/>
      </w:pPr>
      <w:r>
        <w:rPr>
          <w:b/>
          <w:color w:val="0A295E"/>
          <w:sz w:val="26"/>
        </w:rPr>
        <w:t>Kpetekousso Emali Juste</w:t>
      </w:r>
    </w:p>
    <w:p>
      <w:pPr>
        <w:spacing w:after="200"/>
        <w:jc w:val="center"/>
      </w:pPr>
      <w:r>
        <w:rPr>
          <w:color w:val="145AA8"/>
          <w:sz w:val="21"/>
        </w:rPr>
        <w:t>Fondateur &amp; CEO — BKApay</w:t>
      </w:r>
    </w:p>
    <w:p>
      <w:pPr>
        <w:spacing w:before="40" w:after="40"/>
        <w:pBdr>
          <w:bottom w:val="single" w:sz="6" w:space="1" w:color="CCCCCC"/>
        </w:pBdr>
      </w:pPr>
    </w:p>
    <w:p>
      <w:pPr>
        <w:spacing w:after="40"/>
      </w:pP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F5F8FF"/>
            <w:tcBorders>
              <w:top w:val="nil"/>
              <w:left w:val="nil"/>
              <w:bottom w:val="nil"/>
              <w:right w:val="nil"/>
            </w:tcBorders>
          </w:tcPr>
          <w:p>
            <w:r>
              <w:rPr>
                <w:b/>
                <w:color w:val="555555"/>
                <w:sz w:val="19"/>
              </w:rPr>
              <w:t>Site web</w:t>
            </w:r>
          </w:p>
        </w:tc>
        <w:tc>
          <w:tcPr>
            <w:tcW w:type="dxa" w:w="4703"/>
            <w:shd w:val="clear" w:color="auto" w:fill="F5F8FF"/>
            <w:tcBorders>
              <w:top w:val="nil"/>
              <w:left w:val="nil"/>
              <w:bottom w:val="nil"/>
              <w:right w:val="nil"/>
            </w:tcBorders>
          </w:tcPr>
          <w:p>
            <w:r>
              <w:rPr>
                <w:color w:val="333333"/>
                <w:sz w:val="19"/>
              </w:rPr>
              <w:t>bkapay.com</w:t>
            </w:r>
          </w:p>
        </w:tc>
      </w:tr>
      <w:tr>
        <w:tc>
          <w:tcPr>
            <w:tcW w:type="dxa" w:w="4703"/>
            <w:shd w:val="clear" w:color="auto" w:fill="FFFFFF"/>
            <w:tcBorders>
              <w:top w:val="nil"/>
              <w:left w:val="nil"/>
              <w:bottom w:val="nil"/>
              <w:right w:val="nil"/>
            </w:tcBorders>
          </w:tcPr>
          <w:p>
            <w:r>
              <w:rPr>
                <w:b/>
                <w:color w:val="555555"/>
                <w:sz w:val="19"/>
              </w:rPr>
              <w:t>Email professionnel</w:t>
            </w:r>
          </w:p>
        </w:tc>
        <w:tc>
          <w:tcPr>
            <w:tcW w:type="dxa" w:w="4703"/>
            <w:shd w:val="clear" w:color="auto" w:fill="FFFFFF"/>
            <w:tcBorders>
              <w:top w:val="nil"/>
              <w:left w:val="nil"/>
              <w:bottom w:val="nil"/>
              <w:right w:val="nil"/>
            </w:tcBorders>
          </w:tcPr>
          <w:p>
            <w:r>
              <w:rPr>
                <w:color w:val="333333"/>
                <w:sz w:val="19"/>
              </w:rPr>
              <w:t>support@bkapay.com</w:t>
            </w:r>
          </w:p>
        </w:tc>
      </w:tr>
      <w:tr>
        <w:tc>
          <w:tcPr>
            <w:tcW w:type="dxa" w:w="4703"/>
            <w:shd w:val="clear" w:color="auto" w:fill="F5F8FF"/>
            <w:tcBorders>
              <w:top w:val="nil"/>
              <w:left w:val="nil"/>
              <w:bottom w:val="nil"/>
              <w:right w:val="nil"/>
            </w:tcBorders>
          </w:tcPr>
          <w:p>
            <w:r>
              <w:rPr>
                <w:b/>
                <w:color w:val="555555"/>
                <w:sz w:val="19"/>
              </w:rPr>
              <w:t>Email personnel</w:t>
            </w:r>
          </w:p>
        </w:tc>
        <w:tc>
          <w:tcPr>
            <w:tcW w:type="dxa" w:w="4703"/>
            <w:shd w:val="clear" w:color="auto" w:fill="F5F8FF"/>
            <w:tcBorders>
              <w:top w:val="nil"/>
              <w:left w:val="nil"/>
              <w:bottom w:val="nil"/>
              <w:right w:val="nil"/>
            </w:tcBorders>
          </w:tcPr>
          <w:p>
            <w:r>
              <w:rPr>
                <w:color w:val="333333"/>
                <w:sz w:val="19"/>
              </w:rPr>
              <w:t>kpetekoussojuste11@gmail.com</w:t>
            </w:r>
          </w:p>
        </w:tc>
      </w:tr>
      <w:tr>
        <w:tc>
          <w:tcPr>
            <w:tcW w:type="dxa" w:w="4703"/>
            <w:shd w:val="clear" w:color="auto" w:fill="FFFFFF"/>
            <w:tcBorders>
              <w:top w:val="nil"/>
              <w:left w:val="nil"/>
              <w:bottom w:val="nil"/>
              <w:right w:val="nil"/>
            </w:tcBorders>
          </w:tcPr>
          <w:p>
            <w:r>
              <w:rPr>
                <w:b/>
                <w:color w:val="555555"/>
                <w:sz w:val="19"/>
              </w:rPr>
              <w:t>Telephone / WhatsApp</w:t>
            </w:r>
          </w:p>
        </w:tc>
        <w:tc>
          <w:tcPr>
            <w:tcW w:type="dxa" w:w="4703"/>
            <w:shd w:val="clear" w:color="auto" w:fill="FFFFFF"/>
            <w:tcBorders>
              <w:top w:val="nil"/>
              <w:left w:val="nil"/>
              <w:bottom w:val="nil"/>
              <w:right w:val="nil"/>
            </w:tcBorders>
          </w:tcPr>
          <w:p>
            <w:r>
              <w:rPr>
                <w:color w:val="333333"/>
                <w:sz w:val="19"/>
              </w:rPr>
              <w:t>+229 01 46 44 73 19</w:t>
            </w:r>
          </w:p>
        </w:tc>
      </w:tr>
    </w:tbl>
    <w:p>
      <w:pPr>
        <w:spacing w:after="120"/>
      </w:pP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