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A295E"/>
          <w:sz w:val="52"/>
        </w:rPr>
        <w:t>BKApay</w:t>
      </w:r>
    </w:p>
    <w:p>
      <w:pPr>
        <w:spacing w:after="40"/>
        <w:jc w:val="center"/>
      </w:pPr>
      <w:r>
        <w:rPr>
          <w:color w:val="F38A00"/>
          <w:sz w:val="24"/>
        </w:rPr>
        <w:t>Plateforme de paiement Mobile Money pour l'Afrique</w:t>
      </w:r>
    </w:p>
    <w:p>
      <w:pPr>
        <w:spacing w:after="40"/>
        <w:jc w:val="center"/>
      </w:pPr>
      <w:r>
        <w:rPr>
          <w:i/>
          <w:color w:val="555555"/>
          <w:sz w:val="20"/>
        </w:rPr>
        <w:t>Dossier de presentation — Candidature a l'accompagnement strategique</w:t>
      </w:r>
    </w:p>
    <w:p>
      <w:pPr>
        <w:spacing w:after="200"/>
        <w:jc w:val="center"/>
      </w:pPr>
      <w:r>
        <w:rPr>
          <w:b/>
          <w:color w:val="145AA8"/>
          <w:sz w:val="22"/>
        </w:rPr>
        <w:t>Kpetekousso Emali Juste  —  Fondateur &amp; CEO</w:t>
      </w:r>
    </w:p>
    <w:p>
      <w:pPr>
        <w:spacing w:before="40" w:after="40"/>
        <w:pBdr>
          <w:bottom w:val="single" w:sz="6" w:space="1" w:color="F38A00"/>
        </w:pBdr>
      </w:pPr>
    </w:p>
    <w:p>
      <w:pPr>
        <w:spacing w:before="120" w:after="80"/>
      </w:pPr>
      <w:r>
        <w:rPr>
          <w:b/>
          <w:color w:val="0A295E"/>
          <w:sz w:val="30"/>
        </w:rPr>
        <w:t>1.  Resume executif</w:t>
      </w:r>
    </w:p>
    <w:p>
      <w:pPr>
        <w:spacing w:after="60"/>
      </w:pPr>
      <w:r>
        <w:rPr>
          <w:b w:val="0"/>
          <w:color w:val="333333"/>
          <w:sz w:val="21"/>
        </w:rPr>
        <w:t>BKApay est une infrastructure de paiement mobile money operationnelle dans 17 pays africains, permettant a des particuliers, entreprises et developpeurs d'envoyer, recevoir et gerer des fonds via les reseaux telephoniques locaux (Orange Money, MTN MoMo, Wave, etc.). La plateforme est live, genere des commissions reelles et croit activement sur ses marches cles.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A295E"/>
            <w:tcBorders>
              <w:top w:val="nil"/>
              <w:left w:val="nil"/>
              <w:bottom w:val="nil"/>
              <w:right w:val="nil"/>
            </w:tcBorders>
          </w:tcPr>
          <w:p>
            <w:pPr>
              <w:jc w:val="center"/>
            </w:pPr>
            <w:r>
              <w:rPr>
                <w:b/>
                <w:color w:val="FFFFFF"/>
                <w:sz w:val="19"/>
              </w:rPr>
              <w:t>Utilisateurs inscrits</w:t>
            </w:r>
          </w:p>
        </w:tc>
        <w:tc>
          <w:tcPr>
            <w:tcW w:type="dxa" w:w="3135"/>
            <w:shd w:val="clear" w:color="auto" w:fill="0A295E"/>
            <w:tcBorders>
              <w:top w:val="nil"/>
              <w:left w:val="nil"/>
              <w:bottom w:val="nil"/>
              <w:right w:val="nil"/>
            </w:tcBorders>
          </w:tcPr>
          <w:p>
            <w:pPr>
              <w:jc w:val="center"/>
            </w:pPr>
            <w:r>
              <w:rPr>
                <w:b/>
                <w:color w:val="FFFFFF"/>
                <w:sz w:val="19"/>
              </w:rPr>
              <w:t>KYC verifies</w:t>
            </w:r>
          </w:p>
        </w:tc>
        <w:tc>
          <w:tcPr>
            <w:tcW w:type="dxa" w:w="3135"/>
            <w:shd w:val="clear" w:color="auto" w:fill="0A295E"/>
            <w:tcBorders>
              <w:top w:val="nil"/>
              <w:left w:val="nil"/>
              <w:bottom w:val="nil"/>
              <w:right w:val="nil"/>
            </w:tcBorders>
          </w:tcPr>
          <w:p>
            <w:pPr>
              <w:jc w:val="center"/>
            </w:pPr>
            <w:r>
              <w:rPr>
                <w:b/>
                <w:color w:val="FFFFFF"/>
                <w:sz w:val="19"/>
              </w:rPr>
              <w:t>Volume traite (cumule)</w:t>
            </w:r>
          </w:p>
        </w:tc>
      </w:tr>
      <w:tr>
        <w:tc>
          <w:tcPr>
            <w:tcW w:type="dxa" w:w="3135"/>
            <w:shd w:val="clear" w:color="auto" w:fill="E8F0FA"/>
            <w:tcBorders>
              <w:top w:val="nil"/>
              <w:left w:val="nil"/>
              <w:bottom w:val="nil"/>
              <w:right w:val="nil"/>
            </w:tcBorders>
          </w:tcPr>
          <w:p>
            <w:pPr>
              <w:jc w:val="center"/>
            </w:pPr>
            <w:r>
              <w:rPr>
                <w:b/>
                <w:color w:val="0A295E"/>
                <w:sz w:val="21"/>
              </w:rPr>
              <w:t>~600 utilisateurs</w:t>
            </w:r>
          </w:p>
        </w:tc>
        <w:tc>
          <w:tcPr>
            <w:tcW w:type="dxa" w:w="3135"/>
            <w:shd w:val="clear" w:color="auto" w:fill="E8F0FA"/>
            <w:tcBorders>
              <w:top w:val="nil"/>
              <w:left w:val="nil"/>
              <w:bottom w:val="nil"/>
              <w:right w:val="nil"/>
            </w:tcBorders>
          </w:tcPr>
          <w:p>
            <w:pPr>
              <w:jc w:val="center"/>
            </w:pPr>
            <w:r>
              <w:rPr>
                <w:b/>
                <w:color w:val="0A295E"/>
                <w:sz w:val="21"/>
              </w:rPr>
              <w:t>~60 verifies</w:t>
            </w:r>
          </w:p>
        </w:tc>
        <w:tc>
          <w:tcPr>
            <w:tcW w:type="dxa" w:w="3135"/>
            <w:shd w:val="clear" w:color="auto" w:fill="E8F0FA"/>
            <w:tcBorders>
              <w:top w:val="nil"/>
              <w:left w:val="nil"/>
              <w:bottom w:val="nil"/>
              <w:right w:val="nil"/>
            </w:tcBorders>
          </w:tcPr>
          <w:p>
            <w:pPr>
              <w:jc w:val="center"/>
            </w:pPr>
            <w:r>
              <w:rPr>
                <w:b/>
                <w:color w:val="0A295E"/>
                <w:sz w:val="21"/>
              </w:rPr>
              <w:t>~20 000 000 XOF</w:t>
            </w:r>
          </w:p>
        </w:tc>
      </w:tr>
    </w:tbl>
    <w:p>
      <w:pPr>
        <w:spacing w:after="120"/>
      </w:pPr>
    </w:p>
    <w:p>
      <w:pPr>
        <w:spacing w:before="40" w:after="40"/>
        <w:pBdr>
          <w:bottom w:val="single" w:sz="6" w:space="1" w:color="145AA8"/>
        </w:pBdr>
      </w:pPr>
    </w:p>
    <w:p>
      <w:pPr>
        <w:spacing w:before="120" w:after="80"/>
      </w:pPr>
      <w:r>
        <w:rPr>
          <w:b/>
          <w:color w:val="0A295E"/>
          <w:sz w:val="30"/>
        </w:rPr>
        <w:t>2.  Le probleme &amp; la solution</w:t>
      </w:r>
    </w:p>
    <w:p>
      <w:pPr>
        <w:spacing w:before="120" w:after="80"/>
      </w:pPr>
      <w:r>
        <w:rPr>
          <w:b/>
          <w:color w:val="145AA8"/>
          <w:sz w:val="24"/>
        </w:rPr>
        <w:t>Probleme</w:t>
      </w:r>
    </w:p>
    <w:p>
      <w:pPr>
        <w:spacing w:after="60"/>
      </w:pPr>
      <w:r>
        <w:rPr>
          <w:b w:val="0"/>
          <w:color w:val="333333"/>
          <w:sz w:val="21"/>
        </w:rPr>
        <w:t>En Afrique subsaharienne, plusieurs centaines de millions de personnes disposent d'un telephone mais n'ont pas de compte bancaire. Les transferts d'argent passent par des operateurs mobiles fragmentes, sans interface unifiee pour les commercants et les entreprises. Les frais sont opaques, les integrations API inexistantes ou couteuses, et les delais de reglement longs.</w:t>
      </w:r>
    </w:p>
    <w:p>
      <w:pPr>
        <w:spacing w:before="120" w:after="80"/>
      </w:pPr>
      <w:r>
        <w:rPr>
          <w:b/>
          <w:color w:val="145AA8"/>
          <w:sz w:val="24"/>
        </w:rPr>
        <w:t>Solution</w:t>
      </w:r>
    </w:p>
    <w:p>
      <w:pPr>
        <w:spacing w:after="60"/>
      </w:pPr>
      <w:r>
        <w:rPr>
          <w:b w:val="0"/>
          <w:color w:val="333333"/>
          <w:sz w:val="21"/>
        </w:rPr>
        <w:t>BKApay centralise l'acces a tous ces operateurs via une API unique, des liens de paiement sans code, un tableau de bord marchand complet et un assistant IA (EMALI) pour piloter les transactions en langage naturel. Frais transparents et uniformes a 6 %. Deploiement immediat dans 17 pays.</w:t>
      </w:r>
    </w:p>
    <w:p>
      <w:pPr>
        <w:spacing w:before="40" w:after="40"/>
        <w:pBdr>
          <w:bottom w:val="single" w:sz="6" w:space="1" w:color="145AA8"/>
        </w:pBdr>
      </w:pPr>
    </w:p>
    <w:p>
      <w:pPr>
        <w:spacing w:before="120" w:after="80"/>
      </w:pPr>
      <w:r>
        <w:rPr>
          <w:b/>
          <w:color w:val="0A295E"/>
          <w:sz w:val="30"/>
        </w:rPr>
        <w:t>3.  Modele economique</w:t>
      </w:r>
    </w:p>
    <w:p>
      <w:pPr>
        <w:spacing w:after="60"/>
      </w:pPr>
      <w:r>
        <w:rPr>
          <w:b w:val="0"/>
          <w:color w:val="333333"/>
          <w:sz w:val="21"/>
        </w:rPr>
        <w:t>BKApay applique une commission de service uniforme de 6 % sur chaque transaction (entrante ou sortante). Cette simplicite tarifaire est un avantage competitif : les marchands comprennent exactement ce qu'ils paient, les developpeurs peuvent modeliser leurs couts sans surprise.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45AA8"/>
            <w:tcBorders>
              <w:top w:val="nil"/>
              <w:left w:val="nil"/>
              <w:bottom w:val="nil"/>
              <w:right w:val="nil"/>
            </w:tcBorders>
          </w:tcPr>
          <w:p>
            <w:pPr>
              <w:jc w:val="center"/>
            </w:pPr>
            <w:r>
              <w:rPr>
                <w:b/>
                <w:color w:val="FFFFFF"/>
                <w:sz w:val="19"/>
              </w:rPr>
              <w:t>Source de revenus</w:t>
            </w:r>
          </w:p>
        </w:tc>
        <w:tc>
          <w:tcPr>
            <w:tcW w:type="dxa" w:w="3135"/>
            <w:shd w:val="clear" w:color="auto" w:fill="145AA8"/>
            <w:tcBorders>
              <w:top w:val="nil"/>
              <w:left w:val="nil"/>
              <w:bottom w:val="nil"/>
              <w:right w:val="nil"/>
            </w:tcBorders>
          </w:tcPr>
          <w:p>
            <w:pPr>
              <w:jc w:val="center"/>
            </w:pPr>
            <w:r>
              <w:rPr>
                <w:b/>
                <w:color w:val="FFFFFF"/>
                <w:sz w:val="19"/>
              </w:rPr>
              <w:t>Mecanisme</w:t>
            </w:r>
          </w:p>
        </w:tc>
        <w:tc>
          <w:tcPr>
            <w:tcW w:type="dxa" w:w="3135"/>
            <w:shd w:val="clear" w:color="auto" w:fill="145AA8"/>
            <w:tcBorders>
              <w:top w:val="nil"/>
              <w:left w:val="nil"/>
              <w:bottom w:val="nil"/>
              <w:right w:val="nil"/>
            </w:tcBorders>
          </w:tcPr>
          <w:p>
            <w:pPr>
              <w:jc w:val="center"/>
            </w:pPr>
            <w:r>
              <w:rPr>
                <w:b/>
                <w:color w:val="FFFFFF"/>
                <w:sz w:val="19"/>
              </w:rPr>
              <w:t>Commission</w:t>
            </w:r>
          </w:p>
        </w:tc>
      </w:tr>
      <w:tr>
        <w:tc>
          <w:tcPr>
            <w:tcW w:type="dxa" w:w="3135"/>
            <w:shd w:val="clear" w:color="auto" w:fill="EEF4FC"/>
            <w:tcBorders>
              <w:top w:val="nil"/>
              <w:left w:val="nil"/>
              <w:bottom w:val="nil"/>
              <w:right w:val="nil"/>
            </w:tcBorders>
          </w:tcPr>
          <w:p>
            <w:r>
              <w:rPr>
                <w:color w:val="333333"/>
                <w:sz w:val="19"/>
              </w:rPr>
              <w:t>Depots Mobile Money</w:t>
            </w:r>
          </w:p>
        </w:tc>
        <w:tc>
          <w:tcPr>
            <w:tcW w:type="dxa" w:w="3135"/>
            <w:shd w:val="clear" w:color="auto" w:fill="EEF4FC"/>
            <w:tcBorders>
              <w:top w:val="nil"/>
              <w:left w:val="nil"/>
              <w:bottom w:val="nil"/>
              <w:right w:val="nil"/>
            </w:tcBorders>
          </w:tcPr>
          <w:p>
            <w:r>
              <w:rPr>
                <w:color w:val="333333"/>
                <w:sz w:val="19"/>
              </w:rPr>
              <w:t>Liens de paiement, API depot</w:t>
            </w:r>
          </w:p>
        </w:tc>
        <w:tc>
          <w:tcPr>
            <w:tcW w:type="dxa" w:w="3135"/>
            <w:shd w:val="clear" w:color="auto" w:fill="EEF4FC"/>
            <w:tcBorders>
              <w:top w:val="nil"/>
              <w:left w:val="nil"/>
              <w:bottom w:val="nil"/>
              <w:right w:val="nil"/>
            </w:tcBorders>
          </w:tcPr>
          <w:p>
            <w:r>
              <w:rPr>
                <w:color w:val="333333"/>
                <w:sz w:val="19"/>
              </w:rPr>
              <w:t>6 % du montant</w:t>
            </w:r>
          </w:p>
        </w:tc>
      </w:tr>
      <w:tr>
        <w:tc>
          <w:tcPr>
            <w:tcW w:type="dxa" w:w="3135"/>
            <w:shd w:val="clear" w:color="auto" w:fill="FFFFFF"/>
            <w:tcBorders>
              <w:top w:val="nil"/>
              <w:left w:val="nil"/>
              <w:bottom w:val="nil"/>
              <w:right w:val="nil"/>
            </w:tcBorders>
          </w:tcPr>
          <w:p>
            <w:r>
              <w:rPr>
                <w:color w:val="333333"/>
                <w:sz w:val="19"/>
              </w:rPr>
              <w:t>Retraits Mobile Money</w:t>
            </w:r>
          </w:p>
        </w:tc>
        <w:tc>
          <w:tcPr>
            <w:tcW w:type="dxa" w:w="3135"/>
            <w:shd w:val="clear" w:color="auto" w:fill="FFFFFF"/>
            <w:tcBorders>
              <w:top w:val="nil"/>
              <w:left w:val="nil"/>
              <w:bottom w:val="nil"/>
              <w:right w:val="nil"/>
            </w:tcBorders>
          </w:tcPr>
          <w:p>
            <w:r>
              <w:rPr>
                <w:color w:val="333333"/>
                <w:sz w:val="19"/>
              </w:rPr>
              <w:t>API retrait, retrait dashboard</w:t>
            </w:r>
          </w:p>
        </w:tc>
        <w:tc>
          <w:tcPr>
            <w:tcW w:type="dxa" w:w="3135"/>
            <w:shd w:val="clear" w:color="auto" w:fill="FFFFFF"/>
            <w:tcBorders>
              <w:top w:val="nil"/>
              <w:left w:val="nil"/>
              <w:bottom w:val="nil"/>
              <w:right w:val="nil"/>
            </w:tcBorders>
          </w:tcPr>
          <w:p>
            <w:r>
              <w:rPr>
                <w:color w:val="333333"/>
                <w:sz w:val="19"/>
              </w:rPr>
              <w:t>6 % du montant</w:t>
            </w:r>
          </w:p>
        </w:tc>
      </w:tr>
      <w:tr>
        <w:tc>
          <w:tcPr>
            <w:tcW w:type="dxa" w:w="3135"/>
            <w:shd w:val="clear" w:color="auto" w:fill="EEF4FC"/>
            <w:tcBorders>
              <w:top w:val="nil"/>
              <w:left w:val="nil"/>
              <w:bottom w:val="nil"/>
              <w:right w:val="nil"/>
            </w:tcBorders>
          </w:tcPr>
          <w:p>
            <w:r>
              <w:rPr>
                <w:color w:val="333333"/>
                <w:sz w:val="19"/>
              </w:rPr>
              <w:t>Transferts internes</w:t>
            </w:r>
          </w:p>
        </w:tc>
        <w:tc>
          <w:tcPr>
            <w:tcW w:type="dxa" w:w="3135"/>
            <w:shd w:val="clear" w:color="auto" w:fill="EEF4FC"/>
            <w:tcBorders>
              <w:top w:val="nil"/>
              <w:left w:val="nil"/>
              <w:bottom w:val="nil"/>
              <w:right w:val="nil"/>
            </w:tcBorders>
          </w:tcPr>
          <w:p>
            <w:r>
              <w:rPr>
                <w:color w:val="333333"/>
                <w:sz w:val="19"/>
              </w:rPr>
              <w:t>Personne vers Personne / Business</w:t>
            </w:r>
          </w:p>
        </w:tc>
        <w:tc>
          <w:tcPr>
            <w:tcW w:type="dxa" w:w="3135"/>
            <w:shd w:val="clear" w:color="auto" w:fill="EEF4FC"/>
            <w:tcBorders>
              <w:top w:val="nil"/>
              <w:left w:val="nil"/>
              <w:bottom w:val="nil"/>
              <w:right w:val="nil"/>
            </w:tcBorders>
          </w:tcPr>
          <w:p>
            <w:r>
              <w:rPr>
                <w:color w:val="333333"/>
                <w:sz w:val="19"/>
              </w:rPr>
              <w:t>6 % du montant</w:t>
            </w:r>
          </w:p>
        </w:tc>
      </w:tr>
      <w:tr>
        <w:tc>
          <w:tcPr>
            <w:tcW w:type="dxa" w:w="3135"/>
            <w:shd w:val="clear" w:color="auto" w:fill="FFFFFF"/>
            <w:tcBorders>
              <w:top w:val="nil"/>
              <w:left w:val="nil"/>
              <w:bottom w:val="nil"/>
              <w:right w:val="nil"/>
            </w:tcBorders>
          </w:tcPr>
          <w:p>
            <w:r>
              <w:rPr>
                <w:color w:val="333333"/>
                <w:sz w:val="19"/>
              </w:rPr>
              <w:t>Crypto (NOWPayments)</w:t>
            </w:r>
          </w:p>
        </w:tc>
        <w:tc>
          <w:tcPr>
            <w:tcW w:type="dxa" w:w="3135"/>
            <w:shd w:val="clear" w:color="auto" w:fill="FFFFFF"/>
            <w:tcBorders>
              <w:top w:val="nil"/>
              <w:left w:val="nil"/>
              <w:bottom w:val="nil"/>
              <w:right w:val="nil"/>
            </w:tcBorders>
          </w:tcPr>
          <w:p>
            <w:r>
              <w:rPr>
                <w:color w:val="333333"/>
                <w:sz w:val="19"/>
              </w:rPr>
              <w:t>Retrait en cryptomonnaie</w:t>
            </w:r>
          </w:p>
        </w:tc>
        <w:tc>
          <w:tcPr>
            <w:tcW w:type="dxa" w:w="3135"/>
            <w:shd w:val="clear" w:color="auto" w:fill="FFFFFF"/>
            <w:tcBorders>
              <w:top w:val="nil"/>
              <w:left w:val="nil"/>
              <w:bottom w:val="nil"/>
              <w:right w:val="nil"/>
            </w:tcBorders>
          </w:tcPr>
          <w:p>
            <w:r>
              <w:rPr>
                <w:color w:val="333333"/>
                <w:sz w:val="19"/>
              </w:rPr>
              <w:t>10 % + frais reseau</w:t>
            </w:r>
          </w:p>
        </w:tc>
      </w:tr>
    </w:tbl>
    <w:p>
      <w:pPr>
        <w:spacing w:after="80"/>
      </w:pPr>
    </w:p>
    <w:p>
      <w:pPr>
        <w:spacing w:before="120" w:after="80"/>
      </w:pPr>
      <w:r>
        <w:rPr>
          <w:b/>
          <w:color w:val="145AA8"/>
          <w:sz w:val="24"/>
        </w:rPr>
        <w:t>Projections de commissions</w:t>
      </w:r>
    </w:p>
    <w:p>
      <w:pPr>
        <w:spacing w:after="60"/>
      </w:pPr>
      <w:r>
        <w:rPr>
          <w:b w:val="0"/>
          <w:color w:val="333333"/>
          <w:sz w:val="21"/>
        </w:rPr>
        <w:t>Objectif immediat (30 jours) : depasser 100 000 USD de commissions mensuelles, soit environ 5 a 6 milliards XOF traites sur le mois a 6 %. Objectif a moyen terme : atteindre 1 million USD de commission journaliere, representant 50 millions USD de commissions mensuelles et un volume mensuel de 833 millions USD.</w:t>
      </w:r>
    </w:p>
    <w:p>
      <w:pPr>
        <w:spacing w:before="40" w:after="40"/>
        <w:pBdr>
          <w:bottom w:val="single" w:sz="6" w:space="1" w:color="145AA8"/>
        </w:pBdr>
      </w:pPr>
    </w:p>
    <w:p>
      <w:pPr>
        <w:spacing w:before="120" w:after="80"/>
      </w:pPr>
      <w:r>
        <w:rPr>
          <w:b/>
          <w:color w:val="0A295E"/>
          <w:sz w:val="30"/>
        </w:rPr>
        <w:t>4.  Traction &amp; etat du produit</w:t>
      </w:r>
    </w:p>
    <w:p>
      <w:pPr>
        <w:pStyle w:val="ListBullet"/>
        <w:spacing w:after="40"/>
      </w:pPr>
      <w:r>
        <w:rPr>
          <w:color w:val="333333"/>
          <w:sz w:val="21"/>
        </w:rPr>
        <w:t>Plateforme live en production (bkapay.com), accessible 24h/24 et 7j/7</w:t>
      </w:r>
    </w:p>
    <w:p>
      <w:pPr>
        <w:pStyle w:val="ListBullet"/>
        <w:spacing w:after="40"/>
      </w:pPr>
      <w:r>
        <w:rPr>
          <w:color w:val="333333"/>
          <w:sz w:val="21"/>
        </w:rPr>
        <w:t>17 pays couverts avec plusieurs operateurs par pays (Orange, MTN, Wave, Moov, Airtel...)</w:t>
      </w:r>
    </w:p>
    <w:p>
      <w:pPr>
        <w:pStyle w:val="ListBullet"/>
        <w:spacing w:after="40"/>
      </w:pPr>
      <w:r>
        <w:rPr>
          <w:color w:val="333333"/>
          <w:sz w:val="21"/>
        </w:rPr>
        <w:t>~600 utilisateurs inscrits dont ~60 ont complete le processus KYC</w:t>
      </w:r>
    </w:p>
    <w:p>
      <w:pPr>
        <w:pStyle w:val="ListBullet"/>
        <w:spacing w:after="40"/>
      </w:pPr>
      <w:r>
        <w:rPr>
          <w:color w:val="333333"/>
          <w:sz w:val="21"/>
        </w:rPr>
        <w:t>~20 millions XOF de volume de transactions traite depuis le lancement</w:t>
      </w:r>
    </w:p>
    <w:p>
      <w:pPr>
        <w:pStyle w:val="ListBullet"/>
        <w:spacing w:after="40"/>
      </w:pPr>
      <w:r>
        <w:rPr>
          <w:color w:val="333333"/>
          <w:sz w:val="21"/>
        </w:rPr>
        <w:t>API Business v2.0 operationnelle (payin, payout, webhooks, cles API)</w:t>
      </w:r>
    </w:p>
    <w:p>
      <w:pPr>
        <w:pStyle w:val="ListBullet"/>
        <w:spacing w:after="40"/>
      </w:pPr>
      <w:r>
        <w:rPr>
          <w:color w:val="333333"/>
          <w:sz w:val="21"/>
        </w:rPr>
        <w:t>Liens de paiement avec frais configurables et champs personnalises</w:t>
      </w:r>
    </w:p>
    <w:p>
      <w:pPr>
        <w:pStyle w:val="ListBullet"/>
        <w:spacing w:after="40"/>
      </w:pPr>
      <w:r>
        <w:rPr>
          <w:color w:val="333333"/>
          <w:sz w:val="21"/>
        </w:rPr>
        <w:t>Assistant IA EMALI integre pour piloter les transactions en langage naturel</w:t>
      </w:r>
    </w:p>
    <w:p>
      <w:pPr>
        <w:pStyle w:val="ListBullet"/>
        <w:spacing w:after="40"/>
      </w:pPr>
      <w:r>
        <w:rPr>
          <w:color w:val="333333"/>
          <w:sz w:val="21"/>
        </w:rPr>
        <w:t>Module crypto (NOWPayments) fonctionnel pour retraits en devises numeriques</w:t>
      </w:r>
    </w:p>
    <w:p>
      <w:pPr>
        <w:pStyle w:val="ListBullet"/>
        <w:spacing w:after="40"/>
      </w:pPr>
      <w:r>
        <w:rPr>
          <w:color w:val="333333"/>
          <w:sz w:val="21"/>
        </w:rPr>
        <w:t>Dashboard admin complet : KYC, suspension, diffusion, historique detaille</w:t>
      </w:r>
    </w:p>
    <w:p>
      <w:pPr>
        <w:pStyle w:val="ListBullet"/>
        <w:spacing w:after="40"/>
      </w:pPr>
      <w:r>
        <w:rPr>
          <w:color w:val="333333"/>
          <w:sz w:val="21"/>
        </w:rPr>
        <w:t>Systeme de webhooks et callbacks temps reel pour integrations tierces</w:t>
      </w:r>
    </w:p>
    <w:p>
      <w:pPr>
        <w:spacing w:before="40" w:after="40"/>
        <w:pBdr>
          <w:bottom w:val="single" w:sz="6" w:space="1" w:color="145AA8"/>
        </w:pBdr>
      </w:pPr>
    </w:p>
    <w:p>
      <w:pPr>
        <w:spacing w:before="120" w:after="80"/>
      </w:pPr>
      <w:r>
        <w:rPr>
          <w:b/>
          <w:color w:val="0A295E"/>
          <w:sz w:val="30"/>
        </w:rPr>
        <w:t>5.  Besoins en financement</w:t>
      </w:r>
    </w:p>
    <w:p>
      <w:pPr>
        <w:spacing w:after="60"/>
      </w:pPr>
      <w:r>
        <w:rPr>
          <w:b w:val="0"/>
          <w:color w:val="333333"/>
          <w:sz w:val="21"/>
        </w:rPr>
        <w:t>Pour atteindre les objectifs de croissance a court terme, BKApay cherche a mobiliser des fonds orientes vers trois axes strategiques :</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A295E"/>
            <w:tcBorders>
              <w:top w:val="nil"/>
              <w:left w:val="nil"/>
              <w:bottom w:val="nil"/>
              <w:right w:val="nil"/>
            </w:tcBorders>
          </w:tcPr>
          <w:p>
            <w:pPr>
              <w:jc w:val="center"/>
            </w:pPr>
            <w:r>
              <w:rPr>
                <w:b/>
                <w:color w:val="FFFFFF"/>
                <w:sz w:val="19"/>
              </w:rPr>
              <w:t>Axe d'investissement</w:t>
            </w:r>
          </w:p>
        </w:tc>
        <w:tc>
          <w:tcPr>
            <w:tcW w:type="dxa" w:w="3135"/>
            <w:shd w:val="clear" w:color="auto" w:fill="0A295E"/>
            <w:tcBorders>
              <w:top w:val="nil"/>
              <w:left w:val="nil"/>
              <w:bottom w:val="nil"/>
              <w:right w:val="nil"/>
            </w:tcBorders>
          </w:tcPr>
          <w:p>
            <w:pPr>
              <w:jc w:val="center"/>
            </w:pPr>
            <w:r>
              <w:rPr>
                <w:b/>
                <w:color w:val="FFFFFF"/>
                <w:sz w:val="19"/>
              </w:rPr>
              <w:t>Description</w:t>
            </w:r>
          </w:p>
        </w:tc>
        <w:tc>
          <w:tcPr>
            <w:tcW w:type="dxa" w:w="3135"/>
            <w:shd w:val="clear" w:color="auto" w:fill="0A295E"/>
            <w:tcBorders>
              <w:top w:val="nil"/>
              <w:left w:val="nil"/>
              <w:bottom w:val="nil"/>
              <w:right w:val="nil"/>
            </w:tcBorders>
          </w:tcPr>
          <w:p>
            <w:pPr>
              <w:jc w:val="center"/>
            </w:pPr>
            <w:r>
              <w:rPr>
                <w:b/>
                <w:color w:val="FFFFFF"/>
                <w:sz w:val="19"/>
              </w:rPr>
              <w:t>Priorite</w:t>
            </w:r>
          </w:p>
        </w:tc>
      </w:tr>
      <w:tr>
        <w:tc>
          <w:tcPr>
            <w:tcW w:type="dxa" w:w="3135"/>
            <w:shd w:val="clear" w:color="auto" w:fill="EEF4FC"/>
            <w:tcBorders>
              <w:top w:val="nil"/>
              <w:left w:val="nil"/>
              <w:bottom w:val="nil"/>
              <w:right w:val="nil"/>
            </w:tcBorders>
          </w:tcPr>
          <w:p>
            <w:r>
              <w:rPr>
                <w:color w:val="333333"/>
                <w:sz w:val="19"/>
              </w:rPr>
              <w:t>Alimentation des wallets operateurs</w:t>
            </w:r>
          </w:p>
        </w:tc>
        <w:tc>
          <w:tcPr>
            <w:tcW w:type="dxa" w:w="3135"/>
            <w:shd w:val="clear" w:color="auto" w:fill="EEF4FC"/>
            <w:tcBorders>
              <w:top w:val="nil"/>
              <w:left w:val="nil"/>
              <w:bottom w:val="nil"/>
              <w:right w:val="nil"/>
            </w:tcBorders>
          </w:tcPr>
          <w:p>
            <w:r>
              <w:rPr>
                <w:color w:val="333333"/>
                <w:sz w:val="19"/>
              </w:rPr>
              <w:t>Chaque pays necessite un solde disponible chez le provider local pour assurer des transactions instantanees. La liquidite est le premier levier de croissance du volume et donc des commissions.</w:t>
            </w:r>
          </w:p>
        </w:tc>
        <w:tc>
          <w:tcPr>
            <w:tcW w:type="dxa" w:w="3135"/>
            <w:shd w:val="clear" w:color="auto" w:fill="EEF4FC"/>
            <w:tcBorders>
              <w:top w:val="nil"/>
              <w:left w:val="nil"/>
              <w:bottom w:val="nil"/>
              <w:right w:val="nil"/>
            </w:tcBorders>
          </w:tcPr>
          <w:p>
            <w:r>
              <w:rPr>
                <w:color w:val="333333"/>
                <w:sz w:val="19"/>
              </w:rPr>
              <w:t>Priorite 1</w:t>
            </w:r>
          </w:p>
        </w:tc>
      </w:tr>
      <w:tr>
        <w:tc>
          <w:tcPr>
            <w:tcW w:type="dxa" w:w="3135"/>
            <w:shd w:val="clear" w:color="auto" w:fill="FFFFFF"/>
            <w:tcBorders>
              <w:top w:val="nil"/>
              <w:left w:val="nil"/>
              <w:bottom w:val="nil"/>
              <w:right w:val="nil"/>
            </w:tcBorders>
          </w:tcPr>
          <w:p>
            <w:r>
              <w:rPr>
                <w:color w:val="333333"/>
                <w:sz w:val="19"/>
              </w:rPr>
              <w:t>Marketing &amp; acquisition utilisateurs</w:t>
            </w:r>
          </w:p>
        </w:tc>
        <w:tc>
          <w:tcPr>
            <w:tcW w:type="dxa" w:w="3135"/>
            <w:shd w:val="clear" w:color="auto" w:fill="FFFFFF"/>
            <w:tcBorders>
              <w:top w:val="nil"/>
              <w:left w:val="nil"/>
              <w:bottom w:val="nil"/>
              <w:right w:val="nil"/>
            </w:tcBorders>
          </w:tcPr>
          <w:p>
            <w:r>
              <w:rPr>
                <w:color w:val="333333"/>
                <w:sz w:val="19"/>
              </w:rPr>
              <w:t>Campagnes ciblees dans les pays a fort potentiel (CI, CM, SN, CD, BJ). Partenariats avec des marchands e-commerce, des diaspora-services et des PME africaines.</w:t>
            </w:r>
          </w:p>
        </w:tc>
        <w:tc>
          <w:tcPr>
            <w:tcW w:type="dxa" w:w="3135"/>
            <w:shd w:val="clear" w:color="auto" w:fill="FFFFFF"/>
            <w:tcBorders>
              <w:top w:val="nil"/>
              <w:left w:val="nil"/>
              <w:bottom w:val="nil"/>
              <w:right w:val="nil"/>
            </w:tcBorders>
          </w:tcPr>
          <w:p>
            <w:r>
              <w:rPr>
                <w:color w:val="333333"/>
                <w:sz w:val="19"/>
              </w:rPr>
              <w:t>Priorite 2</w:t>
            </w:r>
          </w:p>
        </w:tc>
      </w:tr>
      <w:tr>
        <w:tc>
          <w:tcPr>
            <w:tcW w:type="dxa" w:w="3135"/>
            <w:shd w:val="clear" w:color="auto" w:fill="EEF4FC"/>
            <w:tcBorders>
              <w:top w:val="nil"/>
              <w:left w:val="nil"/>
              <w:bottom w:val="nil"/>
              <w:right w:val="nil"/>
            </w:tcBorders>
          </w:tcPr>
          <w:p>
            <w:r>
              <w:rPr>
                <w:color w:val="333333"/>
                <w:sz w:val="19"/>
              </w:rPr>
              <w:t>Infrastructure &amp; scalabilite</w:t>
            </w:r>
          </w:p>
        </w:tc>
        <w:tc>
          <w:tcPr>
            <w:tcW w:type="dxa" w:w="3135"/>
            <w:shd w:val="clear" w:color="auto" w:fill="EEF4FC"/>
            <w:tcBorders>
              <w:top w:val="nil"/>
              <w:left w:val="nil"/>
              <w:bottom w:val="nil"/>
              <w:right w:val="nil"/>
            </w:tcBorders>
          </w:tcPr>
          <w:p>
            <w:r>
              <w:rPr>
                <w:color w:val="333333"/>
                <w:sz w:val="19"/>
              </w:rPr>
              <w:t>Renforcement des serveurs, monitoring temps reel, redondance des providers de paiement et extension de la couverture a de nouveaux pays.</w:t>
            </w:r>
          </w:p>
        </w:tc>
        <w:tc>
          <w:tcPr>
            <w:tcW w:type="dxa" w:w="3135"/>
            <w:shd w:val="clear" w:color="auto" w:fill="EEF4FC"/>
            <w:tcBorders>
              <w:top w:val="nil"/>
              <w:left w:val="nil"/>
              <w:bottom w:val="nil"/>
              <w:right w:val="nil"/>
            </w:tcBorders>
          </w:tcPr>
          <w:p>
            <w:r>
              <w:rPr>
                <w:color w:val="333333"/>
                <w:sz w:val="19"/>
              </w:rPr>
              <w:t>Priorite 3</w:t>
            </w:r>
          </w:p>
        </w:tc>
      </w:tr>
    </w:tbl>
    <w:p>
      <w:pPr>
        <w:spacing w:after="80"/>
      </w:pPr>
    </w:p>
    <w:p>
      <w:pPr>
        <w:spacing w:before="40" w:after="40"/>
        <w:pBdr>
          <w:bottom w:val="single" w:sz="6" w:space="1" w:color="145AA8"/>
        </w:pBdr>
      </w:pPr>
    </w:p>
    <w:p>
      <w:pPr>
        <w:spacing w:before="120" w:after="80"/>
      </w:pPr>
      <w:r>
        <w:rPr>
          <w:b/>
          <w:color w:val="0A295E"/>
          <w:sz w:val="30"/>
        </w:rPr>
        <w:t>6.  Avantage concurrentiel</w:t>
      </w:r>
    </w:p>
    <w:p>
      <w:pPr>
        <w:spacing w:after="60"/>
      </w:pPr>
      <w:r>
        <w:rPr>
          <w:b/>
          <w:color w:val="145AA8"/>
          <w:sz w:val="21"/>
        </w:rPr>
        <w:t xml:space="preserve">  Multi-pays &amp; multi-operateurs natif — </w:t>
      </w:r>
      <w:r>
        <w:rPr>
          <w:color w:val="333333"/>
          <w:sz w:val="21"/>
        </w:rPr>
        <w:t>17 pays couverts via une architecture modulaire qui permet d'ajouter un pays en quelques heures.</w:t>
      </w:r>
    </w:p>
    <w:p>
      <w:pPr>
        <w:spacing w:after="60"/>
      </w:pPr>
      <w:r>
        <w:rPr>
          <w:b/>
          <w:color w:val="145AA8"/>
          <w:sz w:val="21"/>
        </w:rPr>
        <w:t xml:space="preserve">  Frais transparents a taux fixe — </w:t>
      </w:r>
      <w:r>
        <w:rPr>
          <w:color w:val="333333"/>
          <w:sz w:val="21"/>
        </w:rPr>
        <w:t>6 % uniformes, sans frais caches, sans structure tarifaire complexe. Confiance et adoption facilitees.</w:t>
      </w:r>
    </w:p>
    <w:p>
      <w:pPr>
        <w:spacing w:after="60"/>
      </w:pPr>
      <w:r>
        <w:rPr>
          <w:b/>
          <w:color w:val="145AA8"/>
          <w:sz w:val="21"/>
        </w:rPr>
        <w:t xml:space="preserve">  API Provider-agnostique — </w:t>
      </w:r>
      <w:r>
        <w:rPr>
          <w:color w:val="333333"/>
          <w:sz w:val="21"/>
        </w:rPr>
        <w:t>L'API Business v2.0 abstrait completement le provider sous-jacent. Un developpeur integre une fois et accede a tous les pays couverts.</w:t>
      </w:r>
    </w:p>
    <w:p>
      <w:pPr>
        <w:spacing w:after="60"/>
      </w:pPr>
      <w:r>
        <w:rPr>
          <w:b/>
          <w:color w:val="145AA8"/>
          <w:sz w:val="21"/>
        </w:rPr>
        <w:t xml:space="preserve">  IA embarquee (EMALI) — </w:t>
      </w:r>
      <w:r>
        <w:rPr>
          <w:color w:val="333333"/>
          <w:sz w:val="21"/>
        </w:rPr>
        <w:t>Un assistant conversationnel permet aux utilisateurs de realiser des transactions en langage naturel, reduisant la friction et elargissant l'audience.</w:t>
      </w:r>
    </w:p>
    <w:p>
      <w:pPr>
        <w:spacing w:after="60"/>
      </w:pPr>
      <w:r>
        <w:rPr>
          <w:b/>
          <w:color w:val="145AA8"/>
          <w:sz w:val="21"/>
        </w:rPr>
        <w:t xml:space="preserve">  Modele double (B2C + B2B) — </w:t>
      </w:r>
      <w:r>
        <w:rPr>
          <w:color w:val="333333"/>
          <w:sz w:val="21"/>
        </w:rPr>
        <w:t>Particuliers via liens de paiement, entreprises via API. Deux moteurs de volume sur la meme infrastructure.</w:t>
      </w:r>
    </w:p>
    <w:p>
      <w:pPr>
        <w:spacing w:before="40" w:after="40"/>
        <w:pBdr>
          <w:bottom w:val="single" w:sz="6" w:space="1" w:color="145AA8"/>
        </w:pBdr>
      </w:pPr>
    </w:p>
    <w:p>
      <w:pPr>
        <w:spacing w:before="120" w:after="80"/>
      </w:pPr>
      <w:r>
        <w:rPr>
          <w:b/>
          <w:color w:val="0A295E"/>
          <w:sz w:val="30"/>
        </w:rPr>
        <w:t>7.  Ce que nous recherchons dans cet accompagnement</w:t>
      </w:r>
    </w:p>
    <w:p>
      <w:pPr>
        <w:spacing w:after="60"/>
      </w:pPr>
      <w:r>
        <w:rPr>
          <w:b w:val="0"/>
          <w:color w:val="333333"/>
          <w:sz w:val="21"/>
        </w:rPr>
        <w:t>BKApay est un projet a l'idee solide, au produit fonctionnel et a la traction reelle. Ce qui nous manque aujourd'hui n'est pas une preuve de concept — c'est une structuration rigoureuse du narratif investisseur, une modelisation financiere defendable face a des fonds ou des partenaires institutionnels, et un cadrage strategique sur les prochaines etapes de croissance.</w:t>
      </w:r>
    </w:p>
    <w:p>
      <w:pPr>
        <w:pStyle w:val="ListBullet"/>
        <w:spacing w:after="40"/>
      </w:pPr>
      <w:r>
        <w:rPr>
          <w:color w:val="333333"/>
          <w:sz w:val="21"/>
        </w:rPr>
        <w:t>Structuration du business plan pour une presentation aux investisseurs</w:t>
      </w:r>
    </w:p>
    <w:p>
      <w:pPr>
        <w:pStyle w:val="ListBullet"/>
        <w:spacing w:after="40"/>
      </w:pPr>
      <w:r>
        <w:rPr>
          <w:color w:val="333333"/>
          <w:sz w:val="21"/>
        </w:rPr>
        <w:t>Clarification et validation du modele economique (hypotheses, sensibilites)</w:t>
      </w:r>
    </w:p>
    <w:p>
      <w:pPr>
        <w:pStyle w:val="ListBullet"/>
        <w:spacing w:after="40"/>
      </w:pPr>
      <w:r>
        <w:rPr>
          <w:color w:val="333333"/>
          <w:sz w:val="21"/>
        </w:rPr>
        <w:t>Projections financieres credibles sur 12 et 36 mois</w:t>
      </w:r>
    </w:p>
    <w:p>
      <w:pPr>
        <w:pStyle w:val="ListBullet"/>
        <w:spacing w:after="40"/>
      </w:pPr>
      <w:r>
        <w:rPr>
          <w:color w:val="333333"/>
          <w:sz w:val="21"/>
        </w:rPr>
        <w:t>Preparation du pitch deck et du narratif investisseur</w:t>
      </w:r>
    </w:p>
    <w:p>
      <w:pPr>
        <w:pStyle w:val="ListBullet"/>
        <w:spacing w:after="40"/>
      </w:pPr>
      <w:r>
        <w:rPr>
          <w:color w:val="333333"/>
          <w:sz w:val="21"/>
        </w:rPr>
        <w:t>Cadrage strategique sur l'expansion pays et la priorisation des marches</w:t>
      </w:r>
    </w:p>
    <w:p>
      <w:pPr>
        <w:pStyle w:val="ListBullet"/>
        <w:spacing w:after="40"/>
      </w:pPr>
      <w:r>
        <w:rPr>
          <w:color w:val="333333"/>
          <w:sz w:val="21"/>
        </w:rPr>
        <w:t>Recommandations concretes sur le positionnement competitif</w:t>
      </w:r>
    </w:p>
    <w:p>
      <w:pPr>
        <w:spacing w:before="40" w:after="40"/>
        <w:pBdr>
          <w:bottom w:val="single" w:sz="6" w:space="1" w:color="145AA8"/>
        </w:pBdr>
      </w:pPr>
    </w:p>
    <w:p>
      <w:pPr>
        <w:spacing w:before="120" w:after="80"/>
      </w:pPr>
      <w:r>
        <w:rPr>
          <w:b/>
          <w:color w:val="0A295E"/>
          <w:sz w:val="30"/>
        </w:rPr>
        <w:t>8.  Engagement du fondateur</w:t>
      </w:r>
    </w:p>
    <w:p>
      <w:pPr>
        <w:spacing w:after="60"/>
      </w:pPr>
      <w:r>
        <w:rPr>
          <w:b w:val="0"/>
          <w:color w:val="333333"/>
          <w:sz w:val="21"/>
        </w:rPr>
        <w:t>Je m'engage a consacrer le temps necessaire a chaque etape de cet accompagnement, a fournir toutes les donnees et metriques disponibles, a remettre en question mes hypotheses avec honnetete et a livrer un travail de qualite a chaque iteration. BKApay est un projet dans lequel j'ai investi tout — temps, ressources, conviction. Je cherche un regard exigeant, pas une validation facile.</w:t>
      </w:r>
    </w:p>
    <w:p>
      <w:pPr>
        <w:spacing w:after="80"/>
      </w:pPr>
    </w:p>
    <w:p>
      <w:pPr>
        <w:spacing w:before="40" w:after="40"/>
        <w:pBdr>
          <w:bottom w:val="single" w:sz="6" w:space="1" w:color="F38A00"/>
        </w:pBdr>
      </w:pPr>
    </w:p>
    <w:p>
      <w:pPr>
        <w:spacing w:before="120"/>
        <w:jc w:val="center"/>
      </w:pPr>
      <w:r>
        <w:rPr>
          <w:color w:val="555555"/>
          <w:sz w:val="18"/>
        </w:rPr>
        <w:t>Kpetekousso Emali Juste  |  Fondateur &amp; CEO, BKApay  |  bkapay.com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