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5BA2A" w14:textId="2DA75AFD" w:rsidR="003B2444" w:rsidRDefault="003B2444" w:rsidP="003B2444">
      <w:pPr>
        <w:jc w:val="center"/>
        <w:rPr>
          <w:b/>
          <w:bCs/>
          <w:color w:val="000000" w:themeColor="text1"/>
          <w:lang w:val="en-US"/>
        </w:rPr>
      </w:pPr>
      <w:r w:rsidRPr="003B2444">
        <w:rPr>
          <w:b/>
          <w:bCs/>
          <w:color w:val="000000" w:themeColor="text1"/>
          <w:lang w:val="en-US"/>
        </w:rPr>
        <w:t>BANK LOAN REPORT</w:t>
      </w:r>
    </w:p>
    <w:p w14:paraId="3C665C5D" w14:textId="77777777" w:rsidR="003B2444" w:rsidRDefault="003B2444" w:rsidP="003B2444">
      <w:pPr>
        <w:jc w:val="center"/>
        <w:rPr>
          <w:b/>
          <w:bCs/>
          <w:color w:val="196B24" w:themeColor="accent3"/>
          <w:lang w:val="en-US"/>
        </w:rPr>
      </w:pPr>
      <w:r w:rsidRPr="003B2444">
        <w:rPr>
          <w:b/>
          <w:bCs/>
          <w:color w:val="196B24" w:themeColor="accent3"/>
          <w:lang w:val="en-US"/>
        </w:rPr>
        <w:t>TERMINOLOGIES USEDN IN DATA</w:t>
      </w:r>
    </w:p>
    <w:p w14:paraId="1D6A4409" w14:textId="3989D4F1" w:rsidR="003B2444" w:rsidRDefault="003B2444" w:rsidP="003B2444">
      <w:pPr>
        <w:rPr>
          <w:b/>
          <w:bCs/>
          <w:color w:val="196B24" w:themeColor="accent3"/>
          <w:lang w:val="en-US"/>
        </w:rPr>
      </w:pPr>
      <w:r w:rsidRPr="003B2444">
        <w:rPr>
          <w:b/>
          <w:bCs/>
          <w:color w:val="196B24" w:themeColor="accent3"/>
          <w:lang w:val="en-US"/>
        </w:rPr>
        <w:t xml:space="preserve"> </w:t>
      </w:r>
      <w:r>
        <w:rPr>
          <w:b/>
          <w:bCs/>
          <w:color w:val="196B24" w:themeColor="accent3"/>
          <w:lang w:val="en-US"/>
        </w:rPr>
        <w:t>Field Used in Data</w:t>
      </w:r>
    </w:p>
    <w:p w14:paraId="06B41DD8" w14:textId="77777777" w:rsidR="003B2444" w:rsidRDefault="003B2444" w:rsidP="003B2444">
      <w:pPr>
        <w:rPr>
          <w:b/>
          <w:bCs/>
          <w:color w:val="000000" w:themeColor="text1"/>
        </w:rPr>
      </w:pPr>
      <w:r w:rsidRPr="003B2444">
        <w:rPr>
          <w:b/>
          <w:bCs/>
          <w:color w:val="000000" w:themeColor="text1"/>
        </w:rPr>
        <w:t>Loan ID:</w:t>
      </w:r>
    </w:p>
    <w:p w14:paraId="52DA8BAF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Loan ID is a unique identifier assigned to each loan application or loan account. It serves as a primary key for tracking and managing individual loans.</w:t>
      </w:r>
    </w:p>
    <w:p w14:paraId="252D9B1B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D1D22E" w14:textId="77777777" w:rsidR="003B2444" w:rsidRPr="003B2444" w:rsidRDefault="003B2444" w:rsidP="003B2444">
      <w:pPr>
        <w:rPr>
          <w:color w:val="000000" w:themeColor="text1"/>
        </w:rPr>
      </w:pPr>
    </w:p>
    <w:p w14:paraId="6ED608DE" w14:textId="77777777" w:rsidR="003B2444" w:rsidRPr="003B2444" w:rsidRDefault="003B2444" w:rsidP="003B2444">
      <w:pPr>
        <w:rPr>
          <w:b/>
          <w:bCs/>
          <w:color w:val="000000" w:themeColor="text1"/>
        </w:rPr>
      </w:pPr>
      <w:r w:rsidRPr="003B2444">
        <w:rPr>
          <w:b/>
          <w:bCs/>
          <w:color w:val="000000" w:themeColor="text1"/>
        </w:rPr>
        <w:t>Address State:</w:t>
      </w:r>
    </w:p>
    <w:p w14:paraId="241F1CBE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Address State indicates the borrower's location. It helps in assessing regional risk factors, compliance with state regulations, and estimating default probabilities.</w:t>
      </w:r>
    </w:p>
    <w:p w14:paraId="589E74AC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information to identify regional trends in loan demand, adjust marketing strategies, and manage risk portfolios based on geographic regions.</w:t>
      </w:r>
    </w:p>
    <w:p w14:paraId="5C7E8F29" w14:textId="77777777" w:rsidR="003B2444" w:rsidRDefault="003B2444" w:rsidP="003B2444">
      <w:pPr>
        <w:rPr>
          <w:color w:val="000000" w:themeColor="text1"/>
          <w:lang w:val="en-US"/>
        </w:rPr>
      </w:pPr>
    </w:p>
    <w:p w14:paraId="359BA3B9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Employee Length:</w:t>
      </w:r>
    </w:p>
    <w:p w14:paraId="2EE4B511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Employee Length provides insights into the borrower's employment stability. Longer employment durations may indicate greater job security.</w:t>
      </w:r>
    </w:p>
    <w:p w14:paraId="1703243F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consider employment length when assessing a borrower's ability to repay. Stable employment often translates to a lower default risk.</w:t>
      </w:r>
    </w:p>
    <w:p w14:paraId="6E923AE8" w14:textId="77777777" w:rsidR="003B2444" w:rsidRPr="003B2444" w:rsidRDefault="003B2444" w:rsidP="003B2444">
      <w:pPr>
        <w:rPr>
          <w:color w:val="000000" w:themeColor="text1"/>
        </w:rPr>
      </w:pPr>
    </w:p>
    <w:p w14:paraId="7AEAD50F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Employee Title:</w:t>
      </w:r>
    </w:p>
    <w:p w14:paraId="1DFC872E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Employee Title specifies the borrower's occupation or job title. It helps lenders understand the source of the borrower's income.</w:t>
      </w:r>
    </w:p>
    <w:p w14:paraId="7BDAA462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field to verify income sources, assess the borrower's financial capacity, and tailor loan offers to different professions.</w:t>
      </w:r>
    </w:p>
    <w:p w14:paraId="0DE1380B" w14:textId="77777777" w:rsidR="003B2444" w:rsidRPr="003B2444" w:rsidRDefault="003B2444" w:rsidP="003B2444">
      <w:pPr>
        <w:rPr>
          <w:color w:val="000000" w:themeColor="text1"/>
        </w:rPr>
      </w:pPr>
    </w:p>
    <w:p w14:paraId="142FBBF7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Grade:</w:t>
      </w:r>
    </w:p>
    <w:p w14:paraId="064AAE87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Grade represents a risk classification assigned to the loan based on creditworthiness. Higher grades signify lower risk.</w:t>
      </w:r>
    </w:p>
    <w:p w14:paraId="7A162291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3E39175A" w14:textId="77777777" w:rsidR="003B2444" w:rsidRPr="003B2444" w:rsidRDefault="003B2444" w:rsidP="003B2444">
      <w:pPr>
        <w:rPr>
          <w:color w:val="000000" w:themeColor="text1"/>
        </w:rPr>
      </w:pPr>
    </w:p>
    <w:p w14:paraId="2F41A925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Sub Grade:</w:t>
      </w:r>
    </w:p>
    <w:p w14:paraId="0502B4EE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Sub Grade refines the risk assessment within a grade, providing additional risk differentiation.</w:t>
      </w:r>
    </w:p>
    <w:p w14:paraId="53E3C2AF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Sub Grades offer a finer level of risk assessment, helping banks tailor interest rates and lending terms to match borrower risk profiles.</w:t>
      </w:r>
    </w:p>
    <w:p w14:paraId="63B0A490" w14:textId="77777777" w:rsidR="003B2444" w:rsidRPr="003B2444" w:rsidRDefault="003B2444" w:rsidP="003B2444">
      <w:pPr>
        <w:rPr>
          <w:color w:val="000000" w:themeColor="text1"/>
        </w:rPr>
      </w:pPr>
    </w:p>
    <w:p w14:paraId="0AA62539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Home Ownership:</w:t>
      </w:r>
    </w:p>
    <w:p w14:paraId="22EEA751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Home Ownership indicates the borrower's housing status. It offers insights into financial stability.</w:t>
      </w:r>
    </w:p>
    <w:p w14:paraId="38959D53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field to assess collateral availability and borrower stability. Homeowners may have lower default rates.</w:t>
      </w:r>
    </w:p>
    <w:p w14:paraId="5EC15D41" w14:textId="77777777" w:rsidR="003B2444" w:rsidRPr="003B2444" w:rsidRDefault="003B2444" w:rsidP="003B2444">
      <w:pPr>
        <w:rPr>
          <w:color w:val="000000" w:themeColor="text1"/>
        </w:rPr>
      </w:pPr>
    </w:p>
    <w:p w14:paraId="3B237A3A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Issue Date:</w:t>
      </w:r>
    </w:p>
    <w:p w14:paraId="5B14E753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Issue Date marks the loan's origination date. It's crucial for loan tracking and maturity calculations.</w:t>
      </w:r>
    </w:p>
    <w:p w14:paraId="4BFB3657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Issue Dates to track loan aging, calculate interest accruals, and manage loan portfolios.</w:t>
      </w:r>
    </w:p>
    <w:p w14:paraId="7F60839D" w14:textId="77777777" w:rsidR="003B2444" w:rsidRPr="003B2444" w:rsidRDefault="003B2444" w:rsidP="003B2444">
      <w:pPr>
        <w:rPr>
          <w:color w:val="000000" w:themeColor="text1"/>
        </w:rPr>
      </w:pPr>
    </w:p>
    <w:p w14:paraId="34A62056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Last Credit Pull Date:</w:t>
      </w:r>
    </w:p>
    <w:p w14:paraId="64335849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Last Credit Pull Date records when the borrower's credit report was last accessed. It helps monitor creditworthiness.</w:t>
      </w:r>
    </w:p>
    <w:p w14:paraId="20CEC894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date to track credit history updates, assess credit risk, and make informed lending decisions.</w:t>
      </w:r>
    </w:p>
    <w:p w14:paraId="37F1AA5C" w14:textId="77777777" w:rsidR="003B2444" w:rsidRPr="003B2444" w:rsidRDefault="003B2444" w:rsidP="003B2444">
      <w:pPr>
        <w:rPr>
          <w:color w:val="000000" w:themeColor="text1"/>
        </w:rPr>
      </w:pPr>
    </w:p>
    <w:p w14:paraId="4D216808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Last Payment Date:</w:t>
      </w:r>
    </w:p>
    <w:p w14:paraId="15A0E83B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Last Payment Date marks the most recent loan payment received. It tracks the borrower's payment history.</w:t>
      </w:r>
    </w:p>
    <w:p w14:paraId="58F9D36F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lastRenderedPageBreak/>
        <w:t xml:space="preserve">Use for Banks: Banks use this date to assess payment </w:t>
      </w:r>
      <w:proofErr w:type="spellStart"/>
      <w:r w:rsidRPr="003B2444">
        <w:rPr>
          <w:color w:val="000000" w:themeColor="text1"/>
        </w:rPr>
        <w:t>behavior</w:t>
      </w:r>
      <w:proofErr w:type="spellEnd"/>
      <w:r w:rsidRPr="003B2444">
        <w:rPr>
          <w:color w:val="000000" w:themeColor="text1"/>
        </w:rPr>
        <w:t>, calculate delinquency, and project future payments.</w:t>
      </w:r>
    </w:p>
    <w:p w14:paraId="0331256A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Loan Status:</w:t>
      </w:r>
    </w:p>
    <w:p w14:paraId="0F75100E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Loan Status indicates the current state of the loan (e.g., fully paid, current, default). It tracks loan performance.</w:t>
      </w:r>
    </w:p>
    <w:p w14:paraId="18F59393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Loan Status to monitor loan health, categorize loans for risk analysis, and determine provisioning requirements.</w:t>
      </w:r>
    </w:p>
    <w:p w14:paraId="202B3882" w14:textId="77777777" w:rsidR="003B2444" w:rsidRPr="003B2444" w:rsidRDefault="003B2444" w:rsidP="003B2444">
      <w:pPr>
        <w:rPr>
          <w:color w:val="000000" w:themeColor="text1"/>
        </w:rPr>
      </w:pPr>
    </w:p>
    <w:p w14:paraId="35239F5B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Next Payment Date:</w:t>
      </w:r>
    </w:p>
    <w:p w14:paraId="32A52E84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Next Payment Date estimates the date of the next loan payment. It assists in cash flow forecasting.</w:t>
      </w:r>
    </w:p>
    <w:p w14:paraId="05F64A3C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date for liquidity planning and to project revenue from loan portfolios.</w:t>
      </w:r>
    </w:p>
    <w:p w14:paraId="548A8FD3" w14:textId="77777777" w:rsidR="003B2444" w:rsidRPr="003B2444" w:rsidRDefault="003B2444" w:rsidP="003B2444">
      <w:pPr>
        <w:rPr>
          <w:color w:val="000000" w:themeColor="text1"/>
        </w:rPr>
      </w:pPr>
    </w:p>
    <w:p w14:paraId="62BC7C0C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Purpose:</w:t>
      </w:r>
    </w:p>
    <w:p w14:paraId="73EFD5DD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Purpose specifies the reason for the loan (e.g., debt consolidation, education). It helps understand borrower intentions.</w:t>
      </w:r>
    </w:p>
    <w:p w14:paraId="52EC62A4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field to segment and customize loan offerings, aligning loan terms with borrower needs.</w:t>
      </w:r>
    </w:p>
    <w:p w14:paraId="51910206" w14:textId="77777777" w:rsidR="003B2444" w:rsidRPr="003B2444" w:rsidRDefault="003B2444" w:rsidP="003B2444">
      <w:pPr>
        <w:rPr>
          <w:color w:val="000000" w:themeColor="text1"/>
        </w:rPr>
      </w:pPr>
    </w:p>
    <w:p w14:paraId="43076EDB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Term:</w:t>
      </w:r>
    </w:p>
    <w:p w14:paraId="0F3496C3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Term defines the duration of the loan in months. It sets the repayment period.</w:t>
      </w:r>
    </w:p>
    <w:p w14:paraId="6F886A17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the term to structure loan agreements, calculate interest payments, and manage loan maturities.</w:t>
      </w:r>
    </w:p>
    <w:p w14:paraId="5F5AD77C" w14:textId="77777777" w:rsidR="003B2444" w:rsidRPr="003B2444" w:rsidRDefault="003B2444" w:rsidP="003B2444">
      <w:pPr>
        <w:rPr>
          <w:color w:val="000000" w:themeColor="text1"/>
        </w:rPr>
      </w:pPr>
    </w:p>
    <w:p w14:paraId="3B0995E0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Verification Status:</w:t>
      </w:r>
    </w:p>
    <w:p w14:paraId="79C78671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Verification Status indicates whether the borrower's financial information has been verified. It assesses data accuracy.</w:t>
      </w:r>
    </w:p>
    <w:p w14:paraId="767D959B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field to gauge data reliability, verify income, and evaluate loan application credibility.</w:t>
      </w:r>
    </w:p>
    <w:p w14:paraId="4AE1658D" w14:textId="77777777" w:rsidR="003B2444" w:rsidRPr="003B2444" w:rsidRDefault="003B2444" w:rsidP="003B2444">
      <w:pPr>
        <w:rPr>
          <w:color w:val="000000" w:themeColor="text1"/>
        </w:rPr>
      </w:pPr>
    </w:p>
    <w:p w14:paraId="4401B102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lastRenderedPageBreak/>
        <w:t>Annual Income:</w:t>
      </w:r>
    </w:p>
    <w:p w14:paraId="0FF06AF4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Annual Income reflects the borrower's total yearly earnings. It assesses repayment capacity.</w:t>
      </w:r>
    </w:p>
    <w:p w14:paraId="1543C239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income figure to determine loan eligibility, calculate debt-to-income ratios, and evaluate creditworthiness.</w:t>
      </w:r>
    </w:p>
    <w:p w14:paraId="637EC54B" w14:textId="77777777" w:rsidR="003B2444" w:rsidRPr="003B2444" w:rsidRDefault="003B2444" w:rsidP="003B2444">
      <w:pPr>
        <w:rPr>
          <w:color w:val="000000" w:themeColor="text1"/>
        </w:rPr>
      </w:pPr>
    </w:p>
    <w:p w14:paraId="1163BE1E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DTI (Debt-to-Income Ratio):</w:t>
      </w:r>
    </w:p>
    <w:p w14:paraId="3A813FA5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DTI measures the borrower's debt burden relative to income. It gauges the borrower's capacity to take on additional debt.</w:t>
      </w:r>
    </w:p>
    <w:p w14:paraId="0B736001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DTI to assess a borrower's ability to handle loan payments and make responsible lending decisions.</w:t>
      </w:r>
    </w:p>
    <w:p w14:paraId="6436CFA4" w14:textId="77777777" w:rsidR="003B2444" w:rsidRPr="003B2444" w:rsidRDefault="003B2444" w:rsidP="003B2444">
      <w:pPr>
        <w:rPr>
          <w:color w:val="000000" w:themeColor="text1"/>
        </w:rPr>
      </w:pPr>
    </w:p>
    <w:p w14:paraId="25C8B925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Instalment:</w:t>
      </w:r>
    </w:p>
    <w:p w14:paraId="20738FDE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Instalment is the fixed monthly payment amount for loan repayment, including principal and interest.</w:t>
      </w:r>
    </w:p>
    <w:p w14:paraId="0C62FFCF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this field to structure loan terms, calculate amortization schedules, and assess payment affordability.</w:t>
      </w:r>
    </w:p>
    <w:p w14:paraId="4CFC589A" w14:textId="77777777" w:rsidR="003B2444" w:rsidRPr="003B2444" w:rsidRDefault="003B2444" w:rsidP="003B2444">
      <w:pPr>
        <w:rPr>
          <w:color w:val="000000" w:themeColor="text1"/>
        </w:rPr>
      </w:pPr>
    </w:p>
    <w:p w14:paraId="07DFF2D3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Interest Rate:</w:t>
      </w:r>
    </w:p>
    <w:p w14:paraId="35734B31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Interest Rate represents the annual cost of borrowing expressed as a percentage. It determines the loan's cost.</w:t>
      </w:r>
    </w:p>
    <w:p w14:paraId="231855AB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interest rates to price loans, manage profit margins, and attract investors.</w:t>
      </w:r>
    </w:p>
    <w:p w14:paraId="779B43CE" w14:textId="77777777" w:rsidR="003B2444" w:rsidRPr="003B2444" w:rsidRDefault="003B2444" w:rsidP="003B2444">
      <w:pPr>
        <w:rPr>
          <w:color w:val="000000" w:themeColor="text1"/>
        </w:rPr>
      </w:pPr>
    </w:p>
    <w:p w14:paraId="1A852901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b/>
          <w:bCs/>
          <w:color w:val="000000" w:themeColor="text1"/>
        </w:rPr>
        <w:t>Loan Amount:</w:t>
      </w:r>
    </w:p>
    <w:p w14:paraId="0182C5E3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Purpose: Loan Amount is the total borrowed sum. It defines the principal amount.</w:t>
      </w:r>
    </w:p>
    <w:p w14:paraId="10EE43A0" w14:textId="77777777" w:rsidR="003B2444" w:rsidRPr="003B2444" w:rsidRDefault="003B2444" w:rsidP="003B2444">
      <w:pPr>
        <w:rPr>
          <w:color w:val="000000" w:themeColor="text1"/>
        </w:rPr>
      </w:pPr>
      <w:r w:rsidRPr="003B2444">
        <w:rPr>
          <w:color w:val="000000" w:themeColor="text1"/>
        </w:rPr>
        <w:t>Use for Banks: Banks use Loan Amount to determine loan size</w:t>
      </w:r>
    </w:p>
    <w:p w14:paraId="061AF70A" w14:textId="77777777" w:rsidR="003B2444" w:rsidRPr="003B2444" w:rsidRDefault="003B2444" w:rsidP="003B2444">
      <w:pPr>
        <w:rPr>
          <w:color w:val="000000" w:themeColor="text1"/>
          <w:lang w:val="en-US"/>
        </w:rPr>
      </w:pPr>
    </w:p>
    <w:sectPr w:rsidR="003B2444" w:rsidRPr="003B24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44"/>
    <w:rsid w:val="001D6B9E"/>
    <w:rsid w:val="003B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B438"/>
  <w15:chartTrackingRefBased/>
  <w15:docId w15:val="{C64E7762-3FAD-425E-A1C2-41AFE5DC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44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44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44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24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24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3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Sah</dc:creator>
  <cp:keywords/>
  <dc:description/>
  <cp:lastModifiedBy>Bikash Sah</cp:lastModifiedBy>
  <cp:revision>1</cp:revision>
  <dcterms:created xsi:type="dcterms:W3CDTF">2026-09-24T06:23:00Z</dcterms:created>
  <dcterms:modified xsi:type="dcterms:W3CDTF">2026-09-24T06:29:00Z</dcterms:modified>
</cp:coreProperties>
</file>