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0"/>
          <w:szCs w:val="30"/>
        </w:rPr>
        <w:t xml:space="preserve">GRC INTELLIGENCE WEEKLY EXECUTIVE REPORT</w:t>
      </w:r>
    </w:p>
    <w:p>
      <w:pPr>
        <w:spacing w:after="120"/>
        <w:jc w:val="center"/>
      </w:pPr>
      <w:r>
        <w:rPr>
          <w:rFonts w:ascii="Calibri" w:cs="Calibri" w:eastAsia="Calibri" w:hAnsi="Calibri"/>
          <w:i/>
          <w:iCs/>
          <w:sz w:val="22"/>
          <w:szCs w:val="22"/>
        </w:rPr>
        <w:t xml:space="preserve">Blaise Kingko — GRC Portfolio Program</w:t>
      </w:r>
    </w:p>
    <w:p>
      <w:pPr>
        <w:pBdr>
          <w:bottom w:val="single" w:color="999999" w:sz="6" w:space="8"/>
        </w:pBdr>
        <w:spacing w:after="300"/>
        <w:jc w:val="center"/>
      </w:pPr>
      <w:r>
        <w:rPr>
          <w:rFonts w:ascii="Calibri" w:cs="Calibri" w:eastAsia="Calibri" w:hAnsi="Calibri"/>
          <w:sz w:val="20"/>
          <w:szCs w:val="20"/>
        </w:rPr>
        <w:t xml:space="preserve">Report Date: July 27, 2026  |  Report Period: July 20 – July 27, 2026</w:t>
      </w:r>
    </w:p>
    <w:p>
      <w:pPr>
        <w:spacing w:after="150" w:before="300"/>
      </w:pPr>
      <w:r>
        <w:rPr>
          <w:rFonts w:ascii="Calibri" w:cs="Calibri" w:eastAsia="Calibri" w:hAnsi="Calibri"/>
          <w:b/>
          <w:bCs/>
          <w:sz w:val="26"/>
          <w:szCs w:val="26"/>
        </w:rPr>
        <w:t xml:space="preserve">1. This Week's Threat Landscape</w:t>
      </w:r>
    </w:p>
    <w:p>
      <w:pPr>
        <w:spacing w:after="160"/>
      </w:pPr>
      <w:r>
        <w:rPr>
          <w:rFonts w:ascii="Calibri" w:cs="Calibri" w:eastAsia="Calibri" w:hAnsi="Calibri"/>
          <w:sz w:val="21"/>
          <w:szCs w:val="21"/>
        </w:rPr>
        <w:t xml:space="preserve">This was another high-intensity week concentrated almost entirely in actively-exploited, maximum-severity vulnerabilities spanning AI agent infrastructure, public-facing web platforms, security-management infrastructure, and enterprise collaboration systems. Four findings met the threshold for a full case-study bundle, all four rated Critical, and all four carrying the federal government's compressed three-to-four-day repair deadline. Most notable: the same AI agent orchestration platform flagged as a first-of-its-kind finding two weeks ago now carries a fourth actively-exploited critical vulnerability in the past fourteen months — confirming that pattern is a recurring vendor security-debt problem, not a one-time event.</w:t>
      </w:r>
    </w:p>
    <w:p>
      <w:pPr>
        <w:spacing w:after="160"/>
      </w:pPr>
      <w:r>
        <w:rPr>
          <w:rFonts w:ascii="Calibri" w:cs="Calibri" w:eastAsia="Calibri" w:hAnsi="Calibri"/>
          <w:sz w:val="21"/>
          <w:szCs w:val="21"/>
        </w:rPr>
        <w:t xml:space="preserve">Separately, the world's most widely used website platform suffered the first critical, unauthenticated remote-code-execution flaw in its own core software — not a third-party add-on — in nearly a decade, and a leading network security vendor's own management console was found with an authentication bypass that hands an attacker full administrative control over firewall policy. Rounding out the week, a third Microsoft SharePoint Server vulnerability was exploited in an ongoing wave of attacks against on-premises deployments, with attackers stealing cryptographic keys that let them keep access even after the security patch is applied.</w:t>
      </w:r>
    </w:p>
    <w:p>
      <w:pPr>
        <w:spacing w:after="160"/>
      </w:pPr>
      <w:r>
        <w:rPr>
          <w:rFonts w:ascii="Calibri" w:cs="Calibri" w:eastAsia="Calibri" w:hAnsi="Calibri"/>
          <w:sz w:val="21"/>
          <w:szCs w:val="21"/>
        </w:rPr>
        <w:t xml:space="preserve">In short: this week's risk is concentrated in confirmed, already-exploited technical vulnerabilities across a wide swath of infrastructure many organizations do not treat as top-tier — internal AI tooling, the public website, the firewall management console, and the document-collaboration platform. No category of "trusted" internal infrastructure is exempt from this threat level.</w:t>
      </w:r>
    </w:p>
    <w:p>
      <w:pPr>
        <w:spacing w:after="150" w:before="300"/>
      </w:pPr>
      <w:r>
        <w:rPr>
          <w:rFonts w:ascii="Calibri" w:cs="Calibri" w:eastAsia="Calibri" w:hAnsi="Calibri"/>
          <w:b/>
          <w:bCs/>
          <w:sz w:val="26"/>
          <w:szCs w:val="26"/>
        </w:rPr>
        <w:t xml:space="preserve">2. Cases Identified This Week</w:t>
      </w:r>
    </w:p>
    <w:p>
      <w:pPr>
        <w:spacing w:after="160"/>
      </w:pPr>
      <w:r>
        <w:rPr>
          <w:rFonts w:ascii="Calibri" w:cs="Calibri" w:eastAsia="Calibri" w:hAnsi="Calibri"/>
          <w:sz w:val="21"/>
          <w:szCs w:val="21"/>
        </w:rPr>
        <w:t xml:space="preserve">Four cases met the threshold for a full case-study bundle this week, all newly identified, plus one lower-severity item logged directly to the risk register without a full bundle. No repeat cases were suppressed, and no prior case required an escalated update this week.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300"/>
        <w:gridCol w:w="2600"/>
        <w:gridCol w:w="1400"/>
        <w:gridCol w:w="1300"/>
      </w:tblGrid>
      <w:tr>
        <w:trPr>
          <w:tblHeader/>
        </w:trPr>
        <w:tc>
          <w:tcPr>
            <w:tcW w:type="dxa" w:w="43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Case</w:t>
            </w:r>
          </w:p>
        </w:tc>
        <w:tc>
          <w:tcPr>
            <w:tcW w:type="dxa" w:w="26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Category</w:t>
            </w:r>
          </w:p>
        </w:tc>
        <w:tc>
          <w:tcPr>
            <w:tcW w:type="dxa" w:w="14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Risk Rating</w:t>
            </w:r>
          </w:p>
        </w:tc>
        <w:tc>
          <w:tcPr>
            <w:tcW w:type="dxa" w:w="13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Status</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19"/>
                <w:szCs w:val="19"/>
              </w:rPr>
              <w:t xml:space="preserve">Langflow AI Agent Platform — Root RCE via exec_globals</w:t>
            </w:r>
          </w:p>
        </w:tc>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AI-Governance / Cloud-Security</w:t>
            </w:r>
          </w:p>
        </w:tc>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Critical</w:t>
            </w:r>
          </w:p>
        </w:tc>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NEW</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19"/>
                <w:szCs w:val="19"/>
              </w:rPr>
              <w:t xml:space="preserve">WordPress Core "wp2shell" RCE Chain</w:t>
            </w:r>
          </w:p>
        </w:tc>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IT-OT-Threats</w:t>
            </w:r>
          </w:p>
        </w:tc>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Critical</w:t>
            </w:r>
          </w:p>
        </w:tc>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NEW</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19"/>
                <w:szCs w:val="19"/>
              </w:rPr>
              <w:t xml:space="preserve">Check Point SmartConsole — Auth Bypass / Admin Takeover</w:t>
            </w:r>
          </w:p>
        </w:tc>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IT-OT-Threats</w:t>
            </w:r>
          </w:p>
        </w:tc>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Critical</w:t>
            </w:r>
          </w:p>
        </w:tc>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NEW</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19"/>
                <w:szCs w:val="19"/>
              </w:rPr>
              <w:t xml:space="preserve">Microsoft SharePoint Server — Machine-Key-Theft RCE</w:t>
            </w:r>
          </w:p>
        </w:tc>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IT-OT-Threats</w:t>
            </w:r>
          </w:p>
        </w:tc>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Critical</w:t>
            </w:r>
          </w:p>
        </w:tc>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NEW</w:t>
            </w:r>
          </w:p>
        </w:tc>
      </w:tr>
      <w:tr>
        <w:tc>
          <w:tcPr>
            <w:tcW w:type="dxa" w:w="4300"/>
            <w:tcMar>
              <w:top w:type="dxa" w:w="80"/>
              <w:left w:type="dxa" w:w="100"/>
              <w:bottom w:type="dxa" w:w="80"/>
              <w:right w:type="dxa" w:w="100"/>
            </w:tcMar>
            <w:vAlign w:val="center"/>
          </w:tcPr>
          <w:p>
            <w:r>
              <w:rPr>
                <w:rFonts w:ascii="Calibri" w:cs="Calibri" w:eastAsia="Calibri" w:hAnsi="Calibri"/>
                <w:b w:val="false"/>
                <w:bCs w:val="false"/>
                <w:sz w:val="19"/>
                <w:szCs w:val="19"/>
              </w:rPr>
              <w:t xml:space="preserve">DD-WRT Router Firmware — UPnP Buffer Overflow (register-only)</w:t>
            </w:r>
          </w:p>
        </w:tc>
        <w:tc>
          <w:tcPr>
            <w:tcW w:type="dxa" w:w="2600"/>
            <w:tcMar>
              <w:top w:type="dxa" w:w="80"/>
              <w:left w:type="dxa" w:w="100"/>
              <w:bottom w:type="dxa" w:w="80"/>
              <w:right w:type="dxa" w:w="100"/>
            </w:tcMar>
            <w:vAlign w:val="center"/>
          </w:tcPr>
          <w:p>
            <w:r>
              <w:rPr>
                <w:rFonts w:ascii="Calibri" w:cs="Calibri" w:eastAsia="Calibri" w:hAnsi="Calibri"/>
                <w:b w:val="false"/>
                <w:bCs w:val="false"/>
                <w:sz w:val="19"/>
                <w:szCs w:val="19"/>
              </w:rPr>
              <w:t xml:space="preserve">IT-OT-Threats</w:t>
            </w:r>
          </w:p>
        </w:tc>
        <w:tc>
          <w:tcPr>
            <w:tcW w:type="dxa" w:w="1400"/>
            <w:tcMar>
              <w:top w:type="dxa" w:w="80"/>
              <w:left w:type="dxa" w:w="100"/>
              <w:bottom w:type="dxa" w:w="80"/>
              <w:right w:type="dxa" w:w="100"/>
            </w:tcMar>
            <w:vAlign w:val="center"/>
          </w:tcPr>
          <w:p>
            <w:r>
              <w:rPr>
                <w:rFonts w:ascii="Calibri" w:cs="Calibri" w:eastAsia="Calibri" w:hAnsi="Calibri"/>
                <w:b w:val="false"/>
                <w:bCs w:val="false"/>
                <w:sz w:val="19"/>
                <w:szCs w:val="19"/>
              </w:rPr>
              <w:t xml:space="preserve">High</w:t>
            </w:r>
          </w:p>
        </w:tc>
        <w:tc>
          <w:tcPr>
            <w:tcW w:type="dxa" w:w="1300"/>
            <w:tcMar>
              <w:top w:type="dxa" w:w="80"/>
              <w:left w:type="dxa" w:w="100"/>
              <w:bottom w:type="dxa" w:w="80"/>
              <w:right w:type="dxa" w:w="100"/>
            </w:tcMar>
            <w:vAlign w:val="center"/>
          </w:tcPr>
          <w:p>
            <w:r>
              <w:rPr>
                <w:rFonts w:ascii="Calibri" w:cs="Calibri" w:eastAsia="Calibri" w:hAnsi="Calibri"/>
                <w:b w:val="false"/>
                <w:bCs w:val="false"/>
                <w:sz w:val="19"/>
                <w:szCs w:val="19"/>
              </w:rPr>
              <w:t xml:space="preserve">NEW</w:t>
            </w:r>
          </w:p>
        </w:tc>
      </w:tr>
    </w:tbl>
    <w:p>
      <w:pPr>
        <w:spacing w:after="160"/>
      </w:pPr>
      <w:r>
        <w:rPr>
          <w:rFonts w:ascii="Calibri" w:cs="Calibri" w:eastAsia="Calibri" w:hAnsi="Calibri"/>
          <w:sz w:val="21"/>
          <w:szCs w:val="21"/>
        </w:rPr>
        <w:t xml:space="preserve"/>
      </w:r>
    </w:p>
    <w:p>
      <w:pPr>
        <w:spacing w:after="160"/>
      </w:pPr>
      <w:r>
        <w:rPr>
          <w:rFonts w:ascii="Calibri" w:cs="Calibri" w:eastAsia="Calibri" w:hAnsi="Calibri"/>
          <w:b/>
          <w:bCs/>
          <w:sz w:val="21"/>
          <w:szCs w:val="21"/>
        </w:rPr>
        <w:t xml:space="preserve">AI Agent Platform (second finding, same product): </w:t>
      </w:r>
      <w:r>
        <w:rPr>
          <w:rFonts w:ascii="Calibri" w:cs="Calibri" w:eastAsia="Calibri" w:hAnsi="Calibri"/>
          <w:sz w:val="21"/>
          <w:szCs w:val="21"/>
        </w:rPr>
        <w:t xml:space="preserve">The same open-source tool for building automated "AI agents" that appeared on the federal actively-exploited list two weeks ago is back with a second, unrelated flaw — this one requiring no login at all and granting the highest level of system access available. Attackers have been quietly exploiting it for about a month, attempting to steal cloud credentials from compromised servers. This is the fourth critical, actively-exploited flaw disclosed in this same platform in just over a year.</w:t>
      </w:r>
    </w:p>
    <w:p>
      <w:pPr>
        <w:spacing w:after="160"/>
      </w:pPr>
      <w:r>
        <w:rPr>
          <w:rFonts w:ascii="Calibri" w:cs="Calibri" w:eastAsia="Calibri" w:hAnsi="Calibri"/>
          <w:b/>
          <w:bCs/>
          <w:sz w:val="21"/>
          <w:szCs w:val="21"/>
        </w:rPr>
        <w:t xml:space="preserve">Public Website Platform: </w:t>
      </w:r>
      <w:r>
        <w:rPr>
          <w:rFonts w:ascii="Calibri" w:cs="Calibri" w:eastAsia="Calibri" w:hAnsi="Calibri"/>
          <w:sz w:val="21"/>
          <w:szCs w:val="21"/>
        </w:rPr>
        <w:t xml:space="preserve">A flaw in the core software behind roughly two out of every five websites worldwide lets a completely anonymous attacker take over the site — the first flaw this severe in the platform's core code (as opposed to an add-on) in nearly ten years. Attackers began exploiting it before the public even knew about it, planting hidden backdoors and creating fake administrator accounts that a simple software update will not remove.</w:t>
      </w:r>
    </w:p>
    <w:p>
      <w:pPr>
        <w:spacing w:after="160"/>
      </w:pPr>
      <w:r>
        <w:rPr>
          <w:rFonts w:ascii="Calibri" w:cs="Calibri" w:eastAsia="Calibri" w:hAnsi="Calibri"/>
          <w:b/>
          <w:bCs/>
          <w:sz w:val="21"/>
          <w:szCs w:val="21"/>
        </w:rPr>
        <w:t xml:space="preserve">Security Management Console Takeover: </w:t>
      </w:r>
      <w:r>
        <w:rPr>
          <w:rFonts w:ascii="Calibri" w:cs="Calibri" w:eastAsia="Calibri" w:hAnsi="Calibri"/>
          <w:sz w:val="21"/>
          <w:szCs w:val="21"/>
        </w:rPr>
        <w:t xml:space="preserve">A widely used firewall management platform had a flaw in its own administrator login process that lets an attacker with no credentials gain full control over firewall security policy — control-plane compromise, not just one system. The vendor confirmed real-world exploitation against a small number of customers, tied to a specific, fixable configuration issue (the management system being reachable from the open internet).</w:t>
      </w:r>
    </w:p>
    <w:p>
      <w:pPr>
        <w:spacing w:after="160"/>
      </w:pPr>
      <w:r>
        <w:rPr>
          <w:rFonts w:ascii="Calibri" w:cs="Calibri" w:eastAsia="Calibri" w:hAnsi="Calibri"/>
          <w:b/>
          <w:bCs/>
          <w:sz w:val="21"/>
          <w:szCs w:val="21"/>
        </w:rPr>
        <w:t xml:space="preserve">Collaboration Platform — Persistent Key Theft: </w:t>
      </w:r>
      <w:r>
        <w:rPr>
          <w:rFonts w:ascii="Calibri" w:cs="Calibri" w:eastAsia="Calibri" w:hAnsi="Calibri"/>
          <w:sz w:val="21"/>
          <w:szCs w:val="21"/>
        </w:rPr>
        <w:t xml:space="preserve">A third flaw in a widely used on-premises document-collaboration platform is being actively exploited as part of an ongoing month-long attack wave. Attackers are stealing a specific cryptographic component that lets them forge valid logins even after the security patch is applied — meaning "we patched it" is not the same as "the incident is over" for this one.</w:t>
      </w:r>
    </w:p>
    <w:p>
      <w:pPr>
        <w:spacing w:after="160"/>
      </w:pPr>
      <w:r>
        <w:rPr>
          <w:rFonts w:ascii="Calibri" w:cs="Calibri" w:eastAsia="Calibri" w:hAnsi="Calibri"/>
          <w:b/>
          <w:bCs/>
          <w:sz w:val="21"/>
          <w:szCs w:val="21"/>
        </w:rPr>
        <w:t xml:space="preserve">Router Firmware (register-only, no case bundle): </w:t>
      </w:r>
      <w:r>
        <w:rPr>
          <w:rFonts w:ascii="Calibri" w:cs="Calibri" w:eastAsia="Calibri" w:hAnsi="Calibri"/>
          <w:sz w:val="21"/>
          <w:szCs w:val="21"/>
        </w:rPr>
        <w:t xml:space="preserve">A buffer-overflow flaw in a home/small-business router firmware platform was added to the federal actively-exploited list, but exploitation requires a specific feature to be turned on that is switched off by default. Consistent with program precedent for narrow-condition findings, this was logged directly to the risk register without a full case-study bundle.</w:t>
      </w:r>
    </w:p>
    <w:p>
      <w:pPr>
        <w:spacing w:after="150" w:before="300"/>
      </w:pPr>
      <w:r>
        <w:rPr>
          <w:rFonts w:ascii="Calibri" w:cs="Calibri" w:eastAsia="Calibri" w:hAnsi="Calibri"/>
          <w:b/>
          <w:bCs/>
          <w:sz w:val="26"/>
          <w:szCs w:val="26"/>
        </w:rPr>
        <w:t xml:space="preserve">3. Top 3 Critical Risks</w:t>
      </w:r>
    </w:p>
    <w:p>
      <w:pPr>
        <w:spacing w:after="160"/>
      </w:pPr>
      <w:r>
        <w:rPr>
          <w:rFonts w:ascii="Calibri" w:cs="Calibri" w:eastAsia="Calibri" w:hAnsi="Calibri"/>
          <w:b/>
          <w:bCs/>
          <w:sz w:val="21"/>
          <w:szCs w:val="21"/>
        </w:rPr>
        <w:t xml:space="preserve">1. Firewall Management Console Takeover — </w:t>
      </w:r>
      <w:r>
        <w:rPr>
          <w:rFonts w:ascii="Calibri" w:cs="Calibri" w:eastAsia="Calibri" w:hAnsi="Calibri"/>
          <w:sz w:val="21"/>
          <w:szCs w:val="21"/>
        </w:rPr>
        <w:t xml:space="preserve">What happened: An authentication flaw in a leading firewall management console lets an unauthenticated attacker gain full administrative control over security policy. Why it matters: this is control-plane compromise — a single console can administer security policy for dozens of gateways, so this is the broadest-blast-radius finding of the week. What we're doing: applying the vendor's emergency patch, restricting the management console so it is not reachable from the open internet, and comparing current firewall policy against our last known-good baseline to rule out silent tampering.</w:t>
      </w:r>
    </w:p>
    <w:p>
      <w:pPr>
        <w:spacing w:after="160"/>
      </w:pPr>
      <w:r>
        <w:rPr>
          <w:rFonts w:ascii="Calibri" w:cs="Calibri" w:eastAsia="Calibri" w:hAnsi="Calibri"/>
          <w:b/>
          <w:bCs/>
          <w:sz w:val="21"/>
          <w:szCs w:val="21"/>
        </w:rPr>
        <w:t xml:space="preserve">2. Collaboration Platform Persistent Access — </w:t>
      </w:r>
      <w:r>
        <w:rPr>
          <w:rFonts w:ascii="Calibri" w:cs="Calibri" w:eastAsia="Calibri" w:hAnsi="Calibri"/>
          <w:sz w:val="21"/>
          <w:szCs w:val="21"/>
        </w:rPr>
        <w:t xml:space="preserve">What happened: Attackers are exploiting a flaw in our on-premises document platform and stealing cryptographic keys that let them forge valid logins even after patching. Why it matters: this defeats the normal assumption that "patched" means "secure" — an attacker who stole keys before the patch can remain inside indefinitely unless those keys are specifically retired. What we're doing: patching immediately, then conducting a forensic sweep for planted backdoors before rotating the affected keys — in that specific order, since rotating first while an active tool remains would let it steal the new keys too.</w:t>
      </w:r>
    </w:p>
    <w:p>
      <w:pPr>
        <w:spacing w:after="160"/>
      </w:pPr>
      <w:r>
        <w:rPr>
          <w:rFonts w:ascii="Calibri" w:cs="Calibri" w:eastAsia="Calibri" w:hAnsi="Calibri"/>
          <w:b/>
          <w:bCs/>
          <w:sz w:val="21"/>
          <w:szCs w:val="21"/>
        </w:rPr>
        <w:t xml:space="preserve">3. Recurring AI Agent Platform Failures — </w:t>
      </w:r>
      <w:r>
        <w:rPr>
          <w:rFonts w:ascii="Calibri" w:cs="Calibri" w:eastAsia="Calibri" w:hAnsi="Calibri"/>
          <w:sz w:val="21"/>
          <w:szCs w:val="21"/>
        </w:rPr>
        <w:t xml:space="preserve">What happened: The same AI agent platform flagged two weeks ago for a critical flaw now has its fourth actively-exploited critical vulnerability in just over a year. Why it matters: this is no longer an isolated incident but a pattern — internally adopted AI tooling is proving to be a recurring, high-severity attack surface, and organizations without a formal inventory of these tools cannot react to advisories that name them. What we're doing: completing an organization-wide inventory of AI agent tooling and establishing a formal security-review gate before any such tool reaches production.</w:t>
      </w:r>
    </w:p>
    <w:p>
      <w:pPr>
        <w:spacing w:after="150" w:before="300"/>
      </w:pPr>
      <w:r>
        <w:rPr>
          <w:rFonts w:ascii="Calibri" w:cs="Calibri" w:eastAsia="Calibri" w:hAnsi="Calibri"/>
          <w:b/>
          <w:bCs/>
          <w:sz w:val="26"/>
          <w:szCs w:val="26"/>
        </w:rPr>
        <w:t xml:space="preserve">4. AI Governance Watch</w:t>
      </w:r>
    </w:p>
    <w:p>
      <w:pPr>
        <w:spacing w:after="160"/>
      </w:pPr>
      <w:r>
        <w:rPr>
          <w:rFonts w:ascii="Calibri" w:cs="Calibri" w:eastAsia="Calibri" w:hAnsi="Calibri"/>
          <w:sz w:val="21"/>
          <w:szCs w:val="21"/>
        </w:rPr>
        <w:t xml:space="preserve">This week's leading AI governance signal is the pattern itself: the same AI agent orchestration platform that made history two weeks ago as the first such platform on the federal actively-exploited list now has a fourth critical, actively-exploited vulnerability in fourteen months. Attackers are treating agentic-AI infrastructure as a standing target, not a one-off opportunity — a materially different risk posture than a single isolated CVE. AI governance programs should treat this as confirmation that agent-orchestration tooling requires the same continuous vulnerability-management discipline as core production infrastructure, from the day it is first deployed.</w:t>
      </w:r>
    </w:p>
    <w:p>
      <w:pPr>
        <w:spacing w:after="160"/>
      </w:pPr>
      <w:r>
        <w:rPr>
          <w:rFonts w:ascii="Calibri" w:cs="Calibri" w:eastAsia="Calibri" w:hAnsi="Calibri"/>
          <w:sz w:val="21"/>
          <w:szCs w:val="21"/>
        </w:rPr>
        <w:t xml:space="preserve">Separately, the FTC's proposed policy statement on AI accuracy and state-law compliance (addressing when altering AI outputs to satisfy state requirements may itself violate federal consumer-protection law) remains open for public comment through July 31 — an evolving federal-versus-state tension worth monitoring but not yet a compliance action item. No new AI-specific framework, standard, or regulatory deadline took effect in the reporting window itself.</w:t>
      </w:r>
    </w:p>
    <w:p>
      <w:pPr>
        <w:spacing w:after="160"/>
      </w:pPr>
      <w:r>
        <w:rPr>
          <w:rFonts w:ascii="Calibri" w:cs="Calibri" w:eastAsia="Calibri" w:hAnsi="Calibri"/>
          <w:sz w:val="21"/>
          <w:szCs w:val="21"/>
        </w:rPr>
        <w:t xml:space="preserve">Recommendation: Formalize an AI agent/tool intake process requiring a security and governance review before any internally adopted agentic-AI platform reaches production or internet-facing status — the recurring Langflow pattern demonstrates that ad hoc adoption of this category of tooling is now a standing, not hypothetical, risk.</w:t>
      </w:r>
    </w:p>
    <w:p>
      <w:pPr>
        <w:spacing w:after="150" w:before="300"/>
      </w:pPr>
      <w:r>
        <w:rPr>
          <w:rFonts w:ascii="Calibri" w:cs="Calibri" w:eastAsia="Calibri" w:hAnsi="Calibri"/>
          <w:b/>
          <w:bCs/>
          <w:sz w:val="26"/>
          <w:szCs w:val="26"/>
        </w:rPr>
        <w:t xml:space="preserve">5. Compliance Posture</w:t>
      </w:r>
    </w:p>
    <w:p>
      <w:pPr>
        <w:spacing w:after="160"/>
      </w:pPr>
      <w:r>
        <w:rPr>
          <w:rFonts w:ascii="Calibri" w:cs="Calibri" w:eastAsia="Calibri" w:hAnsi="Calibri"/>
          <w:sz w:val="21"/>
          <w:szCs w:val="21"/>
        </w:rPr>
        <w:t xml:space="preserve">No new compliance or security frameworks were introduced into our program this week — all findings mapped cleanly to frameworks already in active use (NIST CSF 2.0, NIST 800-53, ISO 27001, CIS Controls, NIST AI RMF, ISO 42001, and the EU AI Act).</w:t>
      </w:r>
    </w:p>
    <w:p>
      <w:pPr>
        <w:spacing w:after="160"/>
      </w:pPr>
      <w:r>
        <w:rPr>
          <w:rFonts w:ascii="Calibri" w:cs="Calibri" w:eastAsia="Calibri" w:hAnsi="Calibri"/>
          <w:sz w:val="21"/>
          <w:szCs w:val="21"/>
        </w:rPr>
        <w:t xml:space="preserve">One item worth flagging for cloud GRC awareness: FedRAMP Ready formally retires July 28, 2026 (the day after this report), with no new submissions accepted under that designation afterward — it becomes "Legacy FedRAMP Ready." This continues the FedRAMP Consolidated Rules for 2026 transition noted in the prior reporting period, and is directly relevant for any cloud service offering pursuing or maintaining federal authorization.</w:t>
      </w:r>
    </w:p>
    <w:p>
      <w:pPr>
        <w:spacing w:after="160"/>
      </w:pPr>
      <w:r>
        <w:rPr>
          <w:rFonts w:ascii="Calibri" w:cs="Calibri" w:eastAsia="Calibri" w:hAnsi="Calibri"/>
          <w:sz w:val="21"/>
          <w:szCs w:val="21"/>
        </w:rPr>
        <w:t xml:space="preserve">Trend continuation: four of this week's five new risk register entries were issued under the federal government's compressed three-to-four-day remediation mandate (BOD 26-04) — consistent with the pattern flagged in each of the past several reporting periods. This is now the sustained operating norm for confirmed actively-exploited critical findings, and internal patch-management SLAs should continue to be validated against it rather than treated as exceptional.</w:t>
      </w:r>
    </w:p>
    <w:p>
      <w:pPr>
        <w:spacing w:after="150" w:before="300"/>
      </w:pPr>
      <w:r>
        <w:rPr>
          <w:rFonts w:ascii="Calibri" w:cs="Calibri" w:eastAsia="Calibri" w:hAnsi="Calibri"/>
          <w:b/>
          <w:bCs/>
          <w:sz w:val="26"/>
          <w:szCs w:val="26"/>
        </w:rPr>
        <w:t xml:space="preserve">6. Recommended Executive Actions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500"/>
        <w:gridCol w:w="5300"/>
        <w:gridCol w:w="2400"/>
        <w:gridCol w:w="1500"/>
      </w:tblGrid>
      <w:tr>
        <w:trPr>
          <w:tblHeader/>
        </w:trPr>
        <w:tc>
          <w:tcPr>
            <w:tcW w:type="dxa" w:w="5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w:t>
            </w:r>
          </w:p>
        </w:tc>
        <w:tc>
          <w:tcPr>
            <w:tcW w:type="dxa" w:w="53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Action</w:t>
            </w:r>
          </w:p>
        </w:tc>
        <w:tc>
          <w:tcPr>
            <w:tcW w:type="dxa" w:w="24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Owner</w:t>
            </w:r>
          </w:p>
        </w:tc>
        <w:tc>
          <w:tcPr>
            <w:tcW w:type="dxa" w:w="15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Timeline</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1</w:t>
            </w:r>
          </w:p>
        </w:tc>
        <w:tc>
          <w:tcPr>
            <w:tcW w:type="dxa" w:w="5300"/>
            <w:tcMar>
              <w:top w:type="dxa" w:w="80"/>
              <w:left w:type="dxa" w:w="100"/>
              <w:bottom w:type="dxa" w:w="80"/>
              <w:right w:type="dxa" w:w="100"/>
            </w:tcMar>
            <w:vAlign w:val="center"/>
          </w:tcPr>
          <w:p>
            <w:r>
              <w:rPr>
                <w:rFonts w:ascii="Calibri" w:cs="Calibri" w:eastAsia="Calibri" w:hAnsi="Calibri"/>
                <w:b w:val="false"/>
                <w:bCs w:val="false"/>
                <w:sz w:val="19"/>
                <w:szCs w:val="19"/>
              </w:rPr>
              <w:t xml:space="preserve">Confirm whether Langflow, WordPress Core, Check Point Security Management, or on-prem SharePoint Server are deployed anywhere in the environment; patch per federal deadlines.</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AI/Platform Engineering; Web/IT Operations; Security Architecture; Enterprise Application Engineering</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By July 24–25</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2</w:t>
            </w:r>
          </w:p>
        </w:tc>
        <w:tc>
          <w:tcPr>
            <w:tcW w:type="dxa" w:w="5300"/>
            <w:tcMar>
              <w:top w:type="dxa" w:w="80"/>
              <w:left w:type="dxa" w:w="100"/>
              <w:bottom w:type="dxa" w:w="80"/>
              <w:right w:type="dxa" w:w="100"/>
            </w:tcMar>
            <w:vAlign w:val="center"/>
          </w:tcPr>
          <w:p>
            <w:r>
              <w:rPr>
                <w:rFonts w:ascii="Calibri" w:cs="Calibri" w:eastAsia="Calibri" w:hAnsi="Calibri"/>
                <w:b w:val="false"/>
                <w:bCs w:val="false"/>
                <w:sz w:val="19"/>
                <w:szCs w:val="19"/>
              </w:rPr>
              <w:t xml:space="preserve">Do not treat SharePoint patching as remediation-complete — sequence a forensic sweep before rotating machine keys.</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Enterprise Application Engineering / Security Operations</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Next 5 business days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3</w:t>
            </w:r>
          </w:p>
        </w:tc>
        <w:tc>
          <w:tcPr>
            <w:tcW w:type="dxa" w:w="5300"/>
            <w:tcMar>
              <w:top w:type="dxa" w:w="80"/>
              <w:left w:type="dxa" w:w="100"/>
              <w:bottom w:type="dxa" w:w="80"/>
              <w:right w:type="dxa" w:w="100"/>
            </w:tcMar>
            <w:vAlign w:val="center"/>
          </w:tcPr>
          <w:p>
            <w:r>
              <w:rPr>
                <w:rFonts w:ascii="Calibri" w:cs="Calibri" w:eastAsia="Calibri" w:hAnsi="Calibri"/>
                <w:b w:val="false"/>
                <w:bCs w:val="false"/>
                <w:sz w:val="19"/>
                <w:szCs w:val="19"/>
              </w:rPr>
              <w:t xml:space="preserve">Verify Check Point Management Server network exposure and Trusted Client restrictions; compare firewall policy against baseline.</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Security Architecture / Network Engineering</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Next 5 business days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4</w:t>
            </w:r>
          </w:p>
        </w:tc>
        <w:tc>
          <w:tcPr>
            <w:tcW w:type="dxa" w:w="5300"/>
            <w:tcMar>
              <w:top w:type="dxa" w:w="80"/>
              <w:left w:type="dxa" w:w="100"/>
              <w:bottom w:type="dxa" w:w="80"/>
              <w:right w:type="dxa" w:w="100"/>
            </w:tcMar>
            <w:vAlign w:val="center"/>
          </w:tcPr>
          <w:p>
            <w:r>
              <w:rPr>
                <w:rFonts w:ascii="Calibri" w:cs="Calibri" w:eastAsia="Calibri" w:hAnsi="Calibri"/>
                <w:b w:val="false"/>
                <w:bCs w:val="false"/>
                <w:sz w:val="19"/>
                <w:szCs w:val="19"/>
              </w:rPr>
              <w:t xml:space="preserve">Complete an organization-wide AI agent tooling inventory and establish a pre-production security review gate.</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AI Governance Lead / AI Platform Engineering</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Next 30 days</w:t>
            </w:r>
          </w:p>
        </w:tc>
      </w:tr>
      <w:tr>
        <w:tc>
          <w:tcPr>
            <w:tcW w:type="dxa" w:w="500"/>
            <w:tcMar>
              <w:top w:type="dxa" w:w="80"/>
              <w:left w:type="dxa" w:w="100"/>
              <w:bottom w:type="dxa" w:w="80"/>
              <w:right w:type="dxa" w:w="100"/>
            </w:tcMar>
            <w:vAlign w:val="center"/>
          </w:tcPr>
          <w:p>
            <w:r>
              <w:rPr>
                <w:rFonts w:ascii="Calibri" w:cs="Calibri" w:eastAsia="Calibri" w:hAnsi="Calibri"/>
                <w:b w:val="false"/>
                <w:bCs w:val="false"/>
                <w:sz w:val="19"/>
                <w:szCs w:val="19"/>
              </w:rPr>
              <w:t xml:space="preserve">5</w:t>
            </w:r>
          </w:p>
        </w:tc>
        <w:tc>
          <w:tcPr>
            <w:tcW w:type="dxa" w:w="5300"/>
            <w:tcMar>
              <w:top w:type="dxa" w:w="80"/>
              <w:left w:type="dxa" w:w="100"/>
              <w:bottom w:type="dxa" w:w="80"/>
              <w:right w:type="dxa" w:w="100"/>
            </w:tcMar>
            <w:vAlign w:val="center"/>
          </w:tcPr>
          <w:p>
            <w:r>
              <w:rPr>
                <w:rFonts w:ascii="Calibri" w:cs="Calibri" w:eastAsia="Calibri" w:hAnsi="Calibri"/>
                <w:b w:val="false"/>
                <w:bCs w:val="false"/>
                <w:sz w:val="19"/>
                <w:szCs w:val="19"/>
              </w:rPr>
              <w:t xml:space="preserve">Track the FedRAMP Ready retirement (July 28) and confirm transition plan to the FedRAMP 20x Consolidated Rules pathway for any cloud offerings pursuing federal authorization.</w:t>
            </w:r>
          </w:p>
        </w:tc>
        <w:tc>
          <w:tcPr>
            <w:tcW w:type="dxa" w:w="2400"/>
            <w:tcMar>
              <w:top w:type="dxa" w:w="80"/>
              <w:left w:type="dxa" w:w="100"/>
              <w:bottom w:type="dxa" w:w="80"/>
              <w:right w:type="dxa" w:w="100"/>
            </w:tcMar>
            <w:vAlign w:val="center"/>
          </w:tcPr>
          <w:p>
            <w:r>
              <w:rPr>
                <w:rFonts w:ascii="Calibri" w:cs="Calibri" w:eastAsia="Calibri" w:hAnsi="Calibri"/>
                <w:b w:val="false"/>
                <w:bCs w:val="false"/>
                <w:sz w:val="19"/>
                <w:szCs w:val="19"/>
              </w:rPr>
              <w:t xml:space="preserve">Cloud GRC / Compliance</w:t>
            </w:r>
          </w:p>
        </w:tc>
        <w:tc>
          <w:tcPr>
            <w:tcW w:type="dxa" w:w="1500"/>
            <w:tcMar>
              <w:top w:type="dxa" w:w="80"/>
              <w:left w:type="dxa" w:w="100"/>
              <w:bottom w:type="dxa" w:w="80"/>
              <w:right w:type="dxa" w:w="100"/>
            </w:tcMar>
            <w:vAlign w:val="center"/>
          </w:tcPr>
          <w:p>
            <w:r>
              <w:rPr>
                <w:rFonts w:ascii="Calibri" w:cs="Calibri" w:eastAsia="Calibri" w:hAnsi="Calibri"/>
                <w:b w:val="false"/>
                <w:bCs w:val="false"/>
                <w:sz w:val="19"/>
                <w:szCs w:val="19"/>
              </w:rPr>
              <w:t xml:space="preserve">Next 30 days</w:t>
            </w:r>
          </w:p>
        </w:tc>
      </w:tr>
    </w:tbl>
    <w:p>
      <w:pPr>
        <w:spacing w:after="150" w:before="300"/>
      </w:pPr>
      <w:r>
        <w:rPr>
          <w:rFonts w:ascii="Calibri" w:cs="Calibri" w:eastAsia="Calibri" w:hAnsi="Calibri"/>
          <w:b/>
          <w:bCs/>
          <w:sz w:val="26"/>
          <w:szCs w:val="26"/>
        </w:rPr>
        <w:t xml:space="preserve">7. Metrics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300"/>
        <w:gridCol w:w="3400"/>
      </w:tblGrid>
      <w:tr>
        <w:trPr>
          <w:tblHeader/>
        </w:trPr>
        <w:tc>
          <w:tcPr>
            <w:tcW w:type="dxa" w:w="63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Metric</w:t>
            </w:r>
          </w:p>
        </w:tc>
        <w:tc>
          <w:tcPr>
            <w:tcW w:type="dxa" w:w="3400"/>
            <w:shd w:fill="D9E2F3" w:val="clear"/>
            <w:tcMar>
              <w:top w:type="dxa" w:w="80"/>
              <w:left w:type="dxa" w:w="100"/>
              <w:bottom w:type="dxa" w:w="80"/>
              <w:right w:type="dxa" w:w="100"/>
            </w:tcMar>
            <w:vAlign w:val="center"/>
          </w:tcPr>
          <w:p>
            <w:r>
              <w:rPr>
                <w:rFonts w:ascii="Calibri" w:cs="Calibri" w:eastAsia="Calibri" w:hAnsi="Calibri"/>
                <w:b/>
                <w:bCs/>
                <w:sz w:val="19"/>
                <w:szCs w:val="19"/>
              </w:rPr>
              <w:t xml:space="preserve">Value</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New cases identified this week</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5 (4 full bundle + 1 register-only)</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Escalated (UPDATE) cases</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0</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Repeat cases suppressed (duplicate, no change)</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0</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Critical-rated findings</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4 cases / 4 risk register rows</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High-rated findings</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1 (register-only)</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Findings under accelerated 3–4 day federal remediation mandate</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4</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Risk Register: new rows added</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5 (RR-035 – RR-039)</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Risk Register: existing rows revised in place</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0</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Risk Register: total open risks on file</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39</w:t>
            </w:r>
          </w:p>
        </w:tc>
      </w:tr>
      <w:tr>
        <w:tc>
          <w:tcPr>
            <w:tcW w:type="dxa" w:w="6300"/>
            <w:tcMar>
              <w:top w:type="dxa" w:w="80"/>
              <w:left w:type="dxa" w:w="100"/>
              <w:bottom w:type="dxa" w:w="80"/>
              <w:right w:type="dxa" w:w="100"/>
            </w:tcMar>
            <w:vAlign w:val="center"/>
          </w:tcPr>
          <w:p>
            <w:r>
              <w:rPr>
                <w:rFonts w:ascii="Calibri" w:cs="Calibri" w:eastAsia="Calibri" w:hAnsi="Calibri"/>
                <w:b w:val="false"/>
                <w:bCs w:val="false"/>
                <w:sz w:val="19"/>
                <w:szCs w:val="19"/>
              </w:rPr>
              <w:t xml:space="preserve">New compliance frameworks introduced this run</w:t>
            </w:r>
          </w:p>
        </w:tc>
        <w:tc>
          <w:tcPr>
            <w:tcW w:type="dxa" w:w="3400"/>
            <w:tcMar>
              <w:top w:type="dxa" w:w="80"/>
              <w:left w:type="dxa" w:w="100"/>
              <w:bottom w:type="dxa" w:w="80"/>
              <w:right w:type="dxa" w:w="100"/>
            </w:tcMar>
            <w:vAlign w:val="center"/>
          </w:tcPr>
          <w:p>
            <w:r>
              <w:rPr>
                <w:rFonts w:ascii="Calibri" w:cs="Calibri" w:eastAsia="Calibri" w:hAnsi="Calibri"/>
                <w:b w:val="false"/>
                <w:bCs w:val="false"/>
                <w:sz w:val="19"/>
                <w:szCs w:val="19"/>
              </w:rPr>
              <w:t xml:space="preserve">0</w:t>
            </w:r>
          </w:p>
        </w:tc>
      </w:tr>
    </w:tbl>
    <w:p>
      <w:pPr>
        <w:spacing w:before="300"/>
      </w:pPr>
    </w:p>
    <w:p>
      <w:pPr>
        <w:pBdr>
          <w:top w:val="single" w:color="999999" w:sz="6" w:space="8"/>
        </w:pBdr>
        <w:spacing w:before="200"/>
      </w:pPr>
      <w:r>
        <w:rPr>
          <w:rFonts w:ascii="Calibri" w:cs="Calibri" w:eastAsia="Calibri" w:hAnsi="Calibri"/>
          <w:i/>
          <w:iCs/>
          <w:sz w:val="18"/>
          <w:szCs w:val="18"/>
        </w:rPr>
        <w:t xml:space="preserve">This report is generated by the GRC Intelligence Monitor as part of Blaise Kingko's public GRC portfolio program. Full technical case-study artifacts for each finding above are available under Case-studies\ in the GRC Portfolio repository.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2026-07-27T15:55:22.306Z</dcterms:created>
  <dcterms:modified xsi:type="dcterms:W3CDTF">2026-07-27T15:55:22.307Z</dcterms:modified>
</cp:coreProperties>
</file>

<file path=docProps/custom.xml><?xml version="1.0" encoding="utf-8"?>
<Properties xmlns="http://schemas.openxmlformats.org/officeDocument/2006/custom-properties" xmlns:vt="http://schemas.openxmlformats.org/officeDocument/2006/docPropsVTypes"/>
</file>