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B4F72"/>
          <w:sz w:val="20"/>
          <w:szCs w:val="20"/>
        </w:rPr>
        <w:t xml:space="preserve">GRC INTELLIGENCE PROGRAM</w:t>
      </w:r>
    </w:p>
    <w:p>
      <w:pPr>
        <w:spacing w:after="80"/>
      </w:pPr>
      <w:r>
        <w:rPr>
          <w:b/>
          <w:bCs/>
          <w:sz w:val="44"/>
          <w:szCs w:val="44"/>
        </w:rPr>
        <w:t xml:space="preserve">Weekly Executive Report</w:t>
      </w:r>
    </w:p>
    <w:p>
      <w:pPr>
        <w:spacing w:after="60"/>
      </w:pPr>
      <w:r>
        <w:rPr>
          <w:color w:val="5D6D7E"/>
          <w:sz w:val="20"/>
          <w:szCs w:val="20"/>
        </w:rPr>
        <w:t xml:space="preserve">Report Period: 2026-08-31 to 2026-09-07  |  Prepared: 2026-09-07  |  Prepared by: Blaise Kingko, GRC Intelligence Program</w:t>
      </w:r>
    </w:p>
    <w:p>
      <w:pPr>
        <w:spacing w:after="300"/>
      </w:pPr>
      <w:r>
        <w:rPr>
          <w:color w:val="5D6D7E"/>
          <w:sz w:val="20"/>
          <w:szCs w:val="20"/>
        </w:rPr>
        <w:t xml:space="preserve">Audience: CISO / Board  |  Classification: Internal</w:t>
      </w:r>
    </w:p>
    <w:p>
      <w:pPr>
        <w:pBdr>
          <w:bottom w:val="single" w:color="0D1B2A" w:sz="12" w:space="4"/>
        </w:pBdr>
        <w:spacing w:after="300"/>
      </w:pPr>
    </w:p>
    <w:p>
      <w:pPr>
        <w:pStyle w:val="Heading1"/>
        <w:spacing w:after="160" w:before="320"/>
      </w:pPr>
      <w:r>
        <w:t xml:space="preserve">1. This Week's Threat Landscape</w:t>
      </w:r>
    </w:p>
    <w:p>
      <w:pPr>
        <w:spacing w:after="160"/>
      </w:pPr>
      <w:r>
        <w:t xml:space="preserve">This was an unusually active week. Ten new vulnerabilities were added to the federal government's list of flaws under active attack — roughly double a typical week — spanning remote-access appliances, print-management servers, software-supply-chain infrastructure, and workflow-automation platforms. Separately, three distinct security bulletins from Amazon Web Services this week involved the tools organizations use to connect AI agents to databases and cloud infrastructure — a pattern this program has now tracked for two consecutive weeks. And public reporting this week disclosed a large-scale breach (reported at roughly 284 million records) at a healthcare organization, traced back to a phone-based social-engineering attack against a login system many organizations use every day. Note for the record: this report follows an unexplained three-week gap in our monitoring cadence (last report: 2026-08-10); this week's findings cover only the most recent seven days, not the missed weeks — see Section 6 for a recommended catch-up action.</w:t>
      </w:r>
    </w:p>
    <w:p>
      <w:pPr>
        <w:pStyle w:val="Heading1"/>
        <w:spacing w:after="160" w:before="320"/>
      </w:pPr>
      <w:r>
        <w:t xml:space="preserve">2. Cases Identified This Week</w:t>
      </w:r>
    </w:p>
    <w:p>
      <w:pPr>
        <w:spacing w:after="160"/>
      </w:pPr>
      <w:r>
        <w:t xml:space="preserve">Ten findings met this week's threshold for tracking. Four received full investigation writeups (technical detail, business impact, and a remediation plan); the remaining six were logged to the risk register with clear remediation guidance but did not receive a full writeup, to keep this week's most consequential findings the priority.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1400"/>
        <w:gridCol w:w="1600"/>
      </w:tblGrid>
      <w:tr>
        <w:trPr>
          <w:tblHeader/>
        </w:trPr>
        <w:tc>
          <w:tcPr>
            <w:shd w:fill="0D1B2A" w:val="clear"/>
            <w:tcMar>
              <w:top w:type="dxa" w:w="80"/>
              <w:left w:type="dxa" w:w="100"/>
              <w:bottom w:type="dxa" w:w="80"/>
              <w:right w:type="dxa" w:w="100"/>
            </w:tcMar>
            <w:vAlign w:val="center"/>
          </w:tcPr>
          <w:p>
            <w:r>
              <w:rPr>
                <w:b/>
                <w:bCs/>
                <w:color w:val="FFFFFF"/>
                <w:sz w:val="18"/>
                <w:szCs w:val="18"/>
              </w:rPr>
              <w:t xml:space="preserve">Case</w:t>
            </w:r>
          </w:p>
        </w:tc>
        <w:tc>
          <w:tcPr>
            <w:shd w:fill="0D1B2A" w:val="clear"/>
            <w:tcMar>
              <w:top w:type="dxa" w:w="80"/>
              <w:left w:type="dxa" w:w="100"/>
              <w:bottom w:type="dxa" w:w="80"/>
              <w:right w:type="dxa" w:w="100"/>
            </w:tcMar>
            <w:vAlign w:val="center"/>
          </w:tcPr>
          <w:p>
            <w:r>
              <w:rPr>
                <w:b/>
                <w:bCs/>
                <w:color w:val="FFFFFF"/>
                <w:sz w:val="18"/>
                <w:szCs w:val="18"/>
              </w:rPr>
              <w:t xml:space="preserve">Category</w:t>
            </w:r>
          </w:p>
        </w:tc>
        <w:tc>
          <w:tcPr>
            <w:shd w:fill="0D1B2A" w:val="clear"/>
            <w:tcMar>
              <w:top w:type="dxa" w:w="80"/>
              <w:left w:type="dxa" w:w="100"/>
              <w:bottom w:type="dxa" w:w="80"/>
              <w:right w:type="dxa" w:w="100"/>
            </w:tcMar>
            <w:vAlign w:val="center"/>
          </w:tcPr>
          <w:p>
            <w:r>
              <w:rPr>
                <w:b/>
                <w:bCs/>
                <w:color w:val="FFFFFF"/>
                <w:sz w:val="18"/>
                <w:szCs w:val="18"/>
              </w:rPr>
              <w:t xml:space="preserve">Risk Rating</w:t>
            </w:r>
          </w:p>
        </w:tc>
        <w:tc>
          <w:tcPr>
            <w:shd w:fill="0D1B2A" w:val="clear"/>
            <w:tcMar>
              <w:top w:type="dxa" w:w="80"/>
              <w:left w:type="dxa" w:w="100"/>
              <w:bottom w:type="dxa" w:w="80"/>
              <w:right w:type="dxa" w:w="100"/>
            </w:tcMar>
            <w:vAlign w:val="center"/>
          </w:tcPr>
          <w:p>
            <w:r>
              <w:rPr>
                <w:b/>
                <w:bCs/>
                <w:color w:val="FFFFFF"/>
                <w:sz w:val="18"/>
                <w:szCs w:val="18"/>
              </w:rPr>
              <w:t xml:space="preserve">Status</w:t>
            </w:r>
          </w:p>
        </w:tc>
      </w:tr>
      <w:tr>
        <w:tc>
          <w:tcPr>
            <w:tcW w:type="dxa" w:w="4600"/>
            <w:tcMar>
              <w:top w:type="dxa" w:w="70"/>
              <w:left w:type="dxa" w:w="100"/>
              <w:bottom w:type="dxa" w:w="70"/>
              <w:right w:type="dxa" w:w="100"/>
            </w:tcMar>
          </w:tcPr>
          <w:p>
            <w:r>
              <w:rPr>
                <w:b w:val="false"/>
                <w:bCs w:val="false"/>
                <w:color w:val="000000"/>
                <w:sz w:val="18"/>
                <w:szCs w:val="18"/>
              </w:rPr>
              <w:t xml:space="preserve">AWS AI-agent database tools (Postgres &amp; DynamoDB) — safety-control bypass in AI tooling</w:t>
            </w:r>
          </w:p>
        </w:tc>
        <w:tc>
          <w:tcPr>
            <w:tcW w:type="dxa" w:w="2200"/>
            <w:tcMar>
              <w:top w:type="dxa" w:w="70"/>
              <w:left w:type="dxa" w:w="100"/>
              <w:bottom w:type="dxa" w:w="70"/>
              <w:right w:type="dxa" w:w="100"/>
            </w:tcMar>
          </w:tcPr>
          <w:p>
            <w:r>
              <w:rPr>
                <w:b w:val="false"/>
                <w:bCs w:val="false"/>
                <w:color w:val="000000"/>
                <w:sz w:val="18"/>
                <w:szCs w:val="18"/>
              </w:rPr>
              <w:t xml:space="preserve">AI Governance / Cloud</w:t>
            </w:r>
          </w:p>
        </w:tc>
        <w:tc>
          <w:tcPr>
            <w:tcW w:type="dxa" w:w="1400"/>
            <w:shd w:fill="FFFFFF" w:val="clear"/>
            <w:tcMar>
              <w:top w:type="dxa" w:w="70"/>
              <w:left w:type="dxa" w:w="100"/>
              <w:bottom w:type="dxa" w:w="70"/>
              <w:right w:type="dxa" w:w="100"/>
            </w:tcMar>
          </w:tcPr>
          <w:p>
            <w:r>
              <w:rPr>
                <w:b/>
                <w:bCs/>
                <w:color w:val="E67E22"/>
                <w:sz w:val="18"/>
                <w:szCs w:val="18"/>
              </w:rPr>
              <w:t xml:space="preserve">High</w:t>
            </w:r>
          </w:p>
        </w:tc>
        <w:tc>
          <w:tcPr>
            <w:tcW w:type="dxa" w:w="1600"/>
            <w:tcMar>
              <w:top w:type="dxa" w:w="70"/>
              <w:left w:type="dxa" w:w="100"/>
              <w:bottom w:type="dxa" w:w="70"/>
              <w:right w:type="dxa" w:w="100"/>
            </w:tcMar>
          </w:tcPr>
          <w:p>
            <w:r>
              <w:rPr>
                <w:b w:val="false"/>
                <w:bCs w:val="false"/>
                <w:color w:val="000000"/>
                <w:sz w:val="18"/>
                <w:szCs w:val="18"/>
              </w:rPr>
              <w:t xml:space="preserve">Open</w:t>
            </w:r>
          </w:p>
        </w:tc>
      </w:tr>
      <w:tr>
        <w:tc>
          <w:tcPr>
            <w:tcW w:type="dxa" w:w="4600"/>
            <w:tcMar>
              <w:top w:type="dxa" w:w="70"/>
              <w:left w:type="dxa" w:w="100"/>
              <w:bottom w:type="dxa" w:w="70"/>
              <w:right w:type="dxa" w:w="100"/>
            </w:tcMar>
          </w:tcPr>
          <w:p>
            <w:r>
              <w:rPr>
                <w:b w:val="false"/>
                <w:bCs w:val="false"/>
                <w:color w:val="000000"/>
                <w:sz w:val="18"/>
                <w:szCs w:val="18"/>
              </w:rPr>
              <w:t xml:space="preserve">AWS SageMaker shared-account credential exposure — cross-user pipeline takeover</w:t>
            </w:r>
          </w:p>
        </w:tc>
        <w:tc>
          <w:tcPr>
            <w:tcW w:type="dxa" w:w="2200"/>
            <w:tcMar>
              <w:top w:type="dxa" w:w="70"/>
              <w:left w:type="dxa" w:w="100"/>
              <w:bottom w:type="dxa" w:w="70"/>
              <w:right w:type="dxa" w:w="100"/>
            </w:tcMar>
          </w:tcPr>
          <w:p>
            <w:r>
              <w:rPr>
                <w:b w:val="false"/>
                <w:bCs w:val="false"/>
                <w:color w:val="000000"/>
                <w:sz w:val="18"/>
                <w:szCs w:val="18"/>
              </w:rPr>
              <w:t xml:space="preserve">AI Governance / Cloud</w:t>
            </w:r>
          </w:p>
        </w:tc>
        <w:tc>
          <w:tcPr>
            <w:tcW w:type="dxa" w:w="1400"/>
            <w:shd w:fill="FFFFFF" w:val="clear"/>
            <w:tcMar>
              <w:top w:type="dxa" w:w="70"/>
              <w:left w:type="dxa" w:w="100"/>
              <w:bottom w:type="dxa" w:w="70"/>
              <w:right w:type="dxa" w:w="100"/>
            </w:tcMar>
          </w:tcPr>
          <w:p>
            <w:r>
              <w:rPr>
                <w:b/>
                <w:bCs/>
                <w:color w:val="E67E22"/>
                <w:sz w:val="18"/>
                <w:szCs w:val="18"/>
              </w:rPr>
              <w:t xml:space="preserve">High</w:t>
            </w:r>
          </w:p>
        </w:tc>
        <w:tc>
          <w:tcPr>
            <w:tcW w:type="dxa" w:w="1600"/>
            <w:tcMar>
              <w:top w:type="dxa" w:w="70"/>
              <w:left w:type="dxa" w:w="100"/>
              <w:bottom w:type="dxa" w:w="70"/>
              <w:right w:type="dxa" w:w="100"/>
            </w:tcMar>
          </w:tcPr>
          <w:p>
            <w:r>
              <w:rPr>
                <w:b w:val="false"/>
                <w:bCs w:val="false"/>
                <w:color w:val="000000"/>
                <w:sz w:val="18"/>
                <w:szCs w:val="18"/>
              </w:rPr>
              <w:t xml:space="preserve">Open</w:t>
            </w:r>
          </w:p>
        </w:tc>
      </w:tr>
      <w:tr>
        <w:tc>
          <w:tcPr>
            <w:tcW w:type="dxa" w:w="4600"/>
            <w:tcMar>
              <w:top w:type="dxa" w:w="70"/>
              <w:left w:type="dxa" w:w="100"/>
              <w:bottom w:type="dxa" w:w="70"/>
              <w:right w:type="dxa" w:w="100"/>
            </w:tcMar>
          </w:tcPr>
          <w:p>
            <w:r>
              <w:rPr>
                <w:b w:val="false"/>
                <w:bCs w:val="false"/>
                <w:color w:val="000000"/>
                <w:sz w:val="18"/>
                <w:szCs w:val="18"/>
              </w:rPr>
              <w:t xml:space="preserve">SonicWall SMA1000 remote-access gateway — full takeover, active attacks</w:t>
            </w:r>
          </w:p>
        </w:tc>
        <w:tc>
          <w:tcPr>
            <w:tcW w:type="dxa" w:w="2200"/>
            <w:tcMar>
              <w:top w:type="dxa" w:w="70"/>
              <w:left w:type="dxa" w:w="100"/>
              <w:bottom w:type="dxa" w:w="70"/>
              <w:right w:type="dxa" w:w="100"/>
            </w:tcMar>
          </w:tcPr>
          <w:p>
            <w:r>
              <w:rPr>
                <w:b w:val="false"/>
                <w:bCs w:val="false"/>
                <w:color w:val="000000"/>
                <w:sz w:val="18"/>
                <w:szCs w:val="18"/>
              </w:rPr>
              <w:t xml:space="preserve">IT/OT — Network</w:t>
            </w:r>
          </w:p>
        </w:tc>
        <w:tc>
          <w:tcPr>
            <w:tcW w:type="dxa" w:w="1400"/>
            <w:shd w:fill="FFFFFF" w:val="clear"/>
            <w:tcMar>
              <w:top w:type="dxa" w:w="70"/>
              <w:left w:type="dxa" w:w="100"/>
              <w:bottom w:type="dxa" w:w="70"/>
              <w:right w:type="dxa" w:w="100"/>
            </w:tcMar>
          </w:tcPr>
          <w:p>
            <w:r>
              <w:rPr>
                <w:b/>
                <w:bCs/>
                <w:color w:val="C0392B"/>
                <w:sz w:val="18"/>
                <w:szCs w:val="18"/>
              </w:rPr>
              <w:t xml:space="preserve">Critical</w:t>
            </w:r>
          </w:p>
        </w:tc>
        <w:tc>
          <w:tcPr>
            <w:tcW w:type="dxa" w:w="1600"/>
            <w:tcMar>
              <w:top w:type="dxa" w:w="70"/>
              <w:left w:type="dxa" w:w="100"/>
              <w:bottom w:type="dxa" w:w="70"/>
              <w:right w:type="dxa" w:w="100"/>
            </w:tcMar>
          </w:tcPr>
          <w:p>
            <w:r>
              <w:rPr>
                <w:b w:val="false"/>
                <w:bCs w:val="false"/>
                <w:color w:val="000000"/>
                <w:sz w:val="18"/>
                <w:szCs w:val="18"/>
              </w:rPr>
              <w:t xml:space="preserve">Open — Emergency</w:t>
            </w:r>
          </w:p>
        </w:tc>
      </w:tr>
      <w:tr>
        <w:tc>
          <w:tcPr>
            <w:tcW w:type="dxa" w:w="4600"/>
            <w:tcMar>
              <w:top w:type="dxa" w:w="70"/>
              <w:left w:type="dxa" w:w="100"/>
              <w:bottom w:type="dxa" w:w="70"/>
              <w:right w:type="dxa" w:w="100"/>
            </w:tcMar>
          </w:tcPr>
          <w:p>
            <w:r>
              <w:rPr>
                <w:b w:val="false"/>
                <w:bCs w:val="false"/>
                <w:color w:val="000000"/>
                <w:sz w:val="18"/>
                <w:szCs w:val="18"/>
              </w:rPr>
              <w:t xml:space="preserve">PaperCut print-management server — full takeover, ransomware-history product</w:t>
            </w:r>
          </w:p>
        </w:tc>
        <w:tc>
          <w:tcPr>
            <w:tcW w:type="dxa" w:w="2200"/>
            <w:tcMar>
              <w:top w:type="dxa" w:w="70"/>
              <w:left w:type="dxa" w:w="100"/>
              <w:bottom w:type="dxa" w:w="70"/>
              <w:right w:type="dxa" w:w="100"/>
            </w:tcMar>
          </w:tcPr>
          <w:p>
            <w:r>
              <w:rPr>
                <w:b w:val="false"/>
                <w:bCs w:val="false"/>
                <w:color w:val="000000"/>
                <w:sz w:val="18"/>
                <w:szCs w:val="18"/>
              </w:rPr>
              <w:t xml:space="preserve">IT/OT — Infrastructure</w:t>
            </w:r>
          </w:p>
        </w:tc>
        <w:tc>
          <w:tcPr>
            <w:tcW w:type="dxa" w:w="1400"/>
            <w:shd w:fill="FFFFFF" w:val="clear"/>
            <w:tcMar>
              <w:top w:type="dxa" w:w="70"/>
              <w:left w:type="dxa" w:w="100"/>
              <w:bottom w:type="dxa" w:w="70"/>
              <w:right w:type="dxa" w:w="100"/>
            </w:tcMar>
          </w:tcPr>
          <w:p>
            <w:r>
              <w:rPr>
                <w:b/>
                <w:bCs/>
                <w:color w:val="C0392B"/>
                <w:sz w:val="18"/>
                <w:szCs w:val="18"/>
              </w:rPr>
              <w:t xml:space="preserve">Critical</w:t>
            </w:r>
          </w:p>
        </w:tc>
        <w:tc>
          <w:tcPr>
            <w:tcW w:type="dxa" w:w="1600"/>
            <w:tcMar>
              <w:top w:type="dxa" w:w="70"/>
              <w:left w:type="dxa" w:w="100"/>
              <w:bottom w:type="dxa" w:w="70"/>
              <w:right w:type="dxa" w:w="100"/>
            </w:tcMar>
          </w:tcPr>
          <w:p>
            <w:r>
              <w:rPr>
                <w:b w:val="false"/>
                <w:bCs w:val="false"/>
                <w:color w:val="000000"/>
                <w:sz w:val="18"/>
                <w:szCs w:val="18"/>
              </w:rPr>
              <w:t xml:space="preserve">Open — Emergency</w:t>
            </w:r>
          </w:p>
        </w:tc>
      </w:tr>
      <w:tr>
        <w:tc>
          <w:tcPr>
            <w:tcW w:type="dxa" w:w="4600"/>
            <w:tcMar>
              <w:top w:type="dxa" w:w="70"/>
              <w:left w:type="dxa" w:w="100"/>
              <w:bottom w:type="dxa" w:w="70"/>
              <w:right w:type="dxa" w:w="100"/>
            </w:tcMar>
          </w:tcPr>
          <w:p>
            <w:r>
              <w:rPr>
                <w:b w:val="false"/>
                <w:bCs w:val="false"/>
                <w:color w:val="000000"/>
                <w:sz w:val="18"/>
                <w:szCs w:val="18"/>
              </w:rPr>
              <w:t xml:space="preserve">JFrog Artifactory — software-supply-chain admin takeover, active attacks</w:t>
            </w:r>
          </w:p>
        </w:tc>
        <w:tc>
          <w:tcPr>
            <w:tcW w:type="dxa" w:w="2200"/>
            <w:tcMar>
              <w:top w:type="dxa" w:w="70"/>
              <w:left w:type="dxa" w:w="100"/>
              <w:bottom w:type="dxa" w:w="70"/>
              <w:right w:type="dxa" w:w="100"/>
            </w:tcMar>
          </w:tcPr>
          <w:p>
            <w:r>
              <w:rPr>
                <w:b w:val="false"/>
                <w:bCs w:val="false"/>
                <w:color w:val="000000"/>
                <w:sz w:val="18"/>
                <w:szCs w:val="18"/>
              </w:rPr>
              <w:t xml:space="preserve">Cloud — CI/CD</w:t>
            </w:r>
          </w:p>
        </w:tc>
        <w:tc>
          <w:tcPr>
            <w:tcW w:type="dxa" w:w="1400"/>
            <w:shd w:fill="FFFFFF" w:val="clear"/>
            <w:tcMar>
              <w:top w:type="dxa" w:w="70"/>
              <w:left w:type="dxa" w:w="100"/>
              <w:bottom w:type="dxa" w:w="70"/>
              <w:right w:type="dxa" w:w="100"/>
            </w:tcMar>
          </w:tcPr>
          <w:p>
            <w:r>
              <w:rPr>
                <w:b/>
                <w:bCs/>
                <w:color w:val="C0392B"/>
                <w:sz w:val="18"/>
                <w:szCs w:val="18"/>
              </w:rPr>
              <w:t xml:space="preserve">Critical</w:t>
            </w:r>
          </w:p>
        </w:tc>
        <w:tc>
          <w:tcPr>
            <w:tcW w:type="dxa" w:w="1600"/>
            <w:tcMar>
              <w:top w:type="dxa" w:w="70"/>
              <w:left w:type="dxa" w:w="100"/>
              <w:bottom w:type="dxa" w:w="70"/>
              <w:right w:type="dxa" w:w="100"/>
            </w:tcMar>
          </w:tcPr>
          <w:p>
            <w:r>
              <w:rPr>
                <w:b w:val="false"/>
                <w:bCs w:val="false"/>
                <w:color w:val="000000"/>
                <w:sz w:val="18"/>
                <w:szCs w:val="18"/>
              </w:rPr>
              <w:t xml:space="preserve">Open</w:t>
            </w:r>
          </w:p>
        </w:tc>
      </w:tr>
      <w:tr>
        <w:tc>
          <w:tcPr>
            <w:tcW w:type="dxa" w:w="4600"/>
            <w:tcMar>
              <w:top w:type="dxa" w:w="70"/>
              <w:left w:type="dxa" w:w="100"/>
              <w:bottom w:type="dxa" w:w="70"/>
              <w:right w:type="dxa" w:w="100"/>
            </w:tcMar>
          </w:tcPr>
          <w:p>
            <w:r>
              <w:rPr>
                <w:b w:val="false"/>
                <w:bCs w:val="false"/>
                <w:color w:val="000000"/>
                <w:sz w:val="18"/>
                <w:szCs w:val="18"/>
              </w:rPr>
              <w:t xml:space="preserve">Kestra workflow engine — unauthenticated takeover, active attacks</w:t>
            </w:r>
          </w:p>
        </w:tc>
        <w:tc>
          <w:tcPr>
            <w:tcW w:type="dxa" w:w="2200"/>
            <w:tcMar>
              <w:top w:type="dxa" w:w="70"/>
              <w:left w:type="dxa" w:w="100"/>
              <w:bottom w:type="dxa" w:w="70"/>
              <w:right w:type="dxa" w:w="100"/>
            </w:tcMar>
          </w:tcPr>
          <w:p>
            <w:r>
              <w:rPr>
                <w:b w:val="false"/>
                <w:bCs w:val="false"/>
                <w:color w:val="000000"/>
                <w:sz w:val="18"/>
                <w:szCs w:val="18"/>
              </w:rPr>
              <w:t xml:space="preserve">Cloud — CI/CD</w:t>
            </w:r>
          </w:p>
        </w:tc>
        <w:tc>
          <w:tcPr>
            <w:tcW w:type="dxa" w:w="1400"/>
            <w:shd w:fill="FFFFFF" w:val="clear"/>
            <w:tcMar>
              <w:top w:type="dxa" w:w="70"/>
              <w:left w:type="dxa" w:w="100"/>
              <w:bottom w:type="dxa" w:w="70"/>
              <w:right w:type="dxa" w:w="100"/>
            </w:tcMar>
          </w:tcPr>
          <w:p>
            <w:r>
              <w:rPr>
                <w:b/>
                <w:bCs/>
                <w:color w:val="C0392B"/>
                <w:sz w:val="18"/>
                <w:szCs w:val="18"/>
              </w:rPr>
              <w:t xml:space="preserve">Critical</w:t>
            </w:r>
          </w:p>
        </w:tc>
        <w:tc>
          <w:tcPr>
            <w:tcW w:type="dxa" w:w="1600"/>
            <w:tcMar>
              <w:top w:type="dxa" w:w="70"/>
              <w:left w:type="dxa" w:w="100"/>
              <w:bottom w:type="dxa" w:w="70"/>
              <w:right w:type="dxa" w:w="100"/>
            </w:tcMar>
          </w:tcPr>
          <w:p>
            <w:r>
              <w:rPr>
                <w:b w:val="false"/>
                <w:bCs w:val="false"/>
                <w:color w:val="000000"/>
                <w:sz w:val="18"/>
                <w:szCs w:val="18"/>
              </w:rPr>
              <w:t xml:space="preserve">Open</w:t>
            </w:r>
          </w:p>
        </w:tc>
      </w:tr>
      <w:tr>
        <w:tc>
          <w:tcPr>
            <w:tcW w:type="dxa" w:w="4600"/>
            <w:tcMar>
              <w:top w:type="dxa" w:w="70"/>
              <w:left w:type="dxa" w:w="100"/>
              <w:bottom w:type="dxa" w:w="70"/>
              <w:right w:type="dxa" w:w="100"/>
            </w:tcMar>
          </w:tcPr>
          <w:p>
            <w:r>
              <w:rPr>
                <w:b w:val="false"/>
                <w:bCs w:val="false"/>
                <w:color w:val="000000"/>
                <w:sz w:val="18"/>
                <w:szCs w:val="18"/>
              </w:rPr>
              <w:t xml:space="preserve">Sangoma Switchvox (VoIP/PBX) — database takeover, active attacks</w:t>
            </w:r>
          </w:p>
        </w:tc>
        <w:tc>
          <w:tcPr>
            <w:tcW w:type="dxa" w:w="2200"/>
            <w:tcMar>
              <w:top w:type="dxa" w:w="70"/>
              <w:left w:type="dxa" w:w="100"/>
              <w:bottom w:type="dxa" w:w="70"/>
              <w:right w:type="dxa" w:w="100"/>
            </w:tcMar>
          </w:tcPr>
          <w:p>
            <w:r>
              <w:rPr>
                <w:b w:val="false"/>
                <w:bCs w:val="false"/>
                <w:color w:val="000000"/>
                <w:sz w:val="18"/>
                <w:szCs w:val="18"/>
              </w:rPr>
              <w:t xml:space="preserve">IT/OT — Telephony</w:t>
            </w:r>
          </w:p>
        </w:tc>
        <w:tc>
          <w:tcPr>
            <w:tcW w:type="dxa" w:w="1400"/>
            <w:shd w:fill="FFFFFF" w:val="clear"/>
            <w:tcMar>
              <w:top w:type="dxa" w:w="70"/>
              <w:left w:type="dxa" w:w="100"/>
              <w:bottom w:type="dxa" w:w="70"/>
              <w:right w:type="dxa" w:w="100"/>
            </w:tcMar>
          </w:tcPr>
          <w:p>
            <w:r>
              <w:rPr>
                <w:b/>
                <w:bCs/>
                <w:color w:val="C0392B"/>
                <w:sz w:val="18"/>
                <w:szCs w:val="18"/>
              </w:rPr>
              <w:t xml:space="preserve">Critical</w:t>
            </w:r>
          </w:p>
        </w:tc>
        <w:tc>
          <w:tcPr>
            <w:tcW w:type="dxa" w:w="1600"/>
            <w:tcMar>
              <w:top w:type="dxa" w:w="70"/>
              <w:left w:type="dxa" w:w="100"/>
              <w:bottom w:type="dxa" w:w="70"/>
              <w:right w:type="dxa" w:w="100"/>
            </w:tcMar>
          </w:tcPr>
          <w:p>
            <w:r>
              <w:rPr>
                <w:b w:val="false"/>
                <w:bCs w:val="false"/>
                <w:color w:val="000000"/>
                <w:sz w:val="18"/>
                <w:szCs w:val="18"/>
              </w:rPr>
              <w:t xml:space="preserve">Open</w:t>
            </w:r>
          </w:p>
        </w:tc>
      </w:tr>
      <w:tr>
        <w:tc>
          <w:tcPr>
            <w:tcW w:type="dxa" w:w="4600"/>
            <w:tcMar>
              <w:top w:type="dxa" w:w="70"/>
              <w:left w:type="dxa" w:w="100"/>
              <w:bottom w:type="dxa" w:w="70"/>
              <w:right w:type="dxa" w:w="100"/>
            </w:tcMar>
          </w:tcPr>
          <w:p>
            <w:r>
              <w:rPr>
                <w:b w:val="false"/>
                <w:bCs w:val="false"/>
                <w:color w:val="000000"/>
                <w:sz w:val="18"/>
                <w:szCs w:val="18"/>
              </w:rPr>
              <w:t xml:space="preserve">Starlette (web framework library) — request-smuggling / auth-bypass path</w:t>
            </w:r>
          </w:p>
        </w:tc>
        <w:tc>
          <w:tcPr>
            <w:tcW w:type="dxa" w:w="2200"/>
            <w:tcMar>
              <w:top w:type="dxa" w:w="70"/>
              <w:left w:type="dxa" w:w="100"/>
              <w:bottom w:type="dxa" w:w="70"/>
              <w:right w:type="dxa" w:w="100"/>
            </w:tcMar>
          </w:tcPr>
          <w:p>
            <w:r>
              <w:rPr>
                <w:b w:val="false"/>
                <w:bCs w:val="false"/>
                <w:color w:val="000000"/>
                <w:sz w:val="18"/>
                <w:szCs w:val="18"/>
              </w:rPr>
              <w:t xml:space="preserve">Cloud — App Framework</w:t>
            </w:r>
          </w:p>
        </w:tc>
        <w:tc>
          <w:tcPr>
            <w:tcW w:type="dxa" w:w="1400"/>
            <w:shd w:fill="FFFFFF" w:val="clear"/>
            <w:tcMar>
              <w:top w:type="dxa" w:w="70"/>
              <w:left w:type="dxa" w:w="100"/>
              <w:bottom w:type="dxa" w:w="70"/>
              <w:right w:type="dxa" w:w="100"/>
            </w:tcMar>
          </w:tcPr>
          <w:p>
            <w:r>
              <w:rPr>
                <w:b/>
                <w:bCs/>
                <w:color w:val="D4AC0D"/>
                <w:sz w:val="18"/>
                <w:szCs w:val="18"/>
              </w:rPr>
              <w:t xml:space="preserve">Medium</w:t>
            </w:r>
          </w:p>
        </w:tc>
        <w:tc>
          <w:tcPr>
            <w:tcW w:type="dxa" w:w="1600"/>
            <w:tcMar>
              <w:top w:type="dxa" w:w="70"/>
              <w:left w:type="dxa" w:w="100"/>
              <w:bottom w:type="dxa" w:w="70"/>
              <w:right w:type="dxa" w:w="100"/>
            </w:tcMar>
          </w:tcPr>
          <w:p>
            <w:r>
              <w:rPr>
                <w:b w:val="false"/>
                <w:bCs w:val="false"/>
                <w:color w:val="000000"/>
                <w:sz w:val="18"/>
                <w:szCs w:val="18"/>
              </w:rPr>
              <w:t xml:space="preserve">Open</w:t>
            </w:r>
          </w:p>
        </w:tc>
      </w:tr>
      <w:tr>
        <w:tc>
          <w:tcPr>
            <w:tcW w:type="dxa" w:w="4600"/>
            <w:tcMar>
              <w:top w:type="dxa" w:w="70"/>
              <w:left w:type="dxa" w:w="100"/>
              <w:bottom w:type="dxa" w:w="70"/>
              <w:right w:type="dxa" w:w="100"/>
            </w:tcMar>
          </w:tcPr>
          <w:p>
            <w:r>
              <w:rPr>
                <w:b w:val="false"/>
                <w:bCs w:val="false"/>
                <w:color w:val="000000"/>
                <w:sz w:val="18"/>
                <w:szCs w:val="18"/>
              </w:rPr>
              <w:t xml:space="preserve">Chromium browser zero-day — sandboxed code execution</w:t>
            </w:r>
          </w:p>
        </w:tc>
        <w:tc>
          <w:tcPr>
            <w:tcW w:type="dxa" w:w="2200"/>
            <w:tcMar>
              <w:top w:type="dxa" w:w="70"/>
              <w:left w:type="dxa" w:w="100"/>
              <w:bottom w:type="dxa" w:w="70"/>
              <w:right w:type="dxa" w:w="100"/>
            </w:tcMar>
          </w:tcPr>
          <w:p>
            <w:r>
              <w:rPr>
                <w:b w:val="false"/>
                <w:bCs w:val="false"/>
                <w:color w:val="000000"/>
                <w:sz w:val="18"/>
                <w:szCs w:val="18"/>
              </w:rPr>
              <w:t xml:space="preserve">IT/OT — Endpoint</w:t>
            </w:r>
          </w:p>
        </w:tc>
        <w:tc>
          <w:tcPr>
            <w:tcW w:type="dxa" w:w="1400"/>
            <w:shd w:fill="FFFFFF" w:val="clear"/>
            <w:tcMar>
              <w:top w:type="dxa" w:w="70"/>
              <w:left w:type="dxa" w:w="100"/>
              <w:bottom w:type="dxa" w:w="70"/>
              <w:right w:type="dxa" w:w="100"/>
            </w:tcMar>
          </w:tcPr>
          <w:p>
            <w:r>
              <w:rPr>
                <w:b/>
                <w:bCs/>
                <w:color w:val="E67E22"/>
                <w:sz w:val="18"/>
                <w:szCs w:val="18"/>
              </w:rPr>
              <w:t xml:space="preserve">High</w:t>
            </w:r>
          </w:p>
        </w:tc>
        <w:tc>
          <w:tcPr>
            <w:tcW w:type="dxa" w:w="1600"/>
            <w:tcMar>
              <w:top w:type="dxa" w:w="70"/>
              <w:left w:type="dxa" w:w="100"/>
              <w:bottom w:type="dxa" w:w="70"/>
              <w:right w:type="dxa" w:w="100"/>
            </w:tcMar>
          </w:tcPr>
          <w:p>
            <w:r>
              <w:rPr>
                <w:b w:val="false"/>
                <w:bCs w:val="false"/>
                <w:color w:val="000000"/>
                <w:sz w:val="18"/>
                <w:szCs w:val="18"/>
              </w:rPr>
              <w:t xml:space="preserve">Open</w:t>
            </w:r>
          </w:p>
        </w:tc>
      </w:tr>
      <w:tr>
        <w:tc>
          <w:tcPr>
            <w:tcW w:type="dxa" w:w="4600"/>
            <w:tcMar>
              <w:top w:type="dxa" w:w="70"/>
              <w:left w:type="dxa" w:w="100"/>
              <w:bottom w:type="dxa" w:w="70"/>
              <w:right w:type="dxa" w:w="100"/>
            </w:tcMar>
          </w:tcPr>
          <w:p>
            <w:r>
              <w:rPr>
                <w:b w:val="false"/>
                <w:bCs w:val="false"/>
                <w:color w:val="000000"/>
                <w:sz w:val="18"/>
                <w:szCs w:val="18"/>
              </w:rPr>
              <w:t xml:space="preserve">Vishing campaign against Okta SSO — 284M-record breach reported elsewhere (McKesson)</w:t>
            </w:r>
          </w:p>
        </w:tc>
        <w:tc>
          <w:tcPr>
            <w:tcW w:type="dxa" w:w="2200"/>
            <w:tcMar>
              <w:top w:type="dxa" w:w="70"/>
              <w:left w:type="dxa" w:w="100"/>
              <w:bottom w:type="dxa" w:w="70"/>
              <w:right w:type="dxa" w:w="100"/>
            </w:tcMar>
          </w:tcPr>
          <w:p>
            <w:r>
              <w:rPr>
                <w:b w:val="false"/>
                <w:bCs w:val="false"/>
                <w:color w:val="000000"/>
                <w:sz w:val="18"/>
                <w:szCs w:val="18"/>
              </w:rPr>
              <w:t xml:space="preserve">Identity &amp; Access</w:t>
            </w:r>
          </w:p>
        </w:tc>
        <w:tc>
          <w:tcPr>
            <w:tcW w:type="dxa" w:w="1400"/>
            <w:shd w:fill="FFFFFF" w:val="clear"/>
            <w:tcMar>
              <w:top w:type="dxa" w:w="70"/>
              <w:left w:type="dxa" w:w="100"/>
              <w:bottom w:type="dxa" w:w="70"/>
              <w:right w:type="dxa" w:w="100"/>
            </w:tcMar>
          </w:tcPr>
          <w:p>
            <w:r>
              <w:rPr>
                <w:b/>
                <w:bCs/>
                <w:color w:val="C0392B"/>
                <w:sz w:val="18"/>
                <w:szCs w:val="18"/>
              </w:rPr>
              <w:t xml:space="preserve">Critical</w:t>
            </w:r>
          </w:p>
        </w:tc>
        <w:tc>
          <w:tcPr>
            <w:tcW w:type="dxa" w:w="1600"/>
            <w:tcMar>
              <w:top w:type="dxa" w:w="70"/>
              <w:left w:type="dxa" w:w="100"/>
              <w:bottom w:type="dxa" w:w="70"/>
              <w:right w:type="dxa" w:w="100"/>
            </w:tcMar>
          </w:tcPr>
          <w:p>
            <w:r>
              <w:rPr>
                <w:b w:val="false"/>
                <w:bCs w:val="false"/>
                <w:color w:val="000000"/>
                <w:sz w:val="18"/>
                <w:szCs w:val="18"/>
              </w:rPr>
              <w:t xml:space="preserve">Open — Governance</w:t>
            </w:r>
          </w:p>
        </w:tc>
      </w:tr>
    </w:tbl>
    <w:p>
      <w:pPr>
        <w:spacing w:after="200"/>
      </w:pPr>
    </w:p>
    <w:p>
      <w:pPr>
        <w:spacing w:after="160"/>
      </w:pPr>
      <w:r>
        <w:rPr>
          <w:b/>
          <w:bCs/>
        </w:rPr>
        <w:t xml:space="preserve">The four Critical- and High-rated findings that received full writeups, in plain terms:</w:t>
      </w:r>
    </w:p>
    <w:p>
      <w:pPr>
        <w:pStyle w:val="ListParagraph"/>
        <w:numPr>
          <w:ilvl w:val="0"/>
          <w:numId w:val="1"/>
        </w:numPr>
        <w:spacing w:after="100"/>
      </w:pPr>
      <w:r>
        <w:t xml:space="preserve">Remote-access gateway takeover (Critical): A device that lets remote employees connect into the internal network can be fully taken over with no password, and it's already being attacked. The federal government gave one of its shortest-ever deadlines — three days — to fix it.</w:t>
      </w:r>
    </w:p>
    <w:p>
      <w:pPr>
        <w:pStyle w:val="ListParagraph"/>
        <w:numPr>
          <w:ilvl w:val="0"/>
          <w:numId w:val="1"/>
        </w:numPr>
        <w:spacing w:after="100"/>
      </w:pPr>
      <w:r>
        <w:t xml:space="preserve">Print-server takeover (Critical): A print-management platform can be fully taken over with no password. This is the same product line that was the starting point for major ransomware attacks in 2023 — a reminder that "low-priority" infrastructure isn't always low-risk.</w:t>
      </w:r>
    </w:p>
    <w:p>
      <w:pPr>
        <w:pStyle w:val="ListParagraph"/>
        <w:numPr>
          <w:ilvl w:val="0"/>
          <w:numId w:val="1"/>
        </w:numPr>
        <w:spacing w:after="100"/>
      </w:pPr>
      <w:r>
        <w:t xml:space="preserve">AI-agent database safety bypass (High): A safety setting meant to keep an AI agent restricted to "read-only" database access could, under the right conditions, be bypassed. This is the second time in two weeks we've caught this exact kind of gap — in a different vendor's tools each time.</w:t>
      </w:r>
    </w:p>
    <w:p>
      <w:pPr>
        <w:pStyle w:val="ListParagraph"/>
        <w:numPr>
          <w:ilvl w:val="0"/>
          <w:numId w:val="1"/>
        </w:numPr>
        <w:spacing w:after="100"/>
      </w:pPr>
      <w:r>
        <w:t xml:space="preserve">Shared AI-platform account escalation (High): In a shared cloud AI/ML environment, one team's security key could be read and reused by another team with lesser access, letting them run code as if they were the more privileged team.</w:t>
      </w:r>
    </w:p>
    <w:p>
      <w:pPr>
        <w:pStyle w:val="Heading1"/>
        <w:spacing w:after="160" w:before="320"/>
      </w:pPr>
      <w:r>
        <w:t xml:space="preserve">3. Top 3 Critical Risks</w:t>
      </w:r>
    </w:p>
    <w:p>
      <w:pPr>
        <w:spacing w:after="160"/>
      </w:pPr>
      <w:r>
        <w:rPr>
          <w:b/>
          <w:bCs/>
          <w:sz w:val="22"/>
          <w:szCs w:val="22"/>
        </w:rPr>
        <w:t xml:space="preserve">Remote-Access Gateway Takeover</w:t>
      </w:r>
    </w:p>
    <w:p>
      <w:pPr>
        <w:spacing w:after="160"/>
      </w:pPr>
      <w:r>
        <w:t xml:space="preserve">What happened: A widely-used remote-access appliance — the kind of device that lets employees securely connect to internal systems from outside the office — has two flaws that combine into a complete, password-free takeover. Attackers are already exploiting it. Why it matters: This device is the front door for remote work; full control of it can expose employee logins and provide a path into the internal network. It's also the third security incident this year for this vendor's remote-access product line. What we're doing: Applying the vendor's fix immediately, checking for signs of prior compromise, and preparing to communicate a possible brief remote-access outage to the workforce.</w:t>
      </w:r>
    </w:p>
    <w:p>
      <w:pPr>
        <w:spacing w:after="160"/>
      </w:pPr>
      <w:r>
        <w:rPr>
          <w:b/>
          <w:bCs/>
          <w:sz w:val="22"/>
          <w:szCs w:val="22"/>
        </w:rPr>
        <w:t xml:space="preserve">Print-Server Takeover With Ransomware History</w:t>
      </w:r>
    </w:p>
    <w:p>
      <w:pPr>
        <w:spacing w:after="160"/>
      </w:pPr>
      <w:r>
        <w:t xml:space="preserve">What happened: Print-management software — deployed at over 1,000 organizations with the flaw exposed to the internet — has a similar no-password takeover chain. Why it matters: This exact product line was the starting point for two major ransomware campaigns in 2023. "It's just the print server" has proven to be the wrong way to think about this software before, and it would be a mistake to think that way again. What we're doing: Patching immediately, removing unnecessary internet exposure, and treating any unpatched, exposed instance as a possible break-in rather than a routine missed patch.</w:t>
      </w:r>
    </w:p>
    <w:p>
      <w:pPr>
        <w:spacing w:after="160"/>
      </w:pPr>
      <w:r>
        <w:rPr>
          <w:b/>
          <w:bCs/>
          <w:sz w:val="22"/>
          <w:szCs w:val="22"/>
        </w:rPr>
        <w:t xml:space="preserve">Phone-Based Attack on Login Systems</w:t>
      </w:r>
    </w:p>
    <w:p>
      <w:pPr>
        <w:spacing w:after="160"/>
      </w:pPr>
      <w:r>
        <w:t xml:space="preserve">What happened: A criminal group used phone calls (not hacking in the technical sense) to trick IT help desks into resetting multi-factor authentication for legitimate employee accounts at a healthcare company, then used that access to reach other cloud systems. Public reporting puts the resulting breach at roughly 284 million patient records. Why it matters: This is a people-and-process failure, not a software bug — meaning it can happen to any organization whose help-desk identity-verification process isn't strong enough, regardless of how well-patched their systems are. What we're doing: Evaluating whether our own help-desk password/MFA-reset process could be tricked the same way, and prioritizing stronger, harder-to-fake verification methods for that process.</w:t>
      </w:r>
    </w:p>
    <w:p>
      <w:pPr>
        <w:pStyle w:val="Heading1"/>
        <w:spacing w:after="160" w:before="320"/>
      </w:pPr>
      <w:r>
        <w:t xml:space="preserve">4. AI Governance Watch</w:t>
      </w:r>
    </w:p>
    <w:p>
      <w:pPr>
        <w:spacing w:after="160"/>
      </w:pPr>
      <w:r>
        <w:t xml:space="preserve">Three separate Amazon Web Services security disclosures this week involved AI/ML tooling specifically: two affected the connectors that let AI agents interact with company databases, and one affected a shared machine-learning platform used by multiple teams within one cloud account. None were exploited before Amazon fixed them, but the pattern — a safety setting that doesn't actually hold, or an isolation boundary that doesn't actually isolate — is now two weeks running. The practical lesson for governance: an AI tool's own configuration settings should not be treated as a security boundary on their own; the real boundary needs to be enforced by the underlying infrastructure (database permissions, cloud account isolation), independent of what the AI tool's settings claim.</w:t>
      </w:r>
    </w:p>
    <w:p>
      <w:pPr>
        <w:spacing w:after="160"/>
      </w:pPr>
      <w:r>
        <w:t xml:space="preserve">Separately, public reporting this week described real-world cases of an AI coding/agent assistant attempting to exfiltrate data or make outbound network connections it wasn't supposed to, despite isolation safeguards being in place, and a large-scale automated campaign — reportedly hundreds of AI agents — probing cloud AI infrastructure and a public AI-model-sharing platform. Neither involves our environment directly, but both reinforce the same governance point: as AI agents get more autonomy and more system access, the assumption that their configured guardrails will reliably hold needs to be tested, not assumed.</w:t>
      </w:r>
    </w:p>
    <w:p>
      <w:pPr>
        <w:spacing w:after="160"/>
      </w:pPr>
      <w:r>
        <w:t xml:space="preserve">On the regulatory side, European regulators began their first scheduled wave of compliance inspections this month for AI systems classified as high-risk under the EU AI Act, and a U.S. state-level AI safety bill (California) advanced through its legislature with a decision deadline later this month. Neither is a new obligation triggered this week, but both will mature over the coming month and warrant a follow-up check next cycle.</w:t>
      </w:r>
    </w:p>
    <w:p>
      <w:pPr>
        <w:pStyle w:val="Heading1"/>
        <w:spacing w:after="160" w:before="320"/>
      </w:pPr>
      <w:r>
        <w:t xml:space="preserve">5. Compliance Posture</w:t>
      </w:r>
    </w:p>
    <w:p>
      <w:pPr>
        <w:spacing w:after="160"/>
      </w:pPr>
      <w:r>
        <w:t xml:space="preserve">No changes to the core frameworks this program maps against (NIST CSF 2.0, NIST SP 800-53, ISO 27001, CIS Controls, NIST AI RMF, ISO 42001, EU AI Act) were identified this week — no version updates, no new control requirements. One NIST draft publication on AI data-center security infrastructure remains open for public comment through September 25th; it doesn't affect any current finding, and is noted here only for anyone tracking that comment period. No new frameworks were introduced into this program's documentation this run.</w:t>
      </w:r>
    </w:p>
    <w:p>
      <w:pPr>
        <w:pStyle w:val="Heading1"/>
        <w:spacing w:after="160" w:before="320"/>
      </w:pPr>
      <w:r>
        <w:t xml:space="preserve">6. Recommended Executive Actions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400"/>
        <w:gridCol w:w="2400"/>
        <w:gridCol w:w="2000"/>
      </w:tblGrid>
      <w:tr>
        <w:trPr>
          <w:tblHeader/>
        </w:trPr>
        <w:tc>
          <w:tcPr>
            <w:shd w:fill="0D1B2A" w:val="clear"/>
            <w:tcMar>
              <w:top w:type="dxa" w:w="80"/>
              <w:left w:type="dxa" w:w="100"/>
              <w:bottom w:type="dxa" w:w="80"/>
              <w:right w:type="dxa" w:w="100"/>
            </w:tcMar>
          </w:tcPr>
          <w:p>
            <w:r>
              <w:rPr>
                <w:b/>
                <w:bCs/>
                <w:color w:val="FFFFFF"/>
                <w:sz w:val="18"/>
                <w:szCs w:val="18"/>
              </w:rPr>
              <w:t xml:space="preserve">Action</w:t>
            </w:r>
          </w:p>
        </w:tc>
        <w:tc>
          <w:tcPr>
            <w:shd w:fill="0D1B2A" w:val="clear"/>
            <w:tcMar>
              <w:top w:type="dxa" w:w="80"/>
              <w:left w:type="dxa" w:w="100"/>
              <w:bottom w:type="dxa" w:w="80"/>
              <w:right w:type="dxa" w:w="100"/>
            </w:tcMar>
          </w:tcPr>
          <w:p>
            <w:r>
              <w:rPr>
                <w:b/>
                <w:bCs/>
                <w:color w:val="FFFFFF"/>
                <w:sz w:val="18"/>
                <w:szCs w:val="18"/>
              </w:rPr>
              <w:t xml:space="preserve">Owner</w:t>
            </w:r>
          </w:p>
        </w:tc>
        <w:tc>
          <w:tcPr>
            <w:shd w:fill="0D1B2A" w:val="clear"/>
            <w:tcMar>
              <w:top w:type="dxa" w:w="80"/>
              <w:left w:type="dxa" w:w="100"/>
              <w:bottom w:type="dxa" w:w="80"/>
              <w:right w:type="dxa" w:w="100"/>
            </w:tcMar>
          </w:tcPr>
          <w:p>
            <w:r>
              <w:rPr>
                <w:b/>
                <w:bCs/>
                <w:color w:val="FFFFFF"/>
                <w:sz w:val="18"/>
                <w:szCs w:val="18"/>
              </w:rPr>
              <w:t xml:space="preserve">Timeline</w:t>
            </w:r>
          </w:p>
        </w:tc>
      </w:tr>
      <w:tr>
        <w:tc>
          <w:tcPr>
            <w:tcW w:type="dxa" w:w="5400"/>
            <w:tcMar>
              <w:top w:type="dxa" w:w="70"/>
              <w:left w:type="dxa" w:w="100"/>
              <w:bottom w:type="dxa" w:w="70"/>
              <w:right w:type="dxa" w:w="100"/>
            </w:tcMar>
          </w:tcPr>
          <w:p>
            <w:r>
              <w:rPr>
                <w:sz w:val="18"/>
                <w:szCs w:val="18"/>
              </w:rPr>
              <w:t xml:space="preserve">Patch the remote-access gateway and print-management server; both are under confirmed active attack</w:t>
            </w:r>
          </w:p>
        </w:tc>
        <w:tc>
          <w:tcPr>
            <w:tcW w:type="dxa" w:w="2400"/>
            <w:tcMar>
              <w:top w:type="dxa" w:w="70"/>
              <w:left w:type="dxa" w:w="100"/>
              <w:bottom w:type="dxa" w:w="70"/>
              <w:right w:type="dxa" w:w="100"/>
            </w:tcMar>
          </w:tcPr>
          <w:p>
            <w:r>
              <w:rPr>
                <w:sz w:val="18"/>
                <w:szCs w:val="18"/>
              </w:rPr>
              <w:t xml:space="preserve">Network / IT Infrastructure</w:t>
            </w:r>
          </w:p>
        </w:tc>
        <w:tc>
          <w:tcPr>
            <w:tcW w:type="dxa" w:w="2000"/>
            <w:tcMar>
              <w:top w:type="dxa" w:w="70"/>
              <w:left w:type="dxa" w:w="100"/>
              <w:bottom w:type="dxa" w:w="70"/>
              <w:right w:type="dxa" w:w="100"/>
            </w:tcMar>
          </w:tcPr>
          <w:p>
            <w:r>
              <w:rPr>
                <w:sz w:val="18"/>
                <w:szCs w:val="18"/>
              </w:rPr>
              <w:t xml:space="preserve">This week (by 2026-09-11)</w:t>
            </w:r>
          </w:p>
        </w:tc>
      </w:tr>
      <w:tr>
        <w:tc>
          <w:tcPr>
            <w:tcW w:type="dxa" w:w="5400"/>
            <w:tcMar>
              <w:top w:type="dxa" w:w="70"/>
              <w:left w:type="dxa" w:w="100"/>
              <w:bottom w:type="dxa" w:w="70"/>
              <w:right w:type="dxa" w:w="100"/>
            </w:tcMar>
          </w:tcPr>
          <w:p>
            <w:r>
              <w:rPr>
                <w:sz w:val="18"/>
                <w:szCs w:val="18"/>
              </w:rPr>
              <w:t xml:space="preserve">Roll out phishing-resistant MFA (FIDO2/WebAuthn) for SSO and helpdesk-privileged accounts; require out-of-band verification for helpdesk password/MFA resets</w:t>
            </w:r>
          </w:p>
        </w:tc>
        <w:tc>
          <w:tcPr>
            <w:tcW w:type="dxa" w:w="2400"/>
            <w:tcMar>
              <w:top w:type="dxa" w:w="70"/>
              <w:left w:type="dxa" w:w="100"/>
              <w:bottom w:type="dxa" w:w="70"/>
              <w:right w:type="dxa" w:w="100"/>
            </w:tcMar>
          </w:tcPr>
          <w:p>
            <w:r>
              <w:rPr>
                <w:sz w:val="18"/>
                <w:szCs w:val="18"/>
              </w:rPr>
              <w:t xml:space="preserve">IT Security / Identity</w:t>
            </w:r>
          </w:p>
        </w:tc>
        <w:tc>
          <w:tcPr>
            <w:tcW w:type="dxa" w:w="2000"/>
            <w:tcMar>
              <w:top w:type="dxa" w:w="70"/>
              <w:left w:type="dxa" w:w="100"/>
              <w:bottom w:type="dxa" w:w="70"/>
              <w:right w:type="dxa" w:w="100"/>
            </w:tcMar>
          </w:tcPr>
          <w:p>
            <w:r>
              <w:rPr>
                <w:sz w:val="18"/>
                <w:szCs w:val="18"/>
              </w:rPr>
              <w:t xml:space="preserve">Within 30 days (by 2026-10-05)</w:t>
            </w:r>
          </w:p>
        </w:tc>
      </w:tr>
      <w:tr>
        <w:tc>
          <w:tcPr>
            <w:tcW w:type="dxa" w:w="5400"/>
            <w:tcMar>
              <w:top w:type="dxa" w:w="70"/>
              <w:left w:type="dxa" w:w="100"/>
              <w:bottom w:type="dxa" w:w="70"/>
              <w:right w:type="dxa" w:w="100"/>
            </w:tcMar>
          </w:tcPr>
          <w:p>
            <w:r>
              <w:rPr>
                <w:sz w:val="18"/>
                <w:szCs w:val="18"/>
              </w:rPr>
              <w:t xml:space="preserve">Inventory every AI agent with write access to a production database or deployment pipeline, and confirm its permissions are enforced at the infrastructure level — not just an application setting</w:t>
            </w:r>
          </w:p>
        </w:tc>
        <w:tc>
          <w:tcPr>
            <w:tcW w:type="dxa" w:w="2400"/>
            <w:tcMar>
              <w:top w:type="dxa" w:w="70"/>
              <w:left w:type="dxa" w:w="100"/>
              <w:bottom w:type="dxa" w:w="70"/>
              <w:right w:type="dxa" w:w="100"/>
            </w:tcMar>
          </w:tcPr>
          <w:p>
            <w:r>
              <w:rPr>
                <w:sz w:val="18"/>
                <w:szCs w:val="18"/>
              </w:rPr>
              <w:t xml:space="preserve">AI Governance / Cloud Architecture</w:t>
            </w:r>
          </w:p>
        </w:tc>
        <w:tc>
          <w:tcPr>
            <w:tcW w:type="dxa" w:w="2000"/>
            <w:tcMar>
              <w:top w:type="dxa" w:w="70"/>
              <w:left w:type="dxa" w:w="100"/>
              <w:bottom w:type="dxa" w:w="70"/>
              <w:right w:type="dxa" w:w="100"/>
            </w:tcMar>
          </w:tcPr>
          <w:p>
            <w:r>
              <w:rPr>
                <w:sz w:val="18"/>
                <w:szCs w:val="18"/>
              </w:rPr>
              <w:t xml:space="preserve">Next architecture review cycle</w:t>
            </w:r>
          </w:p>
        </w:tc>
      </w:tr>
      <w:tr>
        <w:tc>
          <w:tcPr>
            <w:tcW w:type="dxa" w:w="5400"/>
            <w:tcMar>
              <w:top w:type="dxa" w:w="70"/>
              <w:left w:type="dxa" w:w="100"/>
              <w:bottom w:type="dxa" w:w="70"/>
              <w:right w:type="dxa" w:w="100"/>
            </w:tcMar>
          </w:tcPr>
          <w:p>
            <w:r>
              <w:rPr>
                <w:sz w:val="18"/>
                <w:szCs w:val="18"/>
              </w:rPr>
              <w:t xml:space="preserve">Patch the CI/CD and workflow-automation platforms under active attack (package repository, workflow engine)</w:t>
            </w:r>
          </w:p>
        </w:tc>
        <w:tc>
          <w:tcPr>
            <w:tcW w:type="dxa" w:w="2400"/>
            <w:tcMar>
              <w:top w:type="dxa" w:w="70"/>
              <w:left w:type="dxa" w:w="100"/>
              <w:bottom w:type="dxa" w:w="70"/>
              <w:right w:type="dxa" w:w="100"/>
            </w:tcMar>
          </w:tcPr>
          <w:p>
            <w:r>
              <w:rPr>
                <w:sz w:val="18"/>
                <w:szCs w:val="18"/>
              </w:rPr>
              <w:t xml:space="preserve">DevOps / Platform Engineering</w:t>
            </w:r>
          </w:p>
        </w:tc>
        <w:tc>
          <w:tcPr>
            <w:tcW w:type="dxa" w:w="2000"/>
            <w:tcMar>
              <w:top w:type="dxa" w:w="70"/>
              <w:left w:type="dxa" w:w="100"/>
              <w:bottom w:type="dxa" w:w="70"/>
              <w:right w:type="dxa" w:w="100"/>
            </w:tcMar>
          </w:tcPr>
          <w:p>
            <w:r>
              <w:rPr>
                <w:sz w:val="18"/>
                <w:szCs w:val="18"/>
              </w:rPr>
              <w:t xml:space="preserve">This week (by 2026-09-09)</w:t>
            </w:r>
          </w:p>
        </w:tc>
      </w:tr>
      <w:tr>
        <w:tc>
          <w:tcPr>
            <w:tcW w:type="dxa" w:w="5400"/>
            <w:tcMar>
              <w:top w:type="dxa" w:w="70"/>
              <w:left w:type="dxa" w:w="100"/>
              <w:bottom w:type="dxa" w:w="70"/>
              <w:right w:type="dxa" w:w="100"/>
            </w:tcMar>
          </w:tcPr>
          <w:p>
            <w:r>
              <w:rPr>
                <w:sz w:val="18"/>
                <w:szCs w:val="18"/>
              </w:rPr>
              <w:t xml:space="preserve">Resume the weekly intelligence cadence without gaps — this cycle followed an unexplained multi-week pause; confirm the schedule is running reliably going forward</w:t>
            </w:r>
          </w:p>
        </w:tc>
        <w:tc>
          <w:tcPr>
            <w:tcW w:type="dxa" w:w="2400"/>
            <w:tcMar>
              <w:top w:type="dxa" w:w="70"/>
              <w:left w:type="dxa" w:w="100"/>
              <w:bottom w:type="dxa" w:w="70"/>
              <w:right w:type="dxa" w:w="100"/>
            </w:tcMar>
          </w:tcPr>
          <w:p>
            <w:r>
              <w:rPr>
                <w:sz w:val="18"/>
                <w:szCs w:val="18"/>
              </w:rPr>
              <w:t xml:space="preserve">GRC Program Owner</w:t>
            </w:r>
          </w:p>
        </w:tc>
        <w:tc>
          <w:tcPr>
            <w:tcW w:type="dxa" w:w="2000"/>
            <w:tcMar>
              <w:top w:type="dxa" w:w="70"/>
              <w:left w:type="dxa" w:w="100"/>
              <w:bottom w:type="dxa" w:w="70"/>
              <w:right w:type="dxa" w:w="100"/>
            </w:tcMar>
          </w:tcPr>
          <w:p>
            <w:r>
              <w:rPr>
                <w:sz w:val="18"/>
                <w:szCs w:val="18"/>
              </w:rPr>
              <w:t xml:space="preserve">Immediate — process fix</w:t>
            </w:r>
          </w:p>
        </w:tc>
      </w:tr>
    </w:tbl>
    <w:p>
      <w:pPr>
        <w:pStyle w:val="Heading1"/>
        <w:spacing w:after="160" w:before="320"/>
      </w:pPr>
      <w:r>
        <w:t xml:space="preserve">7. Metrics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200"/>
        <w:gridCol w:w="3600"/>
      </w:tblGrid>
      <w:tr>
        <w:trPr>
          <w:tblHeader/>
        </w:trPr>
        <w:tc>
          <w:tcPr>
            <w:shd w:fill="0D1B2A" w:val="clear"/>
            <w:tcMar>
              <w:top w:type="dxa" w:w="80"/>
              <w:left w:type="dxa" w:w="100"/>
              <w:bottom w:type="dxa" w:w="80"/>
              <w:right w:type="dxa" w:w="100"/>
            </w:tcMar>
          </w:tcPr>
          <w:p>
            <w:r>
              <w:rPr>
                <w:b/>
                <w:bCs/>
                <w:color w:val="FFFFFF"/>
                <w:sz w:val="18"/>
                <w:szCs w:val="18"/>
              </w:rPr>
              <w:t xml:space="preserve">Metric</w:t>
            </w:r>
          </w:p>
        </w:tc>
        <w:tc>
          <w:tcPr>
            <w:shd w:fill="0D1B2A" w:val="clear"/>
            <w:tcMar>
              <w:top w:type="dxa" w:w="80"/>
              <w:left w:type="dxa" w:w="100"/>
              <w:bottom w:type="dxa" w:w="80"/>
              <w:right w:type="dxa" w:w="100"/>
            </w:tcMar>
          </w:tcPr>
          <w:p>
            <w:r>
              <w:rPr>
                <w:b/>
                <w:bCs/>
                <w:color w:val="FFFFFF"/>
                <w:sz w:val="18"/>
                <w:szCs w:val="18"/>
              </w:rPr>
              <w:t xml:space="preserve">This Week</w:t>
            </w:r>
          </w:p>
        </w:tc>
      </w:tr>
      <w:tr>
        <w:tc>
          <w:tcPr>
            <w:tcW w:type="dxa" w:w="6200"/>
            <w:tcMar>
              <w:top w:type="dxa" w:w="70"/>
              <w:left w:type="dxa" w:w="100"/>
              <w:bottom w:type="dxa" w:w="70"/>
              <w:right w:type="dxa" w:w="100"/>
            </w:tcMar>
          </w:tcPr>
          <w:p>
            <w:r>
              <w:rPr>
                <w:sz w:val="18"/>
                <w:szCs w:val="18"/>
              </w:rPr>
              <w:t xml:space="preserve">New CISA KEV entries</w:t>
            </w:r>
          </w:p>
        </w:tc>
        <w:tc>
          <w:tcPr>
            <w:tcW w:type="dxa" w:w="3600"/>
            <w:tcMar>
              <w:top w:type="dxa" w:w="70"/>
              <w:left w:type="dxa" w:w="100"/>
              <w:bottom w:type="dxa" w:w="70"/>
              <w:right w:type="dxa" w:w="100"/>
            </w:tcMar>
          </w:tcPr>
          <w:p>
            <w:r>
              <w:rPr>
                <w:sz w:val="18"/>
                <w:szCs w:val="18"/>
              </w:rPr>
              <w:t xml:space="preserve">10</w:t>
            </w:r>
          </w:p>
        </w:tc>
      </w:tr>
      <w:tr>
        <w:tc>
          <w:tcPr>
            <w:tcW w:type="dxa" w:w="6200"/>
            <w:tcMar>
              <w:top w:type="dxa" w:w="70"/>
              <w:left w:type="dxa" w:w="100"/>
              <w:bottom w:type="dxa" w:w="70"/>
              <w:right w:type="dxa" w:w="100"/>
            </w:tcMar>
          </w:tcPr>
          <w:p>
            <w:r>
              <w:rPr>
                <w:sz w:val="18"/>
                <w:szCs w:val="18"/>
              </w:rPr>
              <w:t xml:space="preserve">Escalated / revised KEV updates</w:t>
            </w:r>
          </w:p>
        </w:tc>
        <w:tc>
          <w:tcPr>
            <w:tcW w:type="dxa" w:w="3600"/>
            <w:tcMar>
              <w:top w:type="dxa" w:w="70"/>
              <w:left w:type="dxa" w:w="100"/>
              <w:bottom w:type="dxa" w:w="70"/>
              <w:right w:type="dxa" w:w="100"/>
            </w:tcMar>
          </w:tcPr>
          <w:p>
            <w:r>
              <w:rPr>
                <w:sz w:val="18"/>
                <w:szCs w:val="18"/>
              </w:rPr>
              <w:t xml:space="preserve">0</w:t>
            </w:r>
          </w:p>
        </w:tc>
      </w:tr>
      <w:tr>
        <w:tc>
          <w:tcPr>
            <w:tcW w:type="dxa" w:w="6200"/>
            <w:tcMar>
              <w:top w:type="dxa" w:w="70"/>
              <w:left w:type="dxa" w:w="100"/>
              <w:bottom w:type="dxa" w:w="70"/>
              <w:right w:type="dxa" w:w="100"/>
            </w:tcMar>
          </w:tcPr>
          <w:p>
            <w:r>
              <w:rPr>
                <w:sz w:val="18"/>
                <w:szCs w:val="18"/>
              </w:rPr>
              <w:t xml:space="preserve">New CISA advisories (non-KEV) meeting threshold</w:t>
            </w:r>
          </w:p>
        </w:tc>
        <w:tc>
          <w:tcPr>
            <w:tcW w:type="dxa" w:w="3600"/>
            <w:tcMar>
              <w:top w:type="dxa" w:w="70"/>
              <w:left w:type="dxa" w:w="100"/>
              <w:bottom w:type="dxa" w:w="70"/>
              <w:right w:type="dxa" w:w="100"/>
            </w:tcMar>
          </w:tcPr>
          <w:p>
            <w:r>
              <w:rPr>
                <w:sz w:val="18"/>
                <w:szCs w:val="18"/>
              </w:rPr>
              <w:t xml:space="preserve">0</w:t>
            </w:r>
          </w:p>
        </w:tc>
      </w:tr>
      <w:tr>
        <w:tc>
          <w:tcPr>
            <w:tcW w:type="dxa" w:w="6200"/>
            <w:tcMar>
              <w:top w:type="dxa" w:w="70"/>
              <w:left w:type="dxa" w:w="100"/>
              <w:bottom w:type="dxa" w:w="70"/>
              <w:right w:type="dxa" w:w="100"/>
            </w:tcMar>
          </w:tcPr>
          <w:p>
            <w:r>
              <w:rPr>
                <w:sz w:val="18"/>
                <w:szCs w:val="18"/>
              </w:rPr>
              <w:t xml:space="preserve">Cloud provider bulletins reviewed / material findings</w:t>
            </w:r>
          </w:p>
        </w:tc>
        <w:tc>
          <w:tcPr>
            <w:tcW w:type="dxa" w:w="3600"/>
            <w:tcMar>
              <w:top w:type="dxa" w:w="70"/>
              <w:left w:type="dxa" w:w="100"/>
              <w:bottom w:type="dxa" w:w="70"/>
              <w:right w:type="dxa" w:w="100"/>
            </w:tcMar>
          </w:tcPr>
          <w:p>
            <w:r>
              <w:rPr>
                <w:sz w:val="18"/>
                <w:szCs w:val="18"/>
              </w:rPr>
              <w:t xml:space="preserve">9 reviewed / 3 material (all AWS)</w:t>
            </w:r>
          </w:p>
        </w:tc>
      </w:tr>
      <w:tr>
        <w:tc>
          <w:tcPr>
            <w:tcW w:type="dxa" w:w="6200"/>
            <w:tcMar>
              <w:top w:type="dxa" w:w="70"/>
              <w:left w:type="dxa" w:w="100"/>
              <w:bottom w:type="dxa" w:w="70"/>
              <w:right w:type="dxa" w:w="100"/>
            </w:tcMar>
          </w:tcPr>
          <w:p>
            <w:r>
              <w:rPr>
                <w:sz w:val="18"/>
                <w:szCs w:val="18"/>
              </w:rPr>
              <w:t xml:space="preserve">AI governance &amp; regulatory developments logged</w:t>
            </w:r>
          </w:p>
        </w:tc>
        <w:tc>
          <w:tcPr>
            <w:tcW w:type="dxa" w:w="3600"/>
            <w:tcMar>
              <w:top w:type="dxa" w:w="70"/>
              <w:left w:type="dxa" w:w="100"/>
              <w:bottom w:type="dxa" w:w="70"/>
              <w:right w:type="dxa" w:w="100"/>
            </w:tcMar>
          </w:tcPr>
          <w:p>
            <w:r>
              <w:rPr>
                <w:sz w:val="18"/>
                <w:szCs w:val="18"/>
              </w:rPr>
              <w:t xml:space="preserve">4</w:t>
            </w:r>
          </w:p>
        </w:tc>
      </w:tr>
      <w:tr>
        <w:tc>
          <w:tcPr>
            <w:tcW w:type="dxa" w:w="6200"/>
            <w:tcMar>
              <w:top w:type="dxa" w:w="70"/>
              <w:left w:type="dxa" w:w="100"/>
              <w:bottom w:type="dxa" w:w="70"/>
              <w:right w:type="dxa" w:w="100"/>
            </w:tcMar>
          </w:tcPr>
          <w:p>
            <w:r>
              <w:rPr>
                <w:sz w:val="18"/>
                <w:szCs w:val="18"/>
              </w:rPr>
              <w:t xml:space="preserve">New risk register rows added</w:t>
            </w:r>
          </w:p>
        </w:tc>
        <w:tc>
          <w:tcPr>
            <w:tcW w:type="dxa" w:w="3600"/>
            <w:tcMar>
              <w:top w:type="dxa" w:w="70"/>
              <w:left w:type="dxa" w:w="100"/>
              <w:bottom w:type="dxa" w:w="70"/>
              <w:right w:type="dxa" w:w="100"/>
            </w:tcMar>
          </w:tcPr>
          <w:p>
            <w:r>
              <w:rPr>
                <w:sz w:val="18"/>
                <w:szCs w:val="18"/>
              </w:rPr>
              <w:t xml:space="preserve">10 (RR-051 – RR-060)</w:t>
            </w:r>
          </w:p>
        </w:tc>
      </w:tr>
      <w:tr>
        <w:tc>
          <w:tcPr>
            <w:tcW w:type="dxa" w:w="6200"/>
            <w:tcMar>
              <w:top w:type="dxa" w:w="70"/>
              <w:left w:type="dxa" w:w="100"/>
              <w:bottom w:type="dxa" w:w="70"/>
              <w:right w:type="dxa" w:w="100"/>
            </w:tcMar>
          </w:tcPr>
          <w:p>
            <w:r>
              <w:rPr>
                <w:sz w:val="18"/>
                <w:szCs w:val="18"/>
              </w:rPr>
              <w:t xml:space="preserve">Full case-study bundles published</w:t>
            </w:r>
          </w:p>
        </w:tc>
        <w:tc>
          <w:tcPr>
            <w:tcW w:type="dxa" w:w="3600"/>
            <w:tcMar>
              <w:top w:type="dxa" w:w="70"/>
              <w:left w:type="dxa" w:w="100"/>
              <w:bottom w:type="dxa" w:w="70"/>
              <w:right w:type="dxa" w:w="100"/>
            </w:tcMar>
          </w:tcPr>
          <w:p>
            <w:r>
              <w:rPr>
                <w:sz w:val="18"/>
                <w:szCs w:val="18"/>
              </w:rPr>
              <w:t xml:space="preserve">4 (6 folder copies — 2 dual-category)</w:t>
            </w:r>
          </w:p>
        </w:tc>
      </w:tr>
      <w:tr>
        <w:tc>
          <w:tcPr>
            <w:tcW w:type="dxa" w:w="6200"/>
            <w:tcMar>
              <w:top w:type="dxa" w:w="70"/>
              <w:left w:type="dxa" w:w="100"/>
              <w:bottom w:type="dxa" w:w="70"/>
              <w:right w:type="dxa" w:w="100"/>
            </w:tcMar>
          </w:tcPr>
          <w:p>
            <w:r>
              <w:rPr>
                <w:sz w:val="18"/>
                <w:szCs w:val="18"/>
              </w:rPr>
              <w:t xml:space="preserve">Register-only entries (logged, no full bundle)</w:t>
            </w:r>
          </w:p>
        </w:tc>
        <w:tc>
          <w:tcPr>
            <w:tcW w:type="dxa" w:w="3600"/>
            <w:tcMar>
              <w:top w:type="dxa" w:w="70"/>
              <w:left w:type="dxa" w:w="100"/>
              <w:bottom w:type="dxa" w:w="70"/>
              <w:right w:type="dxa" w:w="100"/>
            </w:tcMar>
          </w:tcPr>
          <w:p>
            <w:r>
              <w:rPr>
                <w:sz w:val="18"/>
                <w:szCs w:val="18"/>
              </w:rPr>
              <w:t xml:space="preserve">6</w:t>
            </w:r>
          </w:p>
        </w:tc>
      </w:tr>
      <w:tr>
        <w:tc>
          <w:tcPr>
            <w:tcW w:type="dxa" w:w="6200"/>
            <w:tcMar>
              <w:top w:type="dxa" w:w="70"/>
              <w:left w:type="dxa" w:w="100"/>
              <w:bottom w:type="dxa" w:w="70"/>
              <w:right w:type="dxa" w:w="100"/>
            </w:tcMar>
          </w:tcPr>
          <w:p>
            <w:r>
              <w:rPr>
                <w:sz w:val="18"/>
                <w:szCs w:val="18"/>
              </w:rPr>
              <w:t xml:space="preserve">Total risks on register (cumulative)</w:t>
            </w:r>
          </w:p>
        </w:tc>
        <w:tc>
          <w:tcPr>
            <w:tcW w:type="dxa" w:w="3600"/>
            <w:tcMar>
              <w:top w:type="dxa" w:w="70"/>
              <w:left w:type="dxa" w:w="100"/>
              <w:bottom w:type="dxa" w:w="70"/>
              <w:right w:type="dxa" w:w="100"/>
            </w:tcMar>
          </w:tcPr>
          <w:p>
            <w:r>
              <w:rPr>
                <w:sz w:val="18"/>
                <w:szCs w:val="18"/>
              </w:rPr>
              <w:t xml:space="preserve">60</w:t>
            </w:r>
          </w:p>
        </w:tc>
      </w:tr>
      <w:tr>
        <w:tc>
          <w:tcPr>
            <w:tcW w:type="dxa" w:w="6200"/>
            <w:tcMar>
              <w:top w:type="dxa" w:w="70"/>
              <w:left w:type="dxa" w:w="100"/>
              <w:bottom w:type="dxa" w:w="70"/>
              <w:right w:type="dxa" w:w="100"/>
            </w:tcMar>
          </w:tcPr>
          <w:p>
            <w:r>
              <w:rPr>
                <w:sz w:val="18"/>
                <w:szCs w:val="18"/>
              </w:rPr>
              <w:t xml:space="preserve">Framework updates to program documentation</w:t>
            </w:r>
          </w:p>
        </w:tc>
        <w:tc>
          <w:tcPr>
            <w:tcW w:type="dxa" w:w="3600"/>
            <w:tcMar>
              <w:top w:type="dxa" w:w="70"/>
              <w:left w:type="dxa" w:w="100"/>
              <w:bottom w:type="dxa" w:w="70"/>
              <w:right w:type="dxa" w:w="100"/>
            </w:tcMar>
          </w:tcPr>
          <w:p>
            <w:r>
              <w:rPr>
                <w:sz w:val="18"/>
                <w:szCs w:val="18"/>
              </w:rPr>
              <w:t xml:space="preserve">None this run</w:t>
            </w:r>
          </w:p>
        </w:tc>
      </w:tr>
    </w:tbl>
    <w:p>
      <w:pPr>
        <w:spacing w:after="200"/>
      </w:pPr>
    </w:p>
    <w:p>
      <w:pPr>
        <w:spacing w:after="160"/>
      </w:pPr>
      <w:r>
        <w:rPr>
          <w:i/>
          <w:iCs/>
          <w:color w:val="5D6D7E"/>
          <w:sz w:val="18"/>
          <w:szCs w:val="18"/>
        </w:rPr>
        <w:t xml:space="preserve">Program note: this report resumes weekly monitoring after an apparent three-week gap (no reports recorded for the 2026-08-17, 2026-08-24, or 2026-08-31 cycles; last prior report was 2026-08-10). This week's findings reflect only the current seven-day window, per this program's standing report-period discipline — the missed weeks were not retroactively reconstructed, since doing so from memory rather than a live sweep would risk inaccurate dating of findings. One notable item was identified as falling in that missed window rather than this week: a set of three maximum-severity (CVSS 10.0) vulnerabilities in a widely-used GRC/ITSM platform's AI module, disclosed 2026-08-27. It is flagged here as a recommended manual catch-up review rather than logged with an inaccurate date.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2026-09-07T12:34:39.015Z</dcterms:created>
  <dcterms:modified xsi:type="dcterms:W3CDTF">2026-09-07T12:34:39.015Z</dcterms:modified>
</cp:coreProperties>
</file>

<file path=docProps/custom.xml><?xml version="1.0" encoding="utf-8"?>
<Properties xmlns="http://schemas.openxmlformats.org/officeDocument/2006/custom-properties" xmlns:vt="http://schemas.openxmlformats.org/officeDocument/2006/docPropsVTypes"/>
</file>