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GRC INTELLIGENCE PROGRAM</w:t>
      </w:r>
    </w:p>
    <w:p>
      <w:pPr>
        <w:spacing w:after="120"/>
      </w:pPr>
      <w:r>
        <w:rPr>
          <w:b/>
          <w:bCs/>
          <w:sz w:val="26"/>
          <w:szCs w:val="26"/>
        </w:rPr>
        <w:t xml:space="preserve">Weekly Executive Report</w:t>
      </w:r>
    </w:p>
    <w:p>
      <w:pPr>
        <w:spacing w:after="40"/>
      </w:pPr>
      <w:r>
        <w:rPr>
          <w:i/>
          <w:iCs/>
          <w:sz w:val="20"/>
          <w:szCs w:val="20"/>
        </w:rPr>
        <w:t xml:space="preserve">Report Period: 2026-09-14 to 2026-09-21  |  Prepared: 2026-09-21  |  Prepared by: Blaise Kingko, GRC Intelligence Program</w:t>
      </w:r>
    </w:p>
    <w:p>
      <w:pPr>
        <w:pBdr>
          <w:bottom w:val="single" w:color="1F3864" w:sz="6"/>
        </w:pBdr>
        <w:spacing w:after="200"/>
      </w:pPr>
      <w:r>
        <w:rPr>
          <w:i/>
          <w:iCs/>
          <w:sz w:val="20"/>
          <w:szCs w:val="20"/>
        </w:rPr>
        <w:t xml:space="preserve">Audience: CISO / Board  |  Classification: Internal</w:t>
      </w:r>
    </w:p>
    <w:p>
      <w:pPr>
        <w:pStyle w:val="Heading1"/>
        <w:spacing w:after="150" w:before="300"/>
      </w:pPr>
      <w:r>
        <w:rPr>
          <w:b/>
          <w:bCs/>
        </w:rPr>
        <w:t xml:space="preserve">1. This Week's Threat Landscape</w:t>
      </w:r>
    </w:p>
    <w:p>
      <w:pPr>
        <w:spacing w:after="160"/>
      </w:pPr>
      <w:r>
        <w:t xml:space="preserve">This was a heavy week for actively-exploited, network-facing infrastructure. Two Cisco platforms — the system that decides who and what is allowed onto the corporate network, and the appliance that filters inbound email — were both taken over by unauthenticated attackers, with the federal government's remediation deadlines for both already passed by the time of this report. Separately, this program logged its third consecutive week of a critical AI-agent or AI-platform trust-boundary gap — this time spanning Microsoft's Azure AI platform, IBM's Langflow AI-agent tool, and six different vendors' AI-agent connector products at once — a pattern significant enough that we recommend formally elevating AI-agent tooling to its own standing risk category going forward. Note for the record: this report follows an unexplained gap in our own monitoring cadence (last report: 2026-09-07, this report covers only 2026-09-14 to 2026-09-21); one specific finding from the missed week — a batch of three actively-exploited vulnerabilities in Cisco, Citrix, and Fortinet network equipment with a federal deadline that has already passed — is flagged as a recommended manual catch-up item in Section 5, not backfilled into this week's numbers.</w:t>
      </w:r>
    </w:p>
    <w:p>
      <w:pPr>
        <w:pStyle w:val="Heading1"/>
        <w:spacing w:after="150" w:before="300"/>
      </w:pPr>
      <w:r>
        <w:rPr>
          <w:b/>
          <w:bCs/>
        </w:rPr>
        <w:t xml:space="preserve">2. Cases Identified This Week</w:t>
      </w:r>
    </w:p>
    <w:p>
      <w:pPr>
        <w:spacing w:after="160"/>
      </w:pPr>
      <w:r>
        <w:t xml:space="preserve">Eighteen findings met this week's threshold for tracking. Seven received full investigation write-ups (technical detail, business impact, and a remediation plan); the remaining eleven were logged to the risk register with clear remediation guidance but did not receive a full write-up, to keep this week's most consequential findings the priority.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400"/>
        <w:gridCol w:w="1800"/>
      </w:tblGrid>
      <w:tr>
        <w:trPr>
          <w:tblHeader/>
        </w:trPr>
        <w:tc>
          <w:tcPr>
            <w:tcW w:type="dxa" w:w="4200"/>
            <w:shd w:fill="1F3864" w:val="clear"/>
            <w:tcMar>
              <w:top w:type="dxa" w:w="80"/>
              <w:left w:type="dxa" w:w="100"/>
              <w:bottom w:type="dxa" w:w="80"/>
              <w:right w:type="dxa" w:w="100"/>
            </w:tcMar>
            <w:vAlign w:val="center"/>
          </w:tcPr>
          <w:p>
            <w:pPr>
              <w:jc w:val="left"/>
            </w:pPr>
            <w:r>
              <w:rPr>
                <w:b/>
                <w:bCs/>
              </w:rPr>
              <w:t xml:space="preserve">Case</w:t>
            </w:r>
          </w:p>
        </w:tc>
        <w:tc>
          <w:tcPr>
            <w:tcW w:type="dxa" w:w="2400"/>
            <w:shd w:fill="1F3864" w:val="clear"/>
            <w:tcMar>
              <w:top w:type="dxa" w:w="80"/>
              <w:left w:type="dxa" w:w="100"/>
              <w:bottom w:type="dxa" w:w="80"/>
              <w:right w:type="dxa" w:w="100"/>
            </w:tcMar>
            <w:vAlign w:val="center"/>
          </w:tcPr>
          <w:p>
            <w:pPr>
              <w:jc w:val="left"/>
            </w:pPr>
            <w:r>
              <w:rPr>
                <w:b/>
                <w:bCs/>
              </w:rPr>
              <w:t xml:space="preserve">Category</w:t>
            </w:r>
          </w:p>
        </w:tc>
        <w:tc>
          <w:tcPr>
            <w:tcW w:type="dxa" w:w="1400"/>
            <w:shd w:fill="1F3864" w:val="clear"/>
            <w:tcMar>
              <w:top w:type="dxa" w:w="80"/>
              <w:left w:type="dxa" w:w="100"/>
              <w:bottom w:type="dxa" w:w="80"/>
              <w:right w:type="dxa" w:w="100"/>
            </w:tcMar>
            <w:vAlign w:val="center"/>
          </w:tcPr>
          <w:p>
            <w:pPr>
              <w:jc w:val="left"/>
            </w:pPr>
            <w:r>
              <w:rPr>
                <w:b/>
                <w:bCs/>
              </w:rPr>
              <w:t xml:space="preserve">Risk Rating</w:t>
            </w:r>
          </w:p>
        </w:tc>
        <w:tc>
          <w:tcPr>
            <w:tcW w:type="dxa" w:w="1800"/>
            <w:shd w:fill="1F3864" w:val="clear"/>
            <w:tcMar>
              <w:top w:type="dxa" w:w="80"/>
              <w:left w:type="dxa" w:w="100"/>
              <w:bottom w:type="dxa" w:w="80"/>
              <w:right w:type="dxa" w:w="100"/>
            </w:tcMar>
            <w:vAlign w:val="center"/>
          </w:tcPr>
          <w:p>
            <w:pPr>
              <w:jc w:val="left"/>
            </w:pPr>
            <w:r>
              <w:rPr>
                <w:b/>
                <w:bCs/>
              </w:rPr>
              <w:t xml:space="preserve">Status</w:t>
            </w:r>
          </w:p>
        </w:tc>
      </w:tr>
      <w:tr>
        <w:tc>
          <w:tcPr>
            <w:tcW w:type="dxa" w:w="4200"/>
            <w:tcMar>
              <w:top w:type="dxa" w:w="80"/>
              <w:left w:type="dxa" w:w="100"/>
              <w:bottom w:type="dxa" w:w="80"/>
              <w:right w:type="dxa" w:w="100"/>
            </w:tcMar>
            <w:vAlign w:val="center"/>
          </w:tcPr>
          <w:p>
            <w:pPr>
              <w:jc w:val="left"/>
            </w:pPr>
            <w:r>
              <w:rPr>
                <w:b w:val="false"/>
                <w:bCs w:val="false"/>
              </w:rPr>
              <w:t xml:space="preserve">Cisco ISE / ISE-PIC network-access identity engine — unauthenticated admin takeover, active attacks</w:t>
            </w:r>
          </w:p>
        </w:tc>
        <w:tc>
          <w:tcPr>
            <w:tcW w:type="dxa" w:w="2400"/>
            <w:tcMar>
              <w:top w:type="dxa" w:w="80"/>
              <w:left w:type="dxa" w:w="100"/>
              <w:bottom w:type="dxa" w:w="80"/>
              <w:right w:type="dxa" w:w="100"/>
            </w:tcMar>
            <w:vAlign w:val="center"/>
          </w:tcPr>
          <w:p>
            <w:pPr>
              <w:jc w:val="left"/>
            </w:pPr>
            <w:r>
              <w:rPr>
                <w:b w:val="false"/>
                <w:bCs w:val="false"/>
              </w:rPr>
              <w:t xml:space="preserve">IT/OT — Network Identity (dual: Cloud/IAM)</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800"/>
            <w:tcMar>
              <w:top w:type="dxa" w:w="80"/>
              <w:left w:type="dxa" w:w="100"/>
              <w:bottom w:type="dxa" w:w="80"/>
              <w:right w:type="dxa" w:w="100"/>
            </w:tcMar>
            <w:vAlign w:val="center"/>
          </w:tcPr>
          <w:p>
            <w:pPr>
              <w:jc w:val="left"/>
            </w:pPr>
            <w:r>
              <w:rPr>
                <w:b w:val="false"/>
                <w:bCs w:val="false"/>
              </w:rPr>
              <w:t xml:space="preserve">Open — Emergency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Cisco Secure Email Gateway — unauthenticated SQL injection to root takeover, active attacks</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IT/OT — Messaging Security</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Critical</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Emergency</w:t>
            </w:r>
          </w:p>
        </w:tc>
      </w:tr>
      <w:tr>
        <w:tc>
          <w:tcPr>
            <w:tcW w:type="dxa" w:w="4200"/>
            <w:tcMar>
              <w:top w:type="dxa" w:w="80"/>
              <w:left w:type="dxa" w:w="100"/>
              <w:bottom w:type="dxa" w:w="80"/>
              <w:right w:type="dxa" w:w="100"/>
            </w:tcMar>
            <w:vAlign w:val="center"/>
          </w:tcPr>
          <w:p>
            <w:pPr>
              <w:jc w:val="left"/>
            </w:pPr>
            <w:r>
              <w:rPr>
                <w:b w:val="false"/>
                <w:bCs w:val="false"/>
              </w:rPr>
              <w:t xml:space="preserve">Linux kernel — three actively-exploited local privilege-escalation flaws</w:t>
            </w:r>
          </w:p>
        </w:tc>
        <w:tc>
          <w:tcPr>
            <w:tcW w:type="dxa" w:w="2400"/>
            <w:tcMar>
              <w:top w:type="dxa" w:w="80"/>
              <w:left w:type="dxa" w:w="100"/>
              <w:bottom w:type="dxa" w:w="80"/>
              <w:right w:type="dxa" w:w="100"/>
            </w:tcMar>
            <w:vAlign w:val="center"/>
          </w:tcPr>
          <w:p>
            <w:pPr>
              <w:jc w:val="left"/>
            </w:pPr>
            <w:r>
              <w:rPr>
                <w:b w:val="false"/>
                <w:bCs w:val="false"/>
              </w:rPr>
              <w:t xml:space="preserve">IT/OT — Server/Container OS</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800"/>
            <w:tcMar>
              <w:top w:type="dxa" w:w="80"/>
              <w:left w:type="dxa" w:w="100"/>
              <w:bottom w:type="dxa" w:w="80"/>
              <w:right w:type="dxa" w:w="100"/>
            </w:tcMar>
            <w:vAlign w:val="center"/>
          </w:tcPr>
          <w:p>
            <w:pPr>
              <w:jc w:val="left"/>
            </w:pPr>
            <w:r>
              <w:rPr>
                <w:b w:val="false"/>
                <w:bCs w:val="false"/>
              </w:rPr>
              <w:t xml:space="preserve">Open</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Azure AI Foundry + Microsoft 365 Copilot — missing-auth and command-injection privilege escalation</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AI Governance / Cloud</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Critical</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Verification</w:t>
            </w:r>
          </w:p>
        </w:tc>
      </w:tr>
      <w:tr>
        <w:tc>
          <w:tcPr>
            <w:tcW w:type="dxa" w:w="4200"/>
            <w:tcMar>
              <w:top w:type="dxa" w:w="80"/>
              <w:left w:type="dxa" w:w="100"/>
              <w:bottom w:type="dxa" w:w="80"/>
              <w:right w:type="dxa" w:w="100"/>
            </w:tcMar>
            <w:vAlign w:val="center"/>
          </w:tcPr>
          <w:p>
            <w:pPr>
              <w:jc w:val="left"/>
            </w:pPr>
            <w:r>
              <w:rPr>
                <w:b w:val="false"/>
                <w:bCs w:val="false"/>
              </w:rPr>
              <w:t xml:space="preserve">AWS TEAM elevated-access tool + EKS Network Policy Agent — IAM and namespace-isolation bypass</w:t>
            </w:r>
          </w:p>
        </w:tc>
        <w:tc>
          <w:tcPr>
            <w:tcW w:type="dxa" w:w="2400"/>
            <w:tcMar>
              <w:top w:type="dxa" w:w="80"/>
              <w:left w:type="dxa" w:w="100"/>
              <w:bottom w:type="dxa" w:w="80"/>
              <w:right w:type="dxa" w:w="100"/>
            </w:tcMar>
            <w:vAlign w:val="center"/>
          </w:tcPr>
          <w:p>
            <w:pPr>
              <w:jc w:val="left"/>
            </w:pPr>
            <w:r>
              <w:rPr>
                <w:b w:val="false"/>
                <w:bCs w:val="false"/>
              </w:rPr>
              <w:t xml:space="preserve">Cloud — IAM/Kubernetes</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800"/>
            <w:tcMar>
              <w:top w:type="dxa" w:w="80"/>
              <w:left w:type="dxa" w:w="100"/>
              <w:bottom w:type="dxa" w:w="80"/>
              <w:right w:type="dxa" w:w="100"/>
            </w:tcMar>
            <w:vAlign w:val="center"/>
          </w:tcPr>
          <w:p>
            <w:pPr>
              <w:jc w:val="left"/>
            </w:pPr>
            <w:r>
              <w:rPr>
                <w:b w:val="false"/>
                <w:bCs w:val="false"/>
              </w:rPr>
              <w:t xml:space="preserve">Open</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IBM Langflow — unsandboxed code execution as root, AWS credential theft path (5th finding since June)</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AI Governance / Cloud</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Critical</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Emergency</w:t>
            </w:r>
          </w:p>
        </w:tc>
      </w:tr>
      <w:tr>
        <w:tc>
          <w:tcPr>
            <w:tcW w:type="dxa" w:w="4200"/>
            <w:tcMar>
              <w:top w:type="dxa" w:w="80"/>
              <w:left w:type="dxa" w:w="100"/>
              <w:bottom w:type="dxa" w:w="80"/>
              <w:right w:type="dxa" w:w="100"/>
            </w:tcMar>
            <w:vAlign w:val="center"/>
          </w:tcPr>
          <w:p>
            <w:pPr>
              <w:jc w:val="left"/>
            </w:pPr>
            <w:r>
              <w:rPr>
                <w:b w:val="false"/>
                <w:bCs w:val="false"/>
              </w:rPr>
              <w:t xml:space="preserve">Six MCP-server / AI-agent connector tools — auth bypass, file exfiltration, token theft, RCE (3rd consecutive week)</w:t>
            </w:r>
          </w:p>
        </w:tc>
        <w:tc>
          <w:tcPr>
            <w:tcW w:type="dxa" w:w="2400"/>
            <w:tcMar>
              <w:top w:type="dxa" w:w="80"/>
              <w:left w:type="dxa" w:w="100"/>
              <w:bottom w:type="dxa" w:w="80"/>
              <w:right w:type="dxa" w:w="100"/>
            </w:tcMar>
            <w:vAlign w:val="center"/>
          </w:tcPr>
          <w:p>
            <w:pPr>
              <w:jc w:val="left"/>
            </w:pPr>
            <w:r>
              <w:rPr>
                <w:b w:val="false"/>
                <w:bCs w:val="false"/>
              </w:rPr>
              <w:t xml:space="preserve">AI Governance / Cloud</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800"/>
            <w:tcMar>
              <w:top w:type="dxa" w:w="80"/>
              <w:left w:type="dxa" w:w="100"/>
              <w:bottom w:type="dxa" w:w="80"/>
              <w:right w:type="dxa" w:w="100"/>
            </w:tcMar>
            <w:vAlign w:val="center"/>
          </w:tcPr>
          <w:p>
            <w:pPr>
              <w:jc w:val="left"/>
            </w:pPr>
            <w:r>
              <w:rPr>
                <w:b w:val="false"/>
                <w:bCs w:val="false"/>
              </w:rPr>
              <w:t xml:space="preserve">Open</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Acronis Backup hosting-panel plugin — local privilege escalation, active attacks</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IT/OT — Hosting Infrastructure</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tcMar>
              <w:top w:type="dxa" w:w="80"/>
              <w:left w:type="dxa" w:w="100"/>
              <w:bottom w:type="dxa" w:w="80"/>
              <w:right w:type="dxa" w:w="100"/>
            </w:tcMar>
            <w:vAlign w:val="center"/>
          </w:tcPr>
          <w:p>
            <w:pPr>
              <w:jc w:val="left"/>
            </w:pPr>
            <w:r>
              <w:rPr>
                <w:b w:val="false"/>
                <w:bCs w:val="false"/>
              </w:rPr>
              <w:t xml:space="preserve">Siemens Reyrolle protection relay — missing authentication (grid/substation)</w:t>
            </w:r>
          </w:p>
        </w:tc>
        <w:tc>
          <w:tcPr>
            <w:tcW w:type="dxa" w:w="2400"/>
            <w:tcMar>
              <w:top w:type="dxa" w:w="80"/>
              <w:left w:type="dxa" w:w="100"/>
              <w:bottom w:type="dxa" w:w="80"/>
              <w:right w:type="dxa" w:w="100"/>
            </w:tcMar>
            <w:vAlign w:val="center"/>
          </w:tcPr>
          <w:p>
            <w:pPr>
              <w:jc w:val="left"/>
            </w:pPr>
            <w:r>
              <w:rPr>
                <w:b w:val="false"/>
                <w:bCs w:val="false"/>
              </w:rPr>
              <w:t xml:space="preserve">IT/OT — Industrial Control</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800"/>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Schneider Electric SCADAPack RTU — access-lock bypass, public exploit code available</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IT/OT — Industrial Control</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tcMar>
              <w:top w:type="dxa" w:w="80"/>
              <w:left w:type="dxa" w:w="100"/>
              <w:bottom w:type="dxa" w:w="80"/>
              <w:right w:type="dxa" w:w="100"/>
            </w:tcMar>
            <w:vAlign w:val="center"/>
          </w:tcPr>
          <w:p>
            <w:pPr>
              <w:jc w:val="left"/>
            </w:pPr>
            <w:r>
              <w:rPr>
                <w:b w:val="false"/>
                <w:bCs w:val="false"/>
              </w:rPr>
              <w:t xml:space="preserve">Keycloak SSO — single-use token/code replay-protection bypass</w:t>
            </w:r>
          </w:p>
        </w:tc>
        <w:tc>
          <w:tcPr>
            <w:tcW w:type="dxa" w:w="2400"/>
            <w:tcMar>
              <w:top w:type="dxa" w:w="80"/>
              <w:left w:type="dxa" w:w="100"/>
              <w:bottom w:type="dxa" w:w="80"/>
              <w:right w:type="dxa" w:w="100"/>
            </w:tcMar>
            <w:vAlign w:val="center"/>
          </w:tcPr>
          <w:p>
            <w:pPr>
              <w:jc w:val="left"/>
            </w:pPr>
            <w:r>
              <w:rPr>
                <w:b w:val="false"/>
                <w:bCs w:val="false"/>
              </w:rPr>
              <w:t xml:space="preserve">Cloud — IAM</w:t>
            </w:r>
          </w:p>
        </w:tc>
        <w:tc>
          <w:tcPr>
            <w:tcW w:type="dxa" w:w="1400"/>
            <w:tcMar>
              <w:top w:type="dxa" w:w="80"/>
              <w:left w:type="dxa" w:w="100"/>
              <w:bottom w:type="dxa" w:w="80"/>
              <w:right w:type="dxa" w:w="100"/>
            </w:tcMar>
            <w:vAlign w:val="center"/>
          </w:tcPr>
          <w:p>
            <w:pPr>
              <w:jc w:val="left"/>
            </w:pPr>
            <w:r>
              <w:rPr>
                <w:b w:val="false"/>
                <w:bCs w:val="false"/>
              </w:rPr>
              <w:t xml:space="preserve">Medium</w:t>
            </w:r>
          </w:p>
        </w:tc>
        <w:tc>
          <w:tcPr>
            <w:tcW w:type="dxa" w:w="1800"/>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kcp multi-tenant Kubernetes control plane — identity-header spoofing to full admin</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Cloud — Kubernetes</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Critical</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tcMar>
              <w:top w:type="dxa" w:w="80"/>
              <w:left w:type="dxa" w:w="100"/>
              <w:bottom w:type="dxa" w:w="80"/>
              <w:right w:type="dxa" w:w="100"/>
            </w:tcMar>
            <w:vAlign w:val="center"/>
          </w:tcPr>
          <w:p>
            <w:pPr>
              <w:jc w:val="left"/>
            </w:pPr>
            <w:r>
              <w:rPr>
                <w:b w:val="false"/>
                <w:bCs w:val="false"/>
              </w:rPr>
              <w:t xml:space="preserve">Docker Desktop AI Sandboxes — host-escape pair (developer workstation scope)</w:t>
            </w:r>
          </w:p>
        </w:tc>
        <w:tc>
          <w:tcPr>
            <w:tcW w:type="dxa" w:w="2400"/>
            <w:tcMar>
              <w:top w:type="dxa" w:w="80"/>
              <w:left w:type="dxa" w:w="100"/>
              <w:bottom w:type="dxa" w:w="80"/>
              <w:right w:type="dxa" w:w="100"/>
            </w:tcMar>
            <w:vAlign w:val="center"/>
          </w:tcPr>
          <w:p>
            <w:pPr>
              <w:jc w:val="left"/>
            </w:pPr>
            <w:r>
              <w:rPr>
                <w:b w:val="false"/>
                <w:bCs w:val="false"/>
              </w:rPr>
              <w:t xml:space="preserve">Cloud — Dev Tooling</w:t>
            </w:r>
          </w:p>
        </w:tc>
        <w:tc>
          <w:tcPr>
            <w:tcW w:type="dxa" w:w="1400"/>
            <w:tcMar>
              <w:top w:type="dxa" w:w="80"/>
              <w:left w:type="dxa" w:w="100"/>
              <w:bottom w:type="dxa" w:w="80"/>
              <w:right w:type="dxa" w:w="100"/>
            </w:tcMar>
            <w:vAlign w:val="center"/>
          </w:tcPr>
          <w:p>
            <w:pPr>
              <w:jc w:val="left"/>
            </w:pPr>
            <w:r>
              <w:rPr>
                <w:b w:val="false"/>
                <w:bCs w:val="false"/>
              </w:rPr>
              <w:t xml:space="preserve">Medium</w:t>
            </w:r>
          </w:p>
        </w:tc>
        <w:tc>
          <w:tcPr>
            <w:tcW w:type="dxa" w:w="1800"/>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Envoy Gateway — path-validation bypass and unauthenticated config-fetch pair</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Cloud — Kubernetes Ingress</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tcMar>
              <w:top w:type="dxa" w:w="80"/>
              <w:left w:type="dxa" w:w="100"/>
              <w:bottom w:type="dxa" w:w="80"/>
              <w:right w:type="dxa" w:w="100"/>
            </w:tcMar>
            <w:vAlign w:val="center"/>
          </w:tcPr>
          <w:p>
            <w:pPr>
              <w:jc w:val="left"/>
            </w:pPr>
            <w:r>
              <w:rPr>
                <w:b w:val="false"/>
                <w:bCs w:val="false"/>
              </w:rPr>
              <w:t xml:space="preserve">Jenkins — eleven-CVE plugin security batch (sandbox bypass, XSS, path traversal)</w:t>
            </w:r>
          </w:p>
        </w:tc>
        <w:tc>
          <w:tcPr>
            <w:tcW w:type="dxa" w:w="2400"/>
            <w:tcMar>
              <w:top w:type="dxa" w:w="80"/>
              <w:left w:type="dxa" w:w="100"/>
              <w:bottom w:type="dxa" w:w="80"/>
              <w:right w:type="dxa" w:w="100"/>
            </w:tcMar>
            <w:vAlign w:val="center"/>
          </w:tcPr>
          <w:p>
            <w:pPr>
              <w:jc w:val="left"/>
            </w:pPr>
            <w:r>
              <w:rPr>
                <w:b w:val="false"/>
                <w:bCs w:val="false"/>
              </w:rPr>
              <w:t xml:space="preserve">Cloud — CI/CD</w:t>
            </w:r>
          </w:p>
        </w:tc>
        <w:tc>
          <w:tcPr>
            <w:tcW w:type="dxa" w:w="1400"/>
            <w:tcMar>
              <w:top w:type="dxa" w:w="80"/>
              <w:left w:type="dxa" w:w="100"/>
              <w:bottom w:type="dxa" w:w="80"/>
              <w:right w:type="dxa" w:w="100"/>
            </w:tcMar>
            <w:vAlign w:val="center"/>
          </w:tcPr>
          <w:p>
            <w:pPr>
              <w:jc w:val="left"/>
            </w:pPr>
            <w:r>
              <w:rPr>
                <w:b w:val="false"/>
                <w:bCs w:val="false"/>
              </w:rPr>
              <w:t xml:space="preserve">High</w:t>
            </w:r>
          </w:p>
        </w:tc>
        <w:tc>
          <w:tcPr>
            <w:tcW w:type="dxa" w:w="1800"/>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Traefik Kubernetes Ingress — TLS-verification and namespace-isolation bypass pair (escalated modified CVE)</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Cloud — Kubernetes Ingress</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High</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tcMar>
              <w:top w:type="dxa" w:w="80"/>
              <w:left w:type="dxa" w:w="100"/>
              <w:bottom w:type="dxa" w:w="80"/>
              <w:right w:type="dxa" w:w="100"/>
            </w:tcMar>
            <w:vAlign w:val="center"/>
          </w:tcPr>
          <w:p>
            <w:pPr>
              <w:jc w:val="left"/>
            </w:pPr>
            <w:r>
              <w:rPr>
                <w:b w:val="false"/>
                <w:bCs w:val="false"/>
              </w:rPr>
              <w:t xml:space="preserve">OpenAI AI-incident disclosure framework — six new agentic-model misalignment incidents since March</w:t>
            </w:r>
          </w:p>
        </w:tc>
        <w:tc>
          <w:tcPr>
            <w:tcW w:type="dxa" w:w="2400"/>
            <w:tcMar>
              <w:top w:type="dxa" w:w="80"/>
              <w:left w:type="dxa" w:w="100"/>
              <w:bottom w:type="dxa" w:w="80"/>
              <w:right w:type="dxa" w:w="100"/>
            </w:tcMar>
            <w:vAlign w:val="center"/>
          </w:tcPr>
          <w:p>
            <w:pPr>
              <w:jc w:val="left"/>
            </w:pPr>
            <w:r>
              <w:rPr>
                <w:b w:val="false"/>
                <w:bCs w:val="false"/>
              </w:rPr>
              <w:t xml:space="preserve">AI Governance — Vendor Risk</w:t>
            </w:r>
          </w:p>
        </w:tc>
        <w:tc>
          <w:tcPr>
            <w:tcW w:type="dxa" w:w="1400"/>
            <w:tcMar>
              <w:top w:type="dxa" w:w="80"/>
              <w:left w:type="dxa" w:w="100"/>
              <w:bottom w:type="dxa" w:w="80"/>
              <w:right w:type="dxa" w:w="100"/>
            </w:tcMar>
            <w:vAlign w:val="center"/>
          </w:tcPr>
          <w:p>
            <w:pPr>
              <w:jc w:val="left"/>
            </w:pPr>
            <w:r>
              <w:rPr>
                <w:b w:val="false"/>
                <w:bCs w:val="false"/>
              </w:rPr>
              <w:t xml:space="preserve">Medium</w:t>
            </w:r>
          </w:p>
        </w:tc>
        <w:tc>
          <w:tcPr>
            <w:tcW w:type="dxa" w:w="1800"/>
            <w:tcMar>
              <w:top w:type="dxa" w:w="80"/>
              <w:left w:type="dxa" w:w="100"/>
              <w:bottom w:type="dxa" w:w="80"/>
              <w:right w:type="dxa" w:w="100"/>
            </w:tcMar>
            <w:vAlign w:val="center"/>
          </w:tcPr>
          <w:p>
            <w:pPr>
              <w:jc w:val="left"/>
            </w:pPr>
            <w:r>
              <w:rPr>
                <w:b w:val="false"/>
                <w:bCs w:val="false"/>
              </w:rPr>
              <w:t xml:space="preserve">Open — Register-Only</w:t>
            </w:r>
          </w:p>
        </w:tc>
      </w:tr>
      <w:tr>
        <w:tc>
          <w:tcPr>
            <w:tcW w:type="dxa" w:w="4200"/>
            <w:shd w:fill="F2F2F2" w:val="clear"/>
            <w:tcMar>
              <w:top w:type="dxa" w:w="80"/>
              <w:left w:type="dxa" w:w="100"/>
              <w:bottom w:type="dxa" w:w="80"/>
              <w:right w:type="dxa" w:w="100"/>
            </w:tcMar>
            <w:vAlign w:val="center"/>
          </w:tcPr>
          <w:p>
            <w:pPr>
              <w:jc w:val="left"/>
            </w:pPr>
            <w:r>
              <w:rPr>
                <w:b w:val="false"/>
                <w:bCs w:val="false"/>
              </w:rPr>
              <w:t xml:space="preserve">California SB 1050 — AI-generated advertising performer disclosure law signed</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AI Governance — Regulatory</w:t>
            </w:r>
          </w:p>
        </w:tc>
        <w:tc>
          <w:tcPr>
            <w:tcW w:type="dxa" w:w="1400"/>
            <w:shd w:fill="F2F2F2" w:val="clear"/>
            <w:tcMar>
              <w:top w:type="dxa" w:w="80"/>
              <w:left w:type="dxa" w:w="100"/>
              <w:bottom w:type="dxa" w:w="80"/>
              <w:right w:type="dxa" w:w="100"/>
            </w:tcMar>
            <w:vAlign w:val="center"/>
          </w:tcPr>
          <w:p>
            <w:pPr>
              <w:jc w:val="left"/>
            </w:pPr>
            <w:r>
              <w:rPr>
                <w:b w:val="false"/>
                <w:bCs w:val="false"/>
              </w:rPr>
              <w:t xml:space="preserve">Medium</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Open — Register-Only</w:t>
            </w:r>
          </w:p>
        </w:tc>
      </w:tr>
    </w:tbl>
    <w:p>
      <w:pPr>
        <w:spacing w:after="160"/>
      </w:pPr>
      <w:r>
        <w:t xml:space="preserve"> </w:t>
      </w:r>
    </w:p>
    <w:p>
      <w:pPr>
        <w:spacing w:after="160"/>
      </w:pPr>
      <w:r>
        <w:t xml:space="preserve">The seven findings that received full write-ups, in plain terms:</w:t>
      </w:r>
    </w:p>
    <w:p>
      <w:pPr>
        <w:pStyle w:val="ListParagraph"/>
        <w:numPr>
          <w:ilvl w:val="0"/>
          <w:numId w:val="1"/>
        </w:numPr>
        <w:spacing w:after="100"/>
      </w:pPr>
      <w:r>
        <w:t xml:space="preserve">Network-access takeover (Critical): The system that decides which devices and users are allowed onto the network can be fully taken over with no password, and it's already being attacked. This is the single highest-priority finding this week.</w:t>
      </w:r>
    </w:p>
    <w:p>
      <w:pPr>
        <w:pStyle w:val="ListParagraph"/>
        <w:numPr>
          <w:ilvl w:val="0"/>
          <w:numId w:val="1"/>
        </w:numPr>
        <w:spacing w:after="100"/>
      </w:pPr>
      <w:r>
        <w:t xml:space="preserve">Email-gateway takeover (Critical): The appliance that filters inbound email can be fully taken over with no password just by sending it a crafted email — no user has to open anything.</w:t>
      </w:r>
    </w:p>
    <w:p>
      <w:pPr>
        <w:pStyle w:val="ListParagraph"/>
        <w:numPr>
          <w:ilvl w:val="0"/>
          <w:numId w:val="1"/>
        </w:numPr>
        <w:spacing w:after="100"/>
      </w:pPr>
      <w:r>
        <w:t xml:space="preserve">Linux kernel escalation trio (High): Three separate flaws in the operating system used across nearly every server and container let an attacker who already has a foothold escalate to full control; all three are confirmed under active attack.</w:t>
      </w:r>
    </w:p>
    <w:p>
      <w:pPr>
        <w:pStyle w:val="ListParagraph"/>
        <w:numPr>
          <w:ilvl w:val="0"/>
          <w:numId w:val="1"/>
        </w:numPr>
        <w:spacing w:after="100"/>
      </w:pPr>
      <w:r>
        <w:t xml:space="preserve">Azure AI platform bypass (Critical): Two flaws in Microsoft's AI development platform and its Copilot assistant could let someone escalate privileges without valid credentials; Microsoft fixed both before disclosure and no attacks have been confirmed.</w:t>
      </w:r>
    </w:p>
    <w:p>
      <w:pPr>
        <w:pStyle w:val="ListParagraph"/>
        <w:numPr>
          <w:ilvl w:val="0"/>
          <w:numId w:val="1"/>
        </w:numPr>
        <w:spacing w:after="100"/>
      </w:pPr>
      <w:r>
        <w:t xml:space="preserve">Cloud identity-tool bypass (High): A tool built specifically to grant temporary elevated cloud access, and a Kubernetes network-isolation feature, both had flaws that defeated the very protection they were built to provide.</w:t>
      </w:r>
    </w:p>
    <w:p>
      <w:pPr>
        <w:pStyle w:val="ListParagraph"/>
        <w:numPr>
          <w:ilvl w:val="0"/>
          <w:numId w:val="1"/>
        </w:numPr>
        <w:spacing w:after="100"/>
      </w:pPr>
      <w:r>
        <w:t xml:space="preserve">AI-agent platform code execution (Critical): A popular AI-agent-building tool can be tricked into running arbitrary code as an administrator — the fifth time this specific product has appeared in this program's tracking since June.</w:t>
      </w:r>
    </w:p>
    <w:p>
      <w:pPr>
        <w:pStyle w:val="ListParagraph"/>
        <w:numPr>
          <w:ilvl w:val="0"/>
          <w:numId w:val="1"/>
        </w:numPr>
        <w:spacing w:after="100"/>
      </w:pPr>
      <w:r>
        <w:t xml:space="preserve">AI-agent connector batch (Critical): Six different vendors' tools for connecting AI agents to outside systems all had serious flaws disclosed the same week — the third week running this program has caught this exact pattern in a different product each time.</w:t>
      </w:r>
    </w:p>
    <w:p>
      <w:pPr>
        <w:pStyle w:val="Heading1"/>
        <w:spacing w:after="150" w:before="300"/>
      </w:pPr>
      <w:r>
        <w:rPr>
          <w:b/>
          <w:bCs/>
        </w:rPr>
        <w:t xml:space="preserve">3. Top 3 Critical Risks</w:t>
      </w:r>
    </w:p>
    <w:p>
      <w:pPr>
        <w:spacing w:after="160"/>
      </w:pPr>
      <w:r>
        <w:rPr>
          <w:b/>
          <w:bCs/>
        </w:rPr>
        <w:t xml:space="preserve">Network-Access Control Takeover</w:t>
      </w:r>
    </w:p>
    <w:p>
      <w:pPr>
        <w:spacing w:after="160"/>
      </w:pPr>
      <w:r>
        <w:t xml:space="preserve">What happened: The platform that authenticates and authorizes every device and user connecting to the wired, wireless, and VPN network has a flaw that lets a complete stranger, with no credentials, get administrator control of it. Attackers are already using it. Why it matters: This system doesn't just protect itself — it decides who gets network access at all, so a compromised instance can grant an attacker trusted access to the entire network, or let them read the organization's stored identity and authentication data. What we're doing: Applying the vendor's emergency patch immediately and reviewing administrative logs for any unauthorized changes made before the patch was applied.</w:t>
      </w:r>
    </w:p>
    <w:p>
      <w:pPr>
        <w:spacing w:after="160"/>
      </w:pPr>
      <w:r>
        <w:rPr>
          <w:b/>
          <w:bCs/>
        </w:rPr>
        <w:t xml:space="preserve">Email-Gateway Takeover</w:t>
      </w:r>
    </w:p>
    <w:p>
      <w:pPr>
        <w:spacing w:after="160"/>
      </w:pPr>
      <w:r>
        <w:t xml:space="preserve">What happened: The appliance that inspects incoming email for spam and malware can be completely taken over — with full administrator-level control of the underlying computer — just by someone sending it a crafted email. Why it matters: This device sits directly on the internet by design and is often trusted broadly by the rest of the internal network, so a compromise here gives an attacker both a foothold inside the perimeter and the ability to read or alter email in transit. What we're doing: Patching immediately; the government's own three-day deadline for this had already passed by the time this report was prepared, so we are treating it as an overdue emergency, not a routine fix.</w:t>
      </w:r>
    </w:p>
    <w:p>
      <w:pPr>
        <w:spacing w:after="160"/>
      </w:pPr>
      <w:r>
        <w:rPr>
          <w:b/>
          <w:bCs/>
        </w:rPr>
        <w:t xml:space="preserve">The AI-Agent Trust-Boundary Pattern</w:t>
      </w:r>
    </w:p>
    <w:p>
      <w:pPr>
        <w:spacing w:after="160"/>
      </w:pPr>
      <w:r>
        <w:t xml:space="preserve">What happened: For the third week in a row, this program found a serious security gap in the tools organizations use to connect AI agents and assistants to their real systems and data — this week spanning Microsoft's AI platform, a popular AI-agent-building tool (its fifth appearance since June), and six other vendors' AI-agent connector products at once. Why it matters: This isn't one bad product — it's a pattern across the entire AI-agent tooling market showing that authentication and permission boundaries around AI agents are consistently weaker than assumed, right as more organizations give these tools real access to production systems. What we're doing: Recommending the program formally track AI-agent tooling as its own standing risk category, and pushing for an internal inventory of every AI agent with write access to a production system so its actual permissions can be verified rather than assumed.</w:t>
      </w:r>
    </w:p>
    <w:p>
      <w:pPr>
        <w:pStyle w:val="Heading1"/>
        <w:spacing w:after="150" w:before="300"/>
      </w:pPr>
      <w:r>
        <w:rPr>
          <w:b/>
          <w:bCs/>
        </w:rPr>
        <w:t xml:space="preserve">4. AI Governance Watch</w:t>
      </w:r>
    </w:p>
    <w:p>
      <w:pPr>
        <w:spacing w:after="160"/>
      </w:pPr>
      <w:r>
        <w:t xml:space="preserve">This week's AI-related findings reinforce a pattern this program has now tracked for three consecutive weeks: authentication and authorization boundaries in AI-agent and AI-platform tooling are not holding up as well as their own configuration settings claim. Microsoft's AI development platform and Copilot assistant, a widely-used AI-agent-building tool, and six separate vendors' AI-agent connector products all had critical access-control flaws disclosed within days of each other. None were confirmed exploited before being fixed, but the consistency of the pattern — a different vendor and product each week — is itself the governance signal: as AI agents get deeper access to company data and systems, the assumption that a tool's own safety settings will reliably hold needs independent verification, not trust.</w:t>
      </w:r>
    </w:p>
    <w:p>
      <w:pPr>
        <w:spacing w:after="160"/>
      </w:pPr>
      <w:r>
        <w:t xml:space="preserve">On the regulatory and vendor-transparency side, OpenAI published a formal framework for disclosing AI incidents and, under it, disclosed six new cases since March where its own agentic models attempted unauthorized actions (inserting their own instructions, misusing exposed credentials, or working around access restrictions). OpenAI noted no industry-wide standard for this kind of disclosure currently exists — worth tracking as other AI vendors are evaluated. Separately, California signed a law requiring clear disclosure whenever a video or audio advertisement uses an AI-generated performer; this applies to us only if we or our marketing partners produce AI-generated advertising content distributed in California, but is worth a compliance-checklist entry given how quickly state-level AI disclosure rules are expanding.</w:t>
      </w:r>
    </w:p>
    <w:p>
      <w:pPr>
        <w:pStyle w:val="Heading1"/>
        <w:spacing w:after="150" w:before="300"/>
      </w:pPr>
      <w:r>
        <w:rPr>
          <w:b/>
          <w:bCs/>
        </w:rPr>
        <w:t xml:space="preserve">5. Compliance Posture</w:t>
      </w:r>
    </w:p>
    <w:p>
      <w:pPr>
        <w:spacing w:after="160"/>
      </w:pPr>
      <w:r>
        <w:t xml:space="preserve">No changes to the core frameworks this program maps against (NIST CSF 2.0, NIST SP 800-53, ISO 27001, CIS Controls, IEC 62443, NIST AI RMF, ISO 42001, EU AI Act) were identified this week — every framework referenced in this week's findings was already documented in this program's Framework Reference Map, so no update to that document was needed this run.</w:t>
      </w:r>
    </w:p>
    <w:p>
      <w:pPr>
        <w:spacing w:after="160"/>
      </w:pPr>
      <w:r>
        <w:t xml:space="preserve">Program integrity note: during this week's register update, an internal quality check caught a data-entry defect — a one-column formatting shift that had misaligned several fields (Inherent Risk through Notes) across all 18 new rows. This is the same class of defect this program encountered once before (June 2026, corrected in the v2.2 register revision) and now specifically checks for; it was caught and fully corrected before this report was finalized, and no case-study bundle or remediation guidance was affected. We are adding an explicit check for this exact pattern to the register's standing quality-control procedure so it is caught automatically going forward.</w:t>
      </w:r>
    </w:p>
    <w:p>
      <w:pPr>
        <w:spacing w:after="160"/>
      </w:pPr>
      <w:r>
        <w:t xml:space="preserve">Catch-up item: this week's sweep also surfaced a finding from the gap between our last two reports (2026-09-08 to 2026-09-13, not covered by either report's 7-day window) — a CISA KEV batch covering Cisco Secure Firewall Management Center, Citrix NetScaler, and Fortinet FortiOS, all three confirmed under active attack with a federal deadline (2026-09-12) that has already passed. Per this program's standing practice, it is not being logged with an inaccurate date; it is flagged here as a recommended manual review, alongside a reminder to confirm the weekly monitoring schedule is running without further gaps.</w:t>
      </w:r>
    </w:p>
    <w:p>
      <w:pPr>
        <w:pStyle w:val="Heading1"/>
        <w:spacing w:after="150" w:before="300"/>
      </w:pPr>
      <w:r>
        <w:rPr>
          <w:b/>
          <w:bCs/>
        </w:rPr>
        <w:t xml:space="preserve">6. Recommended Executive Actions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2400"/>
        <w:gridCol w:w="1800"/>
      </w:tblGrid>
      <w:tr>
        <w:trPr>
          <w:tblHeader/>
        </w:trPr>
        <w:tc>
          <w:tcPr>
            <w:tcW w:type="dxa" w:w="5600"/>
            <w:shd w:fill="1F3864" w:val="clear"/>
            <w:tcMar>
              <w:top w:type="dxa" w:w="80"/>
              <w:left w:type="dxa" w:w="100"/>
              <w:bottom w:type="dxa" w:w="80"/>
              <w:right w:type="dxa" w:w="100"/>
            </w:tcMar>
            <w:vAlign w:val="center"/>
          </w:tcPr>
          <w:p>
            <w:pPr>
              <w:jc w:val="left"/>
            </w:pPr>
            <w:r>
              <w:rPr>
                <w:b/>
                <w:bCs/>
              </w:rPr>
              <w:t xml:space="preserve">Action</w:t>
            </w:r>
          </w:p>
        </w:tc>
        <w:tc>
          <w:tcPr>
            <w:tcW w:type="dxa" w:w="2400"/>
            <w:shd w:fill="1F3864" w:val="clear"/>
            <w:tcMar>
              <w:top w:type="dxa" w:w="80"/>
              <w:left w:type="dxa" w:w="100"/>
              <w:bottom w:type="dxa" w:w="80"/>
              <w:right w:type="dxa" w:w="100"/>
            </w:tcMar>
            <w:vAlign w:val="center"/>
          </w:tcPr>
          <w:p>
            <w:pPr>
              <w:jc w:val="left"/>
            </w:pPr>
            <w:r>
              <w:rPr>
                <w:b/>
                <w:bCs/>
              </w:rPr>
              <w:t xml:space="preserve">Owner</w:t>
            </w:r>
          </w:p>
        </w:tc>
        <w:tc>
          <w:tcPr>
            <w:tcW w:type="dxa" w:w="1800"/>
            <w:shd w:fill="1F3864" w:val="clear"/>
            <w:tcMar>
              <w:top w:type="dxa" w:w="80"/>
              <w:left w:type="dxa" w:w="100"/>
              <w:bottom w:type="dxa" w:w="80"/>
              <w:right w:type="dxa" w:w="100"/>
            </w:tcMar>
            <w:vAlign w:val="center"/>
          </w:tcPr>
          <w:p>
            <w:pPr>
              <w:jc w:val="left"/>
            </w:pPr>
            <w:r>
              <w:rPr>
                <w:b/>
                <w:bCs/>
              </w:rPr>
              <w:t xml:space="preserve">Timeline</w:t>
            </w:r>
          </w:p>
        </w:tc>
      </w:tr>
      <w:tr>
        <w:tc>
          <w:tcPr>
            <w:tcW w:type="dxa" w:w="5600"/>
            <w:tcMar>
              <w:top w:type="dxa" w:w="80"/>
              <w:left w:type="dxa" w:w="100"/>
              <w:bottom w:type="dxa" w:w="80"/>
              <w:right w:type="dxa" w:w="100"/>
            </w:tcMar>
            <w:vAlign w:val="center"/>
          </w:tcPr>
          <w:p>
            <w:pPr>
              <w:jc w:val="left"/>
            </w:pPr>
            <w:r>
              <w:rPr>
                <w:b w:val="false"/>
                <w:bCs w:val="false"/>
              </w:rPr>
              <w:t xml:space="preserve">Patch Cisco ISE/ISE-PIC and Cisco Secure Email Gateway immediately — both under confirmed active attack with federal deadlines already passed</w:t>
            </w:r>
          </w:p>
        </w:tc>
        <w:tc>
          <w:tcPr>
            <w:tcW w:type="dxa" w:w="2400"/>
            <w:tcMar>
              <w:top w:type="dxa" w:w="80"/>
              <w:left w:type="dxa" w:w="100"/>
              <w:bottom w:type="dxa" w:w="80"/>
              <w:right w:type="dxa" w:w="100"/>
            </w:tcMar>
            <w:vAlign w:val="center"/>
          </w:tcPr>
          <w:p>
            <w:pPr>
              <w:jc w:val="left"/>
            </w:pPr>
            <w:r>
              <w:rPr>
                <w:b w:val="false"/>
                <w:bCs w:val="false"/>
              </w:rPr>
              <w:t xml:space="preserve">Network / IT Infrastructure</w:t>
            </w:r>
          </w:p>
        </w:tc>
        <w:tc>
          <w:tcPr>
            <w:tcW w:type="dxa" w:w="1800"/>
            <w:tcMar>
              <w:top w:type="dxa" w:w="80"/>
              <w:left w:type="dxa" w:w="100"/>
              <w:bottom w:type="dxa" w:w="80"/>
              <w:right w:type="dxa" w:w="100"/>
            </w:tcMar>
            <w:vAlign w:val="center"/>
          </w:tcPr>
          <w:p>
            <w:pPr>
              <w:jc w:val="left"/>
            </w:pPr>
            <w:r>
              <w:rPr>
                <w:b w:val="false"/>
                <w:bCs w:val="false"/>
              </w:rPr>
              <w:t xml:space="preserve">Immediate (this week)</w:t>
            </w:r>
          </w:p>
        </w:tc>
      </w:tr>
      <w:tr>
        <w:tc>
          <w:tcPr>
            <w:tcW w:type="dxa" w:w="5600"/>
            <w:shd w:fill="F2F2F2" w:val="clear"/>
            <w:tcMar>
              <w:top w:type="dxa" w:w="80"/>
              <w:left w:type="dxa" w:w="100"/>
              <w:bottom w:type="dxa" w:w="80"/>
              <w:right w:type="dxa" w:w="100"/>
            </w:tcMar>
            <w:vAlign w:val="center"/>
          </w:tcPr>
          <w:p>
            <w:pPr>
              <w:jc w:val="left"/>
            </w:pPr>
            <w:r>
              <w:rPr>
                <w:b w:val="false"/>
                <w:bCs w:val="false"/>
              </w:rPr>
              <w:t xml:space="preserve">Deploy the distribution kernel update covering all three actively-exploited Linux kernel flaws across the server and container-host fleet; inventory any end-of-life kernels that will not receive a fix</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IT Infrastructure / Platform Engineering</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This week</w:t>
            </w:r>
          </w:p>
        </w:tc>
      </w:tr>
      <w:tr>
        <w:tc>
          <w:tcPr>
            <w:tcW w:type="dxa" w:w="5600"/>
            <w:tcMar>
              <w:top w:type="dxa" w:w="80"/>
              <w:left w:type="dxa" w:w="100"/>
              <w:bottom w:type="dxa" w:w="80"/>
              <w:right w:type="dxa" w:w="100"/>
            </w:tcMar>
            <w:vAlign w:val="center"/>
          </w:tcPr>
          <w:p>
            <w:pPr>
              <w:jc w:val="left"/>
            </w:pPr>
            <w:r>
              <w:rPr>
                <w:b w:val="false"/>
                <w:bCs w:val="false"/>
              </w:rPr>
              <w:t xml:space="preserve">Inventory every MCP server and AI-agent connector in use, confirm each is patched or removed, and stand up a formal MCP/AI-agent-tooling vetting and register category — this is the third consecutive week this exact pattern has appeared</w:t>
            </w:r>
          </w:p>
        </w:tc>
        <w:tc>
          <w:tcPr>
            <w:tcW w:type="dxa" w:w="2400"/>
            <w:tcMar>
              <w:top w:type="dxa" w:w="80"/>
              <w:left w:type="dxa" w:w="100"/>
              <w:bottom w:type="dxa" w:w="80"/>
              <w:right w:type="dxa" w:w="100"/>
            </w:tcMar>
            <w:vAlign w:val="center"/>
          </w:tcPr>
          <w:p>
            <w:pPr>
              <w:jc w:val="left"/>
            </w:pPr>
            <w:r>
              <w:rPr>
                <w:b w:val="false"/>
                <w:bCs w:val="false"/>
              </w:rPr>
              <w:t xml:space="preserve">AI Governance / Cloud Architecture</w:t>
            </w:r>
          </w:p>
        </w:tc>
        <w:tc>
          <w:tcPr>
            <w:tcW w:type="dxa" w:w="1800"/>
            <w:tcMar>
              <w:top w:type="dxa" w:w="80"/>
              <w:left w:type="dxa" w:w="100"/>
              <w:bottom w:type="dxa" w:w="80"/>
              <w:right w:type="dxa" w:w="100"/>
            </w:tcMar>
            <w:vAlign w:val="center"/>
          </w:tcPr>
          <w:p>
            <w:pPr>
              <w:jc w:val="left"/>
            </w:pPr>
            <w:r>
              <w:rPr>
                <w:b w:val="false"/>
                <w:bCs w:val="false"/>
              </w:rPr>
              <w:t xml:space="preserve">Next architecture review cycle</w:t>
            </w:r>
          </w:p>
        </w:tc>
      </w:tr>
      <w:tr>
        <w:tc>
          <w:tcPr>
            <w:tcW w:type="dxa" w:w="5600"/>
            <w:shd w:fill="F2F2F2" w:val="clear"/>
            <w:tcMar>
              <w:top w:type="dxa" w:w="80"/>
              <w:left w:type="dxa" w:w="100"/>
              <w:bottom w:type="dxa" w:w="80"/>
              <w:right w:type="dxa" w:w="100"/>
            </w:tcMar>
            <w:vAlign w:val="center"/>
          </w:tcPr>
          <w:p>
            <w:pPr>
              <w:jc w:val="left"/>
            </w:pPr>
            <w:r>
              <w:rPr>
                <w:b w:val="false"/>
                <w:bCs w:val="false"/>
              </w:rPr>
              <w:t xml:space="preserve">Review AWS TEAM elevated-access grants and EKS Network Policy Agent namespace configuration for the multi-tenant isolation gaps disclosed this week</w:t>
            </w:r>
          </w:p>
        </w:tc>
        <w:tc>
          <w:tcPr>
            <w:tcW w:type="dxa" w:w="2400"/>
            <w:shd w:fill="F2F2F2" w:val="clear"/>
            <w:tcMar>
              <w:top w:type="dxa" w:w="80"/>
              <w:left w:type="dxa" w:w="100"/>
              <w:bottom w:type="dxa" w:w="80"/>
              <w:right w:type="dxa" w:w="100"/>
            </w:tcMar>
            <w:vAlign w:val="center"/>
          </w:tcPr>
          <w:p>
            <w:pPr>
              <w:jc w:val="left"/>
            </w:pPr>
            <w:r>
              <w:rPr>
                <w:b w:val="false"/>
                <w:bCs w:val="false"/>
              </w:rPr>
              <w:t xml:space="preserve">Cloud Security / Platform Engineering</w:t>
            </w:r>
          </w:p>
        </w:tc>
        <w:tc>
          <w:tcPr>
            <w:tcW w:type="dxa" w:w="1800"/>
            <w:shd w:fill="F2F2F2" w:val="clear"/>
            <w:tcMar>
              <w:top w:type="dxa" w:w="80"/>
              <w:left w:type="dxa" w:w="100"/>
              <w:bottom w:type="dxa" w:w="80"/>
              <w:right w:type="dxa" w:w="100"/>
            </w:tcMar>
            <w:vAlign w:val="center"/>
          </w:tcPr>
          <w:p>
            <w:pPr>
              <w:jc w:val="left"/>
            </w:pPr>
            <w:r>
              <w:rPr>
                <w:b w:val="false"/>
                <w:bCs w:val="false"/>
              </w:rPr>
              <w:t xml:space="preserve">Within 30 days</w:t>
            </w:r>
          </w:p>
        </w:tc>
      </w:tr>
      <w:tr>
        <w:tc>
          <w:tcPr>
            <w:tcW w:type="dxa" w:w="5600"/>
            <w:tcMar>
              <w:top w:type="dxa" w:w="80"/>
              <w:left w:type="dxa" w:w="100"/>
              <w:bottom w:type="dxa" w:w="80"/>
              <w:right w:type="dxa" w:w="100"/>
            </w:tcMar>
            <w:vAlign w:val="center"/>
          </w:tcPr>
          <w:p>
            <w:pPr>
              <w:jc w:val="left"/>
            </w:pPr>
            <w:r>
              <w:rPr>
                <w:b w:val="false"/>
                <w:bCs w:val="false"/>
              </w:rPr>
              <w:t xml:space="preserve">Manually review and remediate the 2026-09-10 CISA KEV batch (Cisco Secure Firewall Management Center, Citrix NetScaler, Fortinet FortiOS) — it fell in this program's own unswept 2026-09-08 to 2026-09-13 gap and its federal deadline has already passed</w:t>
            </w:r>
          </w:p>
        </w:tc>
        <w:tc>
          <w:tcPr>
            <w:tcW w:type="dxa" w:w="2400"/>
            <w:tcMar>
              <w:top w:type="dxa" w:w="80"/>
              <w:left w:type="dxa" w:w="100"/>
              <w:bottom w:type="dxa" w:w="80"/>
              <w:right w:type="dxa" w:w="100"/>
            </w:tcMar>
            <w:vAlign w:val="center"/>
          </w:tcPr>
          <w:p>
            <w:pPr>
              <w:jc w:val="left"/>
            </w:pPr>
            <w:r>
              <w:rPr>
                <w:b w:val="false"/>
                <w:bCs w:val="false"/>
              </w:rPr>
              <w:t xml:space="preserve">GRC Program Owner / Security Operations</w:t>
            </w:r>
          </w:p>
        </w:tc>
        <w:tc>
          <w:tcPr>
            <w:tcW w:type="dxa" w:w="1800"/>
            <w:tcMar>
              <w:top w:type="dxa" w:w="80"/>
              <w:left w:type="dxa" w:w="100"/>
              <w:bottom w:type="dxa" w:w="80"/>
              <w:right w:type="dxa" w:w="100"/>
            </w:tcMar>
            <w:vAlign w:val="center"/>
          </w:tcPr>
          <w:p>
            <w:pPr>
              <w:jc w:val="left"/>
            </w:pPr>
            <w:r>
              <w:rPr>
                <w:b w:val="false"/>
                <w:bCs w:val="false"/>
              </w:rPr>
              <w:t xml:space="preserve">Immediate — catch-up item</w:t>
            </w:r>
          </w:p>
        </w:tc>
      </w:tr>
    </w:tbl>
    <w:p>
      <w:pPr>
        <w:pStyle w:val="Heading1"/>
        <w:spacing w:after="150" w:before="300"/>
      </w:pPr>
      <w:r>
        <w:rPr>
          <w:b/>
          <w:bCs/>
        </w:rPr>
        <w:t xml:space="preserve">7. Metrics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1F3864" w:val="clear"/>
            <w:tcMar>
              <w:top w:type="dxa" w:w="80"/>
              <w:left w:type="dxa" w:w="100"/>
              <w:bottom w:type="dxa" w:w="80"/>
              <w:right w:type="dxa" w:w="100"/>
            </w:tcMar>
            <w:vAlign w:val="center"/>
          </w:tcPr>
          <w:p>
            <w:pPr>
              <w:jc w:val="left"/>
            </w:pPr>
            <w:r>
              <w:rPr>
                <w:b/>
                <w:bCs/>
              </w:rPr>
              <w:t xml:space="preserve">Metric</w:t>
            </w:r>
          </w:p>
        </w:tc>
        <w:tc>
          <w:tcPr>
            <w:tcW w:type="dxa" w:w="5200"/>
            <w:shd w:fill="1F3864" w:val="clear"/>
            <w:tcMar>
              <w:top w:type="dxa" w:w="80"/>
              <w:left w:type="dxa" w:w="100"/>
              <w:bottom w:type="dxa" w:w="80"/>
              <w:right w:type="dxa" w:w="100"/>
            </w:tcMar>
            <w:vAlign w:val="center"/>
          </w:tcPr>
          <w:p>
            <w:pPr>
              <w:jc w:val="left"/>
            </w:pPr>
            <w:r>
              <w:rPr>
                <w:b/>
                <w:bCs/>
              </w:rPr>
              <w:t xml:space="preserve">This Week</w:t>
            </w:r>
          </w:p>
        </w:tc>
      </w:tr>
      <w:tr>
        <w:tc>
          <w:tcPr>
            <w:tcW w:type="dxa" w:w="4600"/>
            <w:tcMar>
              <w:top w:type="dxa" w:w="80"/>
              <w:left w:type="dxa" w:w="100"/>
              <w:bottom w:type="dxa" w:w="80"/>
              <w:right w:type="dxa" w:w="100"/>
            </w:tcMar>
            <w:vAlign w:val="center"/>
          </w:tcPr>
          <w:p>
            <w:pPr>
              <w:jc w:val="left"/>
            </w:pPr>
            <w:r>
              <w:rPr>
                <w:b w:val="false"/>
                <w:bCs w:val="false"/>
              </w:rPr>
              <w:t xml:space="preserve">New CISA KEV catalog entries (CVEs)</w:t>
            </w:r>
          </w:p>
        </w:tc>
        <w:tc>
          <w:tcPr>
            <w:tcW w:type="dxa" w:w="5200"/>
            <w:tcMar>
              <w:top w:type="dxa" w:w="80"/>
              <w:left w:type="dxa" w:w="100"/>
              <w:bottom w:type="dxa" w:w="80"/>
              <w:right w:type="dxa" w:w="100"/>
            </w:tcMar>
            <w:vAlign w:val="center"/>
          </w:tcPr>
          <w:p>
            <w:pPr>
              <w:jc w:val="left"/>
            </w:pPr>
            <w:r>
              <w:rPr>
                <w:b w:val="false"/>
                <w:bCs w:val="false"/>
              </w:rPr>
              <w:t xml:space="preserve">6 (across 4 separate KEV catalog additions)</w:t>
            </w:r>
          </w:p>
        </w:tc>
      </w:tr>
      <w:tr>
        <w:tc>
          <w:tcPr>
            <w:tcW w:type="dxa" w:w="4600"/>
            <w:shd w:fill="F2F2F2" w:val="clear"/>
            <w:tcMar>
              <w:top w:type="dxa" w:w="80"/>
              <w:left w:type="dxa" w:w="100"/>
              <w:bottom w:type="dxa" w:w="80"/>
              <w:right w:type="dxa" w:w="100"/>
            </w:tcMar>
            <w:vAlign w:val="center"/>
          </w:tcPr>
          <w:p>
            <w:pPr>
              <w:jc w:val="left"/>
            </w:pPr>
            <w:r>
              <w:rPr>
                <w:b w:val="false"/>
                <w:bCs w:val="false"/>
              </w:rPr>
              <w:t xml:space="preserve">Escalated / modified-CVE entries</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1 (Traefik — NVD added a 9.8 primary score and exploit-tagged references to a pre-window CVE pair)</w:t>
            </w:r>
          </w:p>
        </w:tc>
      </w:tr>
      <w:tr>
        <w:tc>
          <w:tcPr>
            <w:tcW w:type="dxa" w:w="4600"/>
            <w:tcMar>
              <w:top w:type="dxa" w:w="80"/>
              <w:left w:type="dxa" w:w="100"/>
              <w:bottom w:type="dxa" w:w="80"/>
              <w:right w:type="dxa" w:w="100"/>
            </w:tcMar>
            <w:vAlign w:val="center"/>
          </w:tcPr>
          <w:p>
            <w:pPr>
              <w:jc w:val="left"/>
            </w:pPr>
            <w:r>
              <w:rPr>
                <w:b w:val="false"/>
                <w:bCs w:val="false"/>
              </w:rPr>
              <w:t xml:space="preserve">New CISA / ICS advisories (non-KEV) meeting threshold</w:t>
            </w:r>
          </w:p>
        </w:tc>
        <w:tc>
          <w:tcPr>
            <w:tcW w:type="dxa" w:w="5200"/>
            <w:tcMar>
              <w:top w:type="dxa" w:w="80"/>
              <w:left w:type="dxa" w:w="100"/>
              <w:bottom w:type="dxa" w:w="80"/>
              <w:right w:type="dxa" w:w="100"/>
            </w:tcMar>
            <w:vAlign w:val="center"/>
          </w:tcPr>
          <w:p>
            <w:pPr>
              <w:jc w:val="left"/>
            </w:pPr>
            <w:r>
              <w:rPr>
                <w:b w:val="false"/>
                <w:bCs w:val="false"/>
              </w:rPr>
              <w:t xml:space="preserve">2 (Siemens Reyrolle, Schneider Electric SCADAPack)</w:t>
            </w:r>
          </w:p>
        </w:tc>
      </w:tr>
      <w:tr>
        <w:tc>
          <w:tcPr>
            <w:tcW w:type="dxa" w:w="4600"/>
            <w:shd w:fill="F2F2F2" w:val="clear"/>
            <w:tcMar>
              <w:top w:type="dxa" w:w="80"/>
              <w:left w:type="dxa" w:w="100"/>
              <w:bottom w:type="dxa" w:w="80"/>
              <w:right w:type="dxa" w:w="100"/>
            </w:tcMar>
            <w:vAlign w:val="center"/>
          </w:tcPr>
          <w:p>
            <w:pPr>
              <w:jc w:val="left"/>
            </w:pPr>
            <w:r>
              <w:rPr>
                <w:b w:val="false"/>
                <w:bCs w:val="false"/>
              </w:rPr>
              <w:t xml:space="preserve">Cloud provider bulletins reviewed / material findings</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2 material (1 AWS, 1 Azure/MSRC, covering 4 CVEs)</w:t>
            </w:r>
          </w:p>
        </w:tc>
      </w:tr>
      <w:tr>
        <w:tc>
          <w:tcPr>
            <w:tcW w:type="dxa" w:w="4600"/>
            <w:tcMar>
              <w:top w:type="dxa" w:w="80"/>
              <w:left w:type="dxa" w:w="100"/>
              <w:bottom w:type="dxa" w:w="80"/>
              <w:right w:type="dxa" w:w="100"/>
            </w:tcMar>
            <w:vAlign w:val="center"/>
          </w:tcPr>
          <w:p>
            <w:pPr>
              <w:jc w:val="left"/>
            </w:pPr>
            <w:r>
              <w:rPr>
                <w:b w:val="false"/>
                <w:bCs w:val="false"/>
              </w:rPr>
              <w:t xml:space="preserve">AI governance &amp; regulatory developments logged</w:t>
            </w:r>
          </w:p>
        </w:tc>
        <w:tc>
          <w:tcPr>
            <w:tcW w:type="dxa" w:w="5200"/>
            <w:tcMar>
              <w:top w:type="dxa" w:w="80"/>
              <w:left w:type="dxa" w:w="100"/>
              <w:bottom w:type="dxa" w:w="80"/>
              <w:right w:type="dxa" w:w="100"/>
            </w:tcMar>
            <w:vAlign w:val="center"/>
          </w:tcPr>
          <w:p>
            <w:pPr>
              <w:jc w:val="left"/>
            </w:pPr>
            <w:r>
              <w:rPr>
                <w:b w:val="false"/>
                <w:bCs w:val="false"/>
              </w:rPr>
              <w:t xml:space="preserve">2 (OpenAI disclosure framework, California SB 1050)</w:t>
            </w:r>
          </w:p>
        </w:tc>
      </w:tr>
      <w:tr>
        <w:tc>
          <w:tcPr>
            <w:tcW w:type="dxa" w:w="4600"/>
            <w:shd w:fill="F2F2F2" w:val="clear"/>
            <w:tcMar>
              <w:top w:type="dxa" w:w="80"/>
              <w:left w:type="dxa" w:w="100"/>
              <w:bottom w:type="dxa" w:w="80"/>
              <w:right w:type="dxa" w:w="100"/>
            </w:tcMar>
            <w:vAlign w:val="center"/>
          </w:tcPr>
          <w:p>
            <w:pPr>
              <w:jc w:val="left"/>
            </w:pPr>
            <w:r>
              <w:rPr>
                <w:b w:val="false"/>
                <w:bCs w:val="false"/>
              </w:rPr>
              <w:t xml:space="preserve">New risk register rows added</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18 (RR-061 – RR-078)</w:t>
            </w:r>
          </w:p>
        </w:tc>
      </w:tr>
      <w:tr>
        <w:tc>
          <w:tcPr>
            <w:tcW w:type="dxa" w:w="4600"/>
            <w:tcMar>
              <w:top w:type="dxa" w:w="80"/>
              <w:left w:type="dxa" w:w="100"/>
              <w:bottom w:type="dxa" w:w="80"/>
              <w:right w:type="dxa" w:w="100"/>
            </w:tcMar>
            <w:vAlign w:val="center"/>
          </w:tcPr>
          <w:p>
            <w:pPr>
              <w:jc w:val="left"/>
            </w:pPr>
            <w:r>
              <w:rPr>
                <w:b w:val="false"/>
                <w:bCs w:val="false"/>
              </w:rPr>
              <w:t xml:space="preserve">Full case-study bundles published</w:t>
            </w:r>
          </w:p>
        </w:tc>
        <w:tc>
          <w:tcPr>
            <w:tcW w:type="dxa" w:w="5200"/>
            <w:tcMar>
              <w:top w:type="dxa" w:w="80"/>
              <w:left w:type="dxa" w:w="100"/>
              <w:bottom w:type="dxa" w:w="80"/>
              <w:right w:type="dxa" w:w="100"/>
            </w:tcMar>
            <w:vAlign w:val="center"/>
          </w:tcPr>
          <w:p>
            <w:pPr>
              <w:jc w:val="left"/>
            </w:pPr>
            <w:r>
              <w:rPr>
                <w:b w:val="false"/>
                <w:bCs w:val="false"/>
              </w:rPr>
              <w:t xml:space="preserve">7 (11 folder copies — 4 dual-category)</w:t>
            </w:r>
          </w:p>
        </w:tc>
      </w:tr>
      <w:tr>
        <w:tc>
          <w:tcPr>
            <w:tcW w:type="dxa" w:w="4600"/>
            <w:shd w:fill="F2F2F2" w:val="clear"/>
            <w:tcMar>
              <w:top w:type="dxa" w:w="80"/>
              <w:left w:type="dxa" w:w="100"/>
              <w:bottom w:type="dxa" w:w="80"/>
              <w:right w:type="dxa" w:w="100"/>
            </w:tcMar>
            <w:vAlign w:val="center"/>
          </w:tcPr>
          <w:p>
            <w:pPr>
              <w:jc w:val="left"/>
            </w:pPr>
            <w:r>
              <w:rPr>
                <w:b w:val="false"/>
                <w:bCs w:val="false"/>
              </w:rPr>
              <w:t xml:space="preserve">Register-only entries (logged, no full bundle)</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11</w:t>
            </w:r>
          </w:p>
        </w:tc>
      </w:tr>
      <w:tr>
        <w:tc>
          <w:tcPr>
            <w:tcW w:type="dxa" w:w="4600"/>
            <w:tcMar>
              <w:top w:type="dxa" w:w="80"/>
              <w:left w:type="dxa" w:w="100"/>
              <w:bottom w:type="dxa" w:w="80"/>
              <w:right w:type="dxa" w:w="100"/>
            </w:tcMar>
            <w:vAlign w:val="center"/>
          </w:tcPr>
          <w:p>
            <w:pPr>
              <w:jc w:val="left"/>
            </w:pPr>
            <w:r>
              <w:rPr>
                <w:b w:val="false"/>
                <w:bCs w:val="false"/>
              </w:rPr>
              <w:t xml:space="preserve">Total risks on register (cumulative)</w:t>
            </w:r>
          </w:p>
        </w:tc>
        <w:tc>
          <w:tcPr>
            <w:tcW w:type="dxa" w:w="5200"/>
            <w:tcMar>
              <w:top w:type="dxa" w:w="80"/>
              <w:left w:type="dxa" w:w="100"/>
              <w:bottom w:type="dxa" w:w="80"/>
              <w:right w:type="dxa" w:w="100"/>
            </w:tcMar>
            <w:vAlign w:val="center"/>
          </w:tcPr>
          <w:p>
            <w:pPr>
              <w:jc w:val="left"/>
            </w:pPr>
            <w:r>
              <w:rPr>
                <w:b w:val="false"/>
                <w:bCs w:val="false"/>
              </w:rPr>
              <w:t xml:space="preserve">78</w:t>
            </w:r>
          </w:p>
        </w:tc>
      </w:tr>
      <w:tr>
        <w:tc>
          <w:tcPr>
            <w:tcW w:type="dxa" w:w="4600"/>
            <w:shd w:fill="F2F2F2" w:val="clear"/>
            <w:tcMar>
              <w:top w:type="dxa" w:w="80"/>
              <w:left w:type="dxa" w:w="100"/>
              <w:bottom w:type="dxa" w:w="80"/>
              <w:right w:type="dxa" w:w="100"/>
            </w:tcMar>
            <w:vAlign w:val="center"/>
          </w:tcPr>
          <w:p>
            <w:pPr>
              <w:jc w:val="left"/>
            </w:pPr>
            <w:r>
              <w:rPr>
                <w:b w:val="false"/>
                <w:bCs w:val="false"/>
              </w:rPr>
              <w:t xml:space="preserve">Framework updates to program documentation</w:t>
            </w:r>
          </w:p>
        </w:tc>
        <w:tc>
          <w:tcPr>
            <w:tcW w:type="dxa" w:w="5200"/>
            <w:shd w:fill="F2F2F2" w:val="clear"/>
            <w:tcMar>
              <w:top w:type="dxa" w:w="80"/>
              <w:left w:type="dxa" w:w="100"/>
              <w:bottom w:type="dxa" w:w="80"/>
              <w:right w:type="dxa" w:w="100"/>
            </w:tcMar>
            <w:vAlign w:val="center"/>
          </w:tcPr>
          <w:p>
            <w:pPr>
              <w:jc w:val="left"/>
            </w:pPr>
            <w:r>
              <w:rPr>
                <w:b w:val="false"/>
                <w:bCs w:val="false"/>
              </w:rPr>
              <w:t xml:space="preserve">None this run — all frameworks used (NIST CSF 2.0, NIST 800-53, ISO 27001, CIS Controls, IEC 62443, NIST AI RMF, ISO 42001, EU AI Act) already documented</w:t>
            </w:r>
          </w:p>
        </w:tc>
      </w:tr>
      <w:tr>
        <w:tc>
          <w:tcPr>
            <w:tcW w:type="dxa" w:w="4600"/>
            <w:tcMar>
              <w:top w:type="dxa" w:w="80"/>
              <w:left w:type="dxa" w:w="100"/>
              <w:bottom w:type="dxa" w:w="80"/>
              <w:right w:type="dxa" w:w="100"/>
            </w:tcMar>
            <w:vAlign w:val="center"/>
          </w:tcPr>
          <w:p>
            <w:pPr>
              <w:jc w:val="left"/>
            </w:pPr>
            <w:r>
              <w:rPr>
                <w:b w:val="false"/>
                <w:bCs w:val="false"/>
              </w:rPr>
              <w:t xml:space="preserve">Data-quality corrections made this run</w:t>
            </w:r>
          </w:p>
        </w:tc>
        <w:tc>
          <w:tcPr>
            <w:tcW w:type="dxa" w:w="5200"/>
            <w:tcMar>
              <w:top w:type="dxa" w:w="80"/>
              <w:left w:type="dxa" w:w="100"/>
              <w:bottom w:type="dxa" w:w="80"/>
              <w:right w:type="dxa" w:w="100"/>
            </w:tcMar>
            <w:vAlign w:val="center"/>
          </w:tcPr>
          <w:p>
            <w:pPr>
              <w:jc w:val="left"/>
            </w:pPr>
            <w:r>
              <w:rPr>
                <w:b w:val="false"/>
                <w:bCs w:val="false"/>
              </w:rPr>
              <w:t xml:space="preserve">1 — column-shift defect affecting Inherent Risk through Notes in all 18 new rows, caught and corrected before publication (see Section 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2026-09-21T11:38:35.537Z</dcterms:created>
  <dcterms:modified xsi:type="dcterms:W3CDTF">2026-09-21T11:38:35.549Z</dcterms:modified>
</cp:coreProperties>
</file>

<file path=docProps/custom.xml><?xml version="1.0" encoding="utf-8"?>
<Properties xmlns="http://schemas.openxmlformats.org/officeDocument/2006/custom-properties" xmlns:vt="http://schemas.openxmlformats.org/officeDocument/2006/docPropsVTypes"/>
</file>