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1F4E78"/>
          <w:sz w:val="32"/>
          <w:szCs w:val="32"/>
        </w:rPr>
        <w:t xml:space="preserve">GRC INTELLIGENCE PROGRAM</w:t>
      </w:r>
    </w:p>
    <w:p>
      <w:pPr>
        <w:spacing w:after="200"/>
        <w:jc w:val="left"/>
      </w:pPr>
      <w:r>
        <w:rPr>
          <w:b/>
          <w:bCs/>
          <w:sz w:val="26"/>
          <w:szCs w:val="26"/>
        </w:rPr>
        <w:t xml:space="preserve">Weekly Executive Report</w:t>
      </w:r>
    </w:p>
    <w:p>
      <w:pPr>
        <w:spacing w:after="240"/>
      </w:pPr>
      <w:r>
        <w:rPr>
          <w:i/>
          <w:iCs/>
          <w:color w:val="555555"/>
          <w:sz w:val="18"/>
          <w:szCs w:val="18"/>
        </w:rPr>
        <w:t xml:space="preserve">Report Period: June 15 – June 22, 2026  |  Run: Monday 05:00 AM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4E78" w:sz="1"/>
              <w:left w:val="single" w:color="1F4E78" w:sz="1"/>
              <w:bottom w:val="single" w:color="1F4E78" w:sz="1"/>
              <w:right w:val="single" w:color="1F4E78" w:sz="1"/>
            </w:tcBorders>
            <w:shd w:fill="1F4E78" w:val="clear"/>
            <w:tcMar>
              <w:top w:type="dxa" w:w="80"/>
              <w:left w:type="dxa" w:w="100"/>
              <w:bottom w:type="dxa" w:w="80"/>
              <w:right w:type="dxa" w:w="100"/>
            </w:tcMar>
            <w:vAlign w:val="center"/>
          </w:tcPr>
          <w:p>
            <w:r>
              <w:rPr>
                <w:b/>
                <w:bCs/>
                <w:color w:val="FFFFFF"/>
                <w:sz w:val="18"/>
                <w:szCs w:val="18"/>
              </w:rPr>
              <w:t xml:space="preserve">New Cases</w:t>
            </w:r>
          </w:p>
        </w:tc>
        <w:tc>
          <w:tcPr>
            <w:tcW w:type="dxa" w:w="1872"/>
            <w:tcBorders>
              <w:top w:val="single" w:color="1F4E78" w:sz="1"/>
              <w:left w:val="single" w:color="1F4E78" w:sz="1"/>
              <w:bottom w:val="single" w:color="1F4E78" w:sz="1"/>
              <w:right w:val="single" w:color="1F4E78" w:sz="1"/>
            </w:tcBorders>
            <w:shd w:fill="1F4E78" w:val="clear"/>
            <w:tcMar>
              <w:top w:type="dxa" w:w="80"/>
              <w:left w:type="dxa" w:w="100"/>
              <w:bottom w:type="dxa" w:w="80"/>
              <w:right w:type="dxa" w:w="100"/>
            </w:tcMar>
            <w:vAlign w:val="center"/>
          </w:tcPr>
          <w:p>
            <w:r>
              <w:rPr>
                <w:b/>
                <w:bCs/>
                <w:color w:val="FFFFFF"/>
                <w:sz w:val="18"/>
                <w:szCs w:val="18"/>
              </w:rPr>
              <w:t xml:space="preserve">Escalated Cases</w:t>
            </w:r>
          </w:p>
        </w:tc>
        <w:tc>
          <w:tcPr>
            <w:tcW w:type="dxa" w:w="1872"/>
            <w:tcBorders>
              <w:top w:val="single" w:color="1F4E78" w:sz="1"/>
              <w:left w:val="single" w:color="1F4E78" w:sz="1"/>
              <w:bottom w:val="single" w:color="1F4E78" w:sz="1"/>
              <w:right w:val="single" w:color="1F4E78" w:sz="1"/>
            </w:tcBorders>
            <w:shd w:fill="1F4E78" w:val="clear"/>
            <w:tcMar>
              <w:top w:type="dxa" w:w="80"/>
              <w:left w:type="dxa" w:w="100"/>
              <w:bottom w:type="dxa" w:w="80"/>
              <w:right w:type="dxa" w:w="100"/>
            </w:tcMar>
            <w:vAlign w:val="center"/>
          </w:tcPr>
          <w:p>
            <w:r>
              <w:rPr>
                <w:b/>
                <w:bCs/>
                <w:color w:val="FFFFFF"/>
                <w:sz w:val="18"/>
                <w:szCs w:val="18"/>
              </w:rPr>
              <w:t xml:space="preserve">Critical Risks (New)</w:t>
            </w:r>
          </w:p>
        </w:tc>
        <w:tc>
          <w:tcPr>
            <w:tcW w:type="dxa" w:w="1872"/>
            <w:tcBorders>
              <w:top w:val="single" w:color="1F4E78" w:sz="1"/>
              <w:left w:val="single" w:color="1F4E78" w:sz="1"/>
              <w:bottom w:val="single" w:color="1F4E78" w:sz="1"/>
              <w:right w:val="single" w:color="1F4E78" w:sz="1"/>
            </w:tcBorders>
            <w:shd w:fill="1F4E78" w:val="clear"/>
            <w:tcMar>
              <w:top w:type="dxa" w:w="80"/>
              <w:left w:type="dxa" w:w="100"/>
              <w:bottom w:type="dxa" w:w="80"/>
              <w:right w:type="dxa" w:w="100"/>
            </w:tcMar>
            <w:vAlign w:val="center"/>
          </w:tcPr>
          <w:p>
            <w:r>
              <w:rPr>
                <w:b/>
                <w:bCs/>
                <w:color w:val="FFFFFF"/>
                <w:sz w:val="18"/>
                <w:szCs w:val="18"/>
              </w:rPr>
              <w:t xml:space="preserve">Total Open Risks</w:t>
            </w:r>
          </w:p>
        </w:tc>
        <w:tc>
          <w:tcPr>
            <w:tcW w:type="dxa" w:w="1872"/>
            <w:tcBorders>
              <w:top w:val="single" w:color="1F4E78" w:sz="1"/>
              <w:left w:val="single" w:color="1F4E78" w:sz="1"/>
              <w:bottom w:val="single" w:color="1F4E78" w:sz="1"/>
              <w:right w:val="single" w:color="1F4E78" w:sz="1"/>
            </w:tcBorders>
            <w:shd w:fill="1F4E78" w:val="clear"/>
            <w:tcMar>
              <w:top w:type="dxa" w:w="80"/>
              <w:left w:type="dxa" w:w="100"/>
              <w:bottom w:type="dxa" w:w="80"/>
              <w:right w:type="dxa" w:w="100"/>
            </w:tcMar>
            <w:vAlign w:val="center"/>
          </w:tcPr>
          <w:p>
            <w:r>
              <w:rPr>
                <w:b/>
                <w:bCs/>
                <w:color w:val="FFFFFF"/>
                <w:sz w:val="18"/>
                <w:szCs w:val="18"/>
              </w:rPr>
              <w:t xml:space="preserve">Frameworks Active</w:t>
            </w:r>
          </w:p>
        </w:tc>
      </w:tr>
      <w:tr>
        <w:tc>
          <w:tcPr>
            <w:tcW w:type="dxa" w:w="1872"/>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bCs/>
                <w:sz w:val="18"/>
                <w:szCs w:val="18"/>
              </w:rPr>
              <w:t xml:space="preserve">4</w:t>
            </w:r>
          </w:p>
        </w:tc>
        <w:tc>
          <w:tcPr>
            <w:tcW w:type="dxa" w:w="1872"/>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bCs/>
                <w:sz w:val="18"/>
                <w:szCs w:val="18"/>
              </w:rPr>
              <w:t xml:space="preserve">1 (RR-017)</w:t>
            </w:r>
          </w:p>
        </w:tc>
        <w:tc>
          <w:tcPr>
            <w:tcW w:type="dxa" w:w="1872"/>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bCs/>
                <w:sz w:val="18"/>
                <w:szCs w:val="18"/>
              </w:rPr>
              <w:t xml:space="preserve">3</w:t>
            </w:r>
          </w:p>
        </w:tc>
        <w:tc>
          <w:tcPr>
            <w:tcW w:type="dxa" w:w="1872"/>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bCs/>
                <w:sz w:val="18"/>
                <w:szCs w:val="18"/>
              </w:rPr>
              <w:t xml:space="preserve">22</w:t>
            </w:r>
          </w:p>
        </w:tc>
        <w:tc>
          <w:tcPr>
            <w:tcW w:type="dxa" w:w="1872"/>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bCs/>
                <w:sz w:val="18"/>
                <w:szCs w:val="18"/>
              </w:rPr>
              <w:t xml:space="preserve">12+</w:t>
            </w:r>
          </w:p>
        </w:tc>
      </w:tr>
    </w:tbl>
    <w:p>
      <w:pPr>
        <w:spacing w:before="280"/>
      </w:pPr>
    </w:p>
    <w:p>
      <w:pPr>
        <w:pStyle w:val="Heading1"/>
      </w:pPr>
      <w:r>
        <w:t xml:space="preserve">1. Executive Summary</w:t>
      </w:r>
    </w:p>
    <w:p>
      <w:pPr>
        <w:spacing w:after="160"/>
      </w:pPr>
      <w:r>
        <w:t xml:space="preserve">This week's GRC intelligence sweep (June 15–22, 2026) identified four new threat cases and one escalated case, bringing total tracked risks in the register to 22. The threat landscape this week centered on internet-facing web infrastructure: a shared-hosting management plugin flaw that defeats the standard tenant-isolation safeguard on multi-tenant servers, and a content-management editor flaw that allows unauthenticated attackers to take over public websites. Both are under active exploitation, and one already carries a missed federal remediation deadline.</w:t>
      </w:r>
    </w:p>
    <w:p>
      <w:pPr>
        <w:spacing w:after="160"/>
      </w:pPr>
      <w:r>
        <w:t xml:space="preserve">A new, distinct vulnerability affecting network management infrastructure already tracked in our register was also identified this week, and a set of industrial control system flaws affecting a major automation vendor's production-data historian product was disclosed, though without confirmed active exploitation at this time.</w:t>
      </w:r>
    </w:p>
    <w:p>
      <w:pPr>
        <w:spacing w:after="160"/>
      </w:pPr>
      <w:r>
        <w:t xml:space="preserve">Of particular note, a security flaw affecting infrastructure used to manage access to AI model providers was flagged this week as a top-priority finding, reflecting our standing commitment to elevate AI/LLM platform risk regardless of where it falls relative to our standard weekly look-back window. This is addressed further in Section 3 of this report below.</w:t>
      </w:r>
    </w:p>
    <w:p>
      <w:pPr>
        <w:pStyle w:val="Heading1"/>
      </w:pPr>
      <w:r>
        <w:t xml:space="preserve">2. Threat Landscape — This Week</w:t>
      </w:r>
    </w:p>
    <w:p>
      <w:pPr>
        <w:spacing w:after="160"/>
      </w:pPr>
      <w:r>
        <w:t xml:space="preserve">The following six register entries were added during the June 15–22 intelligence sweep. Four represent newly identified, independent cases; one is an escalated update to an existing tracked risk; and one is logged as a register entry only, without a full case-study bundle, consistent with program policy for lower-severity, denial-of-service-only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600"/>
        <w:gridCol w:w="500"/>
        <w:gridCol w:w="600"/>
        <w:gridCol w:w="800"/>
        <w:gridCol w:w="4660"/>
      </w:tblGrid>
      <w:tr>
        <w:tc>
          <w:tcPr>
            <w:tcW w:type="dxa" w:w="700"/>
            <w:tcBorders>
              <w:top w:val="single" w:color="1F4E78" w:sz="1"/>
              <w:left w:val="single" w:color="1F4E78" w:sz="1"/>
              <w:bottom w:val="single" w:color="1F4E78" w:sz="1"/>
              <w:right w:val="single" w:color="1F4E78" w:sz="1"/>
            </w:tcBorders>
            <w:shd w:fill="1F4E78" w:val="clear"/>
            <w:tcMar>
              <w:top w:type="dxa" w:w="80"/>
              <w:left w:type="dxa" w:w="100"/>
              <w:bottom w:type="dxa" w:w="80"/>
              <w:right w:type="dxa" w:w="100"/>
            </w:tcMar>
            <w:vAlign w:val="center"/>
          </w:tcPr>
          <w:p>
            <w:r>
              <w:rPr>
                <w:b/>
                <w:bCs/>
                <w:color w:val="FFFFFF"/>
                <w:sz w:val="18"/>
                <w:szCs w:val="18"/>
              </w:rPr>
              <w:t xml:space="preserve">Risk ID</w:t>
            </w:r>
          </w:p>
        </w:tc>
        <w:tc>
          <w:tcPr>
            <w:tcW w:type="dxa" w:w="1500"/>
            <w:tcBorders>
              <w:top w:val="single" w:color="1F4E78" w:sz="1"/>
              <w:left w:val="single" w:color="1F4E78" w:sz="1"/>
              <w:bottom w:val="single" w:color="1F4E78" w:sz="1"/>
              <w:right w:val="single" w:color="1F4E78" w:sz="1"/>
            </w:tcBorders>
            <w:shd w:fill="1F4E78" w:val="clear"/>
            <w:tcMar>
              <w:top w:type="dxa" w:w="80"/>
              <w:left w:type="dxa" w:w="100"/>
              <w:bottom w:type="dxa" w:w="80"/>
              <w:right w:type="dxa" w:w="100"/>
            </w:tcMar>
            <w:vAlign w:val="center"/>
          </w:tcPr>
          <w:p>
            <w:r>
              <w:rPr>
                <w:b/>
                <w:bCs/>
                <w:color w:val="FFFFFF"/>
                <w:sz w:val="18"/>
                <w:szCs w:val="18"/>
              </w:rPr>
              <w:t xml:space="preserve">CVE / Advisory</w:t>
            </w:r>
          </w:p>
        </w:tc>
        <w:tc>
          <w:tcPr>
            <w:tcW w:type="dxa" w:w="600"/>
            <w:tcBorders>
              <w:top w:val="single" w:color="1F4E78" w:sz="1"/>
              <w:left w:val="single" w:color="1F4E78" w:sz="1"/>
              <w:bottom w:val="single" w:color="1F4E78" w:sz="1"/>
              <w:right w:val="single" w:color="1F4E78" w:sz="1"/>
            </w:tcBorders>
            <w:shd w:fill="1F4E78" w:val="clear"/>
            <w:tcMar>
              <w:top w:type="dxa" w:w="80"/>
              <w:left w:type="dxa" w:w="100"/>
              <w:bottom w:type="dxa" w:w="80"/>
              <w:right w:type="dxa" w:w="100"/>
            </w:tcMar>
            <w:vAlign w:val="center"/>
          </w:tcPr>
          <w:p>
            <w:r>
              <w:rPr>
                <w:b/>
                <w:bCs/>
                <w:color w:val="FFFFFF"/>
                <w:sz w:val="18"/>
                <w:szCs w:val="18"/>
              </w:rPr>
              <w:t xml:space="preserve">CVSS</w:t>
            </w:r>
          </w:p>
        </w:tc>
        <w:tc>
          <w:tcPr>
            <w:tcW w:type="dxa" w:w="500"/>
            <w:tcBorders>
              <w:top w:val="single" w:color="1F4E78" w:sz="1"/>
              <w:left w:val="single" w:color="1F4E78" w:sz="1"/>
              <w:bottom w:val="single" w:color="1F4E78" w:sz="1"/>
              <w:right w:val="single" w:color="1F4E78" w:sz="1"/>
            </w:tcBorders>
            <w:shd w:fill="1F4E78" w:val="clear"/>
            <w:tcMar>
              <w:top w:type="dxa" w:w="80"/>
              <w:left w:type="dxa" w:w="100"/>
              <w:bottom w:type="dxa" w:w="80"/>
              <w:right w:type="dxa" w:w="100"/>
            </w:tcMar>
            <w:vAlign w:val="center"/>
          </w:tcPr>
          <w:p>
            <w:r>
              <w:rPr>
                <w:b/>
                <w:bCs/>
                <w:color w:val="FFFFFF"/>
                <w:sz w:val="18"/>
                <w:szCs w:val="18"/>
              </w:rPr>
              <w:t xml:space="preserve">Like.</w:t>
            </w:r>
          </w:p>
        </w:tc>
        <w:tc>
          <w:tcPr>
            <w:tcW w:type="dxa" w:w="600"/>
            <w:tcBorders>
              <w:top w:val="single" w:color="1F4E78" w:sz="1"/>
              <w:left w:val="single" w:color="1F4E78" w:sz="1"/>
              <w:bottom w:val="single" w:color="1F4E78" w:sz="1"/>
              <w:right w:val="single" w:color="1F4E78" w:sz="1"/>
            </w:tcBorders>
            <w:shd w:fill="1F4E78" w:val="clear"/>
            <w:tcMar>
              <w:top w:type="dxa" w:w="80"/>
              <w:left w:type="dxa" w:w="100"/>
              <w:bottom w:type="dxa" w:w="80"/>
              <w:right w:type="dxa" w:w="100"/>
            </w:tcMar>
            <w:vAlign w:val="center"/>
          </w:tcPr>
          <w:p>
            <w:r>
              <w:rPr>
                <w:b/>
                <w:bCs/>
                <w:color w:val="FFFFFF"/>
                <w:sz w:val="18"/>
                <w:szCs w:val="18"/>
              </w:rPr>
              <w:t xml:space="preserve">Impact</w:t>
            </w:r>
          </w:p>
        </w:tc>
        <w:tc>
          <w:tcPr>
            <w:tcW w:type="dxa" w:w="800"/>
            <w:tcBorders>
              <w:top w:val="single" w:color="1F4E78" w:sz="1"/>
              <w:left w:val="single" w:color="1F4E78" w:sz="1"/>
              <w:bottom w:val="single" w:color="1F4E78" w:sz="1"/>
              <w:right w:val="single" w:color="1F4E78" w:sz="1"/>
            </w:tcBorders>
            <w:shd w:fill="1F4E78" w:val="clear"/>
            <w:tcMar>
              <w:top w:type="dxa" w:w="80"/>
              <w:left w:type="dxa" w:w="100"/>
              <w:bottom w:type="dxa" w:w="80"/>
              <w:right w:type="dxa" w:w="100"/>
            </w:tcMar>
            <w:vAlign w:val="center"/>
          </w:tcPr>
          <w:p>
            <w:r>
              <w:rPr>
                <w:b/>
                <w:bCs/>
                <w:color w:val="FFFFFF"/>
                <w:sz w:val="18"/>
                <w:szCs w:val="18"/>
              </w:rPr>
              <w:t xml:space="preserve">Rating</w:t>
            </w:r>
          </w:p>
        </w:tc>
        <w:tc>
          <w:tcPr>
            <w:tcW w:type="dxa" w:w="4660"/>
            <w:tcBorders>
              <w:top w:val="single" w:color="1F4E78" w:sz="1"/>
              <w:left w:val="single" w:color="1F4E78" w:sz="1"/>
              <w:bottom w:val="single" w:color="1F4E78" w:sz="1"/>
              <w:right w:val="single" w:color="1F4E78" w:sz="1"/>
            </w:tcBorders>
            <w:shd w:fill="1F4E78" w:val="clear"/>
            <w:tcMar>
              <w:top w:type="dxa" w:w="80"/>
              <w:left w:type="dxa" w:w="100"/>
              <w:bottom w:type="dxa" w:w="80"/>
              <w:right w:type="dxa" w:w="100"/>
            </w:tcMar>
            <w:vAlign w:val="center"/>
          </w:tcPr>
          <w:p>
            <w:r>
              <w:rPr>
                <w:b/>
                <w:bCs/>
                <w:color w:val="FFFFFF"/>
                <w:sz w:val="18"/>
                <w:szCs w:val="18"/>
              </w:rPr>
              <w:t xml:space="preserve">Primary Concern</w:t>
            </w:r>
          </w:p>
        </w:tc>
      </w:tr>
      <w:tr>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RR-017</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CVE-2026-20262 Cisco SD-WAN Manager Path Traversal</w:t>
            </w:r>
          </w:p>
        </w:tc>
        <w:tc>
          <w:tcPr>
            <w:tcW w:type="dxa" w:w="6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6.5</w:t>
            </w:r>
          </w:p>
        </w:tc>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4</w:t>
            </w:r>
          </w:p>
        </w:tc>
        <w:tc>
          <w:tcPr>
            <w:tcW w:type="dxa" w:w="6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bCs/>
                <w:color w:val="C45911"/>
                <w:sz w:val="18"/>
                <w:szCs w:val="18"/>
              </w:rPr>
              <w:t xml:space="preserve">High</w:t>
            </w:r>
          </w:p>
        </w:tc>
        <w:tc>
          <w:tcPr>
            <w:tcW w:type="dxa" w:w="46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Distinct new KEV entry on same product family as RR-016; arbitrary file read/overwrite; new vendor patch this week; due Jun 29</w:t>
            </w:r>
          </w:p>
        </w:tc>
      </w:tr>
      <w:tr>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RR-018</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CVE-2026-54420 LiteSpeed cPanel Symlink Flaw</w:t>
            </w:r>
          </w:p>
        </w:tc>
        <w:tc>
          <w:tcPr>
            <w:tcW w:type="dxa" w:w="6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8.5</w:t>
            </w:r>
          </w:p>
        </w:tc>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5</w:t>
            </w:r>
          </w:p>
        </w:tc>
        <w:tc>
          <w:tcPr>
            <w:tcW w:type="dxa" w:w="6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5</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bCs/>
                <w:color w:val="C00000"/>
                <w:sz w:val="18"/>
                <w:szCs w:val="18"/>
              </w:rPr>
              <w:t xml:space="preserve">Critical</w:t>
            </w:r>
          </w:p>
        </w:tc>
        <w:tc>
          <w:tcPr>
            <w:tcW w:type="dxa" w:w="46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Defeats CloudLinux/CageFS tenant isolation on shared hosting; root escalation; federal deadline already passed</w:t>
            </w:r>
          </w:p>
        </w:tc>
      </w:tr>
      <w:tr>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RR-019</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CVE-2026-48907 Joomla! JCE Unrestricted Upload</w:t>
            </w:r>
          </w:p>
        </w:tc>
        <w:tc>
          <w:tcPr>
            <w:tcW w:type="dxa" w:w="6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9.8</w:t>
            </w:r>
          </w:p>
        </w:tc>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5</w:t>
            </w:r>
          </w:p>
        </w:tc>
        <w:tc>
          <w:tcPr>
            <w:tcW w:type="dxa" w:w="6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4</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bCs/>
                <w:color w:val="C00000"/>
                <w:sz w:val="18"/>
                <w:szCs w:val="18"/>
              </w:rPr>
              <w:t xml:space="preserve">Critical</w:t>
            </w:r>
          </w:p>
        </w:tc>
        <w:tc>
          <w:tcPr>
            <w:tcW w:type="dxa" w:w="46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Unauthenticated web shell upload to RCE; broad install base across Joomla! ecosystem; due Jul 7</w:t>
            </w:r>
          </w:p>
        </w:tc>
      </w:tr>
      <w:tr>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RR-020</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CVE-2025-13036 et al. Rockwell FactoryTalk Historian</w:t>
            </w:r>
          </w:p>
        </w:tc>
        <w:tc>
          <w:tcPr>
            <w:tcW w:type="dxa" w:w="6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9.8</w:t>
            </w:r>
          </w:p>
        </w:tc>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3</w:t>
            </w:r>
          </w:p>
        </w:tc>
        <w:tc>
          <w:tcPr>
            <w:tcW w:type="dxa" w:w="6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5</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bCs/>
                <w:color w:val="C45911"/>
                <w:sz w:val="18"/>
                <w:szCs w:val="18"/>
              </w:rPr>
              <w:t xml:space="preserve">High</w:t>
            </w:r>
          </w:p>
        </w:tc>
        <w:tc>
          <w:tcPr>
            <w:tcW w:type="dxa" w:w="46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Chained deserialization/credential/access-control flaws at IT/OT boundary; not yet KEV-listed</w:t>
            </w:r>
          </w:p>
        </w:tc>
      </w:tr>
      <w:tr>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RR-021</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ICSA-26-167-04 Rockwell CompactLogix DoS</w:t>
            </w:r>
          </w:p>
        </w:tc>
        <w:tc>
          <w:tcPr>
            <w:tcW w:type="dxa" w:w="6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6.3</w:t>
            </w:r>
          </w:p>
        </w:tc>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2</w:t>
            </w:r>
          </w:p>
        </w:tc>
        <w:tc>
          <w:tcPr>
            <w:tcW w:type="dxa" w:w="6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3</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bCs/>
                <w:color w:val="BF8F00"/>
                <w:sz w:val="18"/>
                <w:szCs w:val="18"/>
              </w:rPr>
              <w:t xml:space="preserve">Medium</w:t>
            </w:r>
          </w:p>
        </w:tc>
        <w:tc>
          <w:tcPr>
            <w:tcW w:type="dxa" w:w="46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DoS-only; vendor fix available; logged register-only per full-bundle threshold policy</w:t>
            </w:r>
          </w:p>
        </w:tc>
      </w:tr>
      <w:tr>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RR-022</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CVE-2026-42271 et al. LiteLLM AI Gateway Auth Bypass</w:t>
            </w:r>
          </w:p>
        </w:tc>
        <w:tc>
          <w:tcPr>
            <w:tcW w:type="dxa" w:w="6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9.1</w:t>
            </w:r>
          </w:p>
        </w:tc>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5</w:t>
            </w:r>
          </w:p>
        </w:tc>
        <w:tc>
          <w:tcPr>
            <w:tcW w:type="dxa" w:w="6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5</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bCs/>
                <w:color w:val="C00000"/>
                <w:sz w:val="18"/>
                <w:szCs w:val="18"/>
              </w:rPr>
              <w:t xml:space="preserve">Critical</w:t>
            </w:r>
          </w:p>
        </w:tc>
        <w:tc>
          <w:tcPr>
            <w:tcW w:type="dxa" w:w="46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AI gateway auth bypass; provider credential exposure risk; dual-logged AI-Governance/Cloud-Security</w:t>
            </w:r>
          </w:p>
        </w:tc>
      </w:tr>
    </w:tbl>
    <w:p>
      <w:pPr>
        <w:spacing w:before="280"/>
      </w:pPr>
    </w:p>
    <w:p>
      <w:pPr>
        <w:pStyle w:val="Heading1"/>
      </w:pPr>
      <w:r>
        <w:t xml:space="preserve">3. Escalated Cases — Risk Register Updates</w:t>
      </w:r>
    </w:p>
    <w:p>
      <w:pPr>
        <w:pStyle w:val="Heading2"/>
      </w:pPr>
      <w:r>
        <w:t xml:space="preserve">RR-017: Network Management Infrastructure — New Related Vulnerability Identified</w:t>
      </w:r>
    </w:p>
    <w:p>
      <w:pPr>
        <w:spacing w:after="160"/>
      </w:pPr>
      <w:r>
        <w:t xml:space="preserve">This week's sweep identified a new, independently confirmed vulnerability affecting the same network management product family already tracked in our register under RR-016. Although our deduplication process initially flags entries against the same product as potential updates, this is a distinct flaw with its own vendor patch — not a revision of the original finding. It has been logged as an escalated update for tracking continuity, with the change reason documented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8" w:sz="1"/>
              <w:left w:val="single" w:color="1F4E78" w:sz="1"/>
              <w:bottom w:val="single" w:color="1F4E78" w:sz="1"/>
              <w:right w:val="single" w:color="1F4E78" w:sz="1"/>
            </w:tcBorders>
            <w:shd w:fill="1F4E78" w:val="clear"/>
            <w:tcMar>
              <w:top w:type="dxa" w:w="80"/>
              <w:left w:type="dxa" w:w="100"/>
              <w:bottom w:type="dxa" w:w="80"/>
              <w:right w:type="dxa" w:w="100"/>
            </w:tcMar>
            <w:vAlign w:val="center"/>
          </w:tcPr>
          <w:p>
            <w:r>
              <w:rPr>
                <w:b/>
                <w:bCs/>
                <w:color w:val="FFFFFF"/>
                <w:sz w:val="18"/>
                <w:szCs w:val="18"/>
              </w:rPr>
              <w:t xml:space="preserve">Change</w:t>
            </w:r>
          </w:p>
        </w:tc>
        <w:tc>
          <w:tcPr>
            <w:tcW w:type="dxa" w:w="3120"/>
            <w:tcBorders>
              <w:top w:val="single" w:color="1F4E78" w:sz="1"/>
              <w:left w:val="single" w:color="1F4E78" w:sz="1"/>
              <w:bottom w:val="single" w:color="1F4E78" w:sz="1"/>
              <w:right w:val="single" w:color="1F4E78" w:sz="1"/>
            </w:tcBorders>
            <w:shd w:fill="1F4E78" w:val="clear"/>
            <w:tcMar>
              <w:top w:type="dxa" w:w="80"/>
              <w:left w:type="dxa" w:w="100"/>
              <w:bottom w:type="dxa" w:w="80"/>
              <w:right w:type="dxa" w:w="100"/>
            </w:tcMar>
            <w:vAlign w:val="center"/>
          </w:tcPr>
          <w:p>
            <w:r>
              <w:rPr>
                <w:b/>
                <w:bCs/>
                <w:color w:val="FFFFFF"/>
                <w:sz w:val="18"/>
                <w:szCs w:val="18"/>
              </w:rPr>
              <w:t xml:space="preserve">Before</w:t>
            </w:r>
          </w:p>
        </w:tc>
        <w:tc>
          <w:tcPr>
            <w:tcW w:type="dxa" w:w="3120"/>
            <w:tcBorders>
              <w:top w:val="single" w:color="1F4E78" w:sz="1"/>
              <w:left w:val="single" w:color="1F4E78" w:sz="1"/>
              <w:bottom w:val="single" w:color="1F4E78" w:sz="1"/>
              <w:right w:val="single" w:color="1F4E78" w:sz="1"/>
            </w:tcBorders>
            <w:shd w:fill="1F4E78" w:val="clear"/>
            <w:tcMar>
              <w:top w:type="dxa" w:w="80"/>
              <w:left w:type="dxa" w:w="100"/>
              <w:bottom w:type="dxa" w:w="80"/>
              <w:right w:type="dxa" w:w="100"/>
            </w:tcMar>
            <w:vAlign w:val="center"/>
          </w:tcPr>
          <w:p>
            <w:r>
              <w:rPr>
                <w:b/>
                <w:bCs/>
                <w:color w:val="FFFFFF"/>
                <w:sz w:val="18"/>
                <w:szCs w:val="18"/>
              </w:rPr>
              <w:t xml:space="preserve">After</w:t>
            </w:r>
          </w:p>
        </w:tc>
      </w:tr>
      <w:t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New, distinct KEV entry (CVE-2026-20262) identified on the same Cisco SD-WAN Manager product family as RR-016; new vendor patch released this week</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N/A — newly identified; classified ESCALATE per dedup rule (shared product naming) though operationally independent from RR-016</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Likelihood: 4 | Score: 16 | Rating: High</w:t>
            </w:r>
          </w:p>
        </w:tc>
      </w:tr>
    </w:tbl>
    <w:p>
      <w:pPr>
        <w:spacing w:before="200"/>
      </w:pPr>
    </w:p>
    <w:p>
      <w:pPr>
        <w:spacing w:after="160"/>
      </w:pPr>
      <w:r>
        <w:t xml:space="preserve">A vendor patch is now available for this newly identified flaw and should be applied on the same timeline as other emergency network infrastructure actions this week.</w:t>
      </w:r>
    </w:p>
    <w:p>
      <w:pPr>
        <w:pStyle w:val="Heading1"/>
      </w:pPr>
      <w:r>
        <w:t xml:space="preserve">4. Risk Register Status</w:t>
      </w:r>
    </w:p>
    <w:p>
      <w:pPr>
        <w:spacing w:after="160"/>
      </w:pPr>
      <w:r>
        <w:t xml:space="preserve">The risk register now contains 22 tracked risks (RR-001 through RR-022). Distribution after this week's additions is summarized below. Note: during this run, a pre-existing data-formatting issue was identified affecting five legacy entries (RR-006 through RR-010), where a column-alignment error from an earlier version of the register has shifted several data fields out of position. The cumulative figures below reflect a best-effort reconstruction of the affected entries' original ratings based on surrounding context; we recommend a manual review and correction of these five rows as a housekeeping item (see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1F4E78" w:sz="1"/>
              <w:left w:val="single" w:color="1F4E78" w:sz="1"/>
              <w:bottom w:val="single" w:color="1F4E78" w:sz="1"/>
              <w:right w:val="single" w:color="1F4E78" w:sz="1"/>
            </w:tcBorders>
            <w:shd w:fill="1F4E78" w:val="clear"/>
            <w:tcMar>
              <w:top w:type="dxa" w:w="80"/>
              <w:left w:type="dxa" w:w="100"/>
              <w:bottom w:type="dxa" w:w="80"/>
              <w:right w:type="dxa" w:w="100"/>
            </w:tcMar>
            <w:vAlign w:val="center"/>
          </w:tcPr>
          <w:p>
            <w:r>
              <w:rPr>
                <w:b/>
                <w:bCs/>
                <w:color w:val="FFFFFF"/>
                <w:sz w:val="18"/>
                <w:szCs w:val="18"/>
              </w:rPr>
              <w:t xml:space="preserve">Risk Rating</w:t>
            </w:r>
          </w:p>
        </w:tc>
        <w:tc>
          <w:tcPr>
            <w:tcW w:type="dxa" w:w="3000"/>
            <w:tcBorders>
              <w:top w:val="single" w:color="1F4E78" w:sz="1"/>
              <w:left w:val="single" w:color="1F4E78" w:sz="1"/>
              <w:bottom w:val="single" w:color="1F4E78" w:sz="1"/>
              <w:right w:val="single" w:color="1F4E78" w:sz="1"/>
            </w:tcBorders>
            <w:shd w:fill="1F4E78" w:val="clear"/>
            <w:tcMar>
              <w:top w:type="dxa" w:w="80"/>
              <w:left w:type="dxa" w:w="100"/>
              <w:bottom w:type="dxa" w:w="80"/>
              <w:right w:type="dxa" w:w="100"/>
            </w:tcMar>
            <w:vAlign w:val="center"/>
          </w:tcPr>
          <w:p>
            <w:r>
              <w:rPr>
                <w:b/>
                <w:bCs/>
                <w:color w:val="FFFFFF"/>
                <w:sz w:val="18"/>
                <w:szCs w:val="18"/>
              </w:rPr>
              <w:t xml:space="preserve">This Week</w:t>
            </w:r>
          </w:p>
        </w:tc>
        <w:tc>
          <w:tcPr>
            <w:tcW w:type="dxa" w:w="3860"/>
            <w:tcBorders>
              <w:top w:val="single" w:color="1F4E78" w:sz="1"/>
              <w:left w:val="single" w:color="1F4E78" w:sz="1"/>
              <w:bottom w:val="single" w:color="1F4E78" w:sz="1"/>
              <w:right w:val="single" w:color="1F4E78" w:sz="1"/>
            </w:tcBorders>
            <w:shd w:fill="1F4E78" w:val="clear"/>
            <w:tcMar>
              <w:top w:type="dxa" w:w="80"/>
              <w:left w:type="dxa" w:w="100"/>
              <w:bottom w:type="dxa" w:w="80"/>
              <w:right w:type="dxa" w:w="100"/>
            </w:tcMar>
            <w:vAlign w:val="center"/>
          </w:tcPr>
          <w:p>
            <w:r>
              <w:rPr>
                <w:b/>
                <w:bCs/>
                <w:color w:val="FFFFFF"/>
                <w:sz w:val="18"/>
                <w:szCs w:val="18"/>
              </w:rPr>
              <w:t xml:space="preserve">Cumulative (Approx.)</w:t>
            </w:r>
          </w:p>
        </w:tc>
      </w:tr>
      <w:tr>
        <w:tc>
          <w:tcPr>
            <w:tcW w:type="dxa" w:w="25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bCs/>
                <w:sz w:val="18"/>
                <w:szCs w:val="18"/>
              </w:rPr>
              <w:t xml:space="preserve">Critical</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3 new (RR-018, RR-019, RR-022)</w:t>
            </w:r>
          </w:p>
        </w:tc>
        <w:tc>
          <w:tcPr>
            <w:tcW w:type="dxa" w:w="38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12</w:t>
            </w:r>
          </w:p>
        </w:tc>
      </w:tr>
      <w:tr>
        <w:tc>
          <w:tcPr>
            <w:tcW w:type="dxa" w:w="25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bCs/>
                <w:sz w:val="18"/>
                <w:szCs w:val="18"/>
              </w:rPr>
              <w:t xml:space="preserve">High</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2 new (RR-017, RR-020)</w:t>
            </w:r>
          </w:p>
        </w:tc>
        <w:tc>
          <w:tcPr>
            <w:tcW w:type="dxa" w:w="38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6</w:t>
            </w:r>
          </w:p>
        </w:tc>
      </w:tr>
      <w:tr>
        <w:tc>
          <w:tcPr>
            <w:tcW w:type="dxa" w:w="25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bCs/>
                <w:sz w:val="18"/>
                <w:szCs w:val="18"/>
              </w:rPr>
              <w:t xml:space="preserve">Medium</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1 new (RR-021)</w:t>
            </w:r>
          </w:p>
        </w:tc>
        <w:tc>
          <w:tcPr>
            <w:tcW w:type="dxa" w:w="38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3</w:t>
            </w:r>
          </w:p>
        </w:tc>
      </w:tr>
      <w:tr>
        <w:tc>
          <w:tcPr>
            <w:tcW w:type="dxa" w:w="25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bCs/>
                <w:sz w:val="18"/>
                <w:szCs w:val="18"/>
              </w:rPr>
              <w:t xml:space="preserve">Other / Legacy Format</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w:t>
            </w:r>
          </w:p>
        </w:tc>
        <w:tc>
          <w:tcPr>
            <w:tcW w:type="dxa" w:w="38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1 (RR-009, non-standard rating text)</w:t>
            </w:r>
          </w:p>
        </w:tc>
      </w:tr>
      <w:tr>
        <w:tc>
          <w:tcPr>
            <w:tcW w:type="dxa" w:w="25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bCs/>
                <w:sz w:val="18"/>
                <w:szCs w:val="18"/>
              </w:rPr>
              <w:t xml:space="preserve">Total Open</w:t>
            </w:r>
          </w:p>
        </w:tc>
        <w:tc>
          <w:tcPr>
            <w:tcW w:type="dxa" w:w="30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6 new rows</w:t>
            </w:r>
          </w:p>
        </w:tc>
        <w:tc>
          <w:tcPr>
            <w:tcW w:type="dxa" w:w="38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22</w:t>
            </w:r>
          </w:p>
        </w:tc>
      </w:tr>
    </w:tbl>
    <w:p>
      <w:pPr>
        <w:spacing w:before="200"/>
      </w:pPr>
    </w:p>
    <w:p>
      <w:pPr>
        <w:spacing w:after="160"/>
      </w:pPr>
      <w:r>
        <w:rPr>
          <w:i/>
          <w:iCs/>
          <w:sz w:val="18"/>
          <w:szCs w:val="18"/>
        </w:rPr>
        <w:t xml:space="preserve">Snapshot saved: GRC_Intelligence_Risk_Register_2026-06-22.xlsx</w:t>
      </w:r>
    </w:p>
    <w:p>
      <w:pPr>
        <w:pStyle w:val="Heading1"/>
      </w:pPr>
      <w:r>
        <w:t xml:space="preserve">5. Remediation Status — Priority Actions</w:t>
      </w:r>
    </w:p>
    <w:p>
      <w:pPr>
        <w:spacing w:after="160"/>
      </w:pPr>
      <w:r>
        <w:t xml:space="preserve">The following actions represent this week's highest-priority remediation items, ordered by severity. Two items already carry a missed or near-term federal deadline and should be treated as emergency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660"/>
        <w:gridCol w:w="1900"/>
        <w:gridCol w:w="800"/>
        <w:gridCol w:w="1300"/>
      </w:tblGrid>
      <w:tr>
        <w:tc>
          <w:tcPr>
            <w:tcW w:type="dxa" w:w="700"/>
            <w:tcBorders>
              <w:top w:val="single" w:color="1F4E78" w:sz="1"/>
              <w:left w:val="single" w:color="1F4E78" w:sz="1"/>
              <w:bottom w:val="single" w:color="1F4E78" w:sz="1"/>
              <w:right w:val="single" w:color="1F4E78" w:sz="1"/>
            </w:tcBorders>
            <w:shd w:fill="1F4E78" w:val="clear"/>
            <w:tcMar>
              <w:top w:type="dxa" w:w="80"/>
              <w:left w:type="dxa" w:w="100"/>
              <w:bottom w:type="dxa" w:w="80"/>
              <w:right w:type="dxa" w:w="100"/>
            </w:tcMar>
            <w:vAlign w:val="center"/>
          </w:tcPr>
          <w:p>
            <w:r>
              <w:rPr>
                <w:b/>
                <w:bCs/>
                <w:color w:val="FFFFFF"/>
                <w:sz w:val="18"/>
                <w:szCs w:val="18"/>
              </w:rPr>
              <w:t xml:space="preserve">Risk</w:t>
            </w:r>
          </w:p>
        </w:tc>
        <w:tc>
          <w:tcPr>
            <w:tcW w:type="dxa" w:w="4660"/>
            <w:tcBorders>
              <w:top w:val="single" w:color="1F4E78" w:sz="1"/>
              <w:left w:val="single" w:color="1F4E78" w:sz="1"/>
              <w:bottom w:val="single" w:color="1F4E78" w:sz="1"/>
              <w:right w:val="single" w:color="1F4E78" w:sz="1"/>
            </w:tcBorders>
            <w:shd w:fill="1F4E78" w:val="clear"/>
            <w:tcMar>
              <w:top w:type="dxa" w:w="80"/>
              <w:left w:type="dxa" w:w="100"/>
              <w:bottom w:type="dxa" w:w="80"/>
              <w:right w:type="dxa" w:w="100"/>
            </w:tcMar>
            <w:vAlign w:val="center"/>
          </w:tcPr>
          <w:p>
            <w:r>
              <w:rPr>
                <w:b/>
                <w:bCs/>
                <w:color w:val="FFFFFF"/>
                <w:sz w:val="18"/>
                <w:szCs w:val="18"/>
              </w:rPr>
              <w:t xml:space="preserve">Action</w:t>
            </w:r>
          </w:p>
        </w:tc>
        <w:tc>
          <w:tcPr>
            <w:tcW w:type="dxa" w:w="1900"/>
            <w:tcBorders>
              <w:top w:val="single" w:color="1F4E78" w:sz="1"/>
              <w:left w:val="single" w:color="1F4E78" w:sz="1"/>
              <w:bottom w:val="single" w:color="1F4E78" w:sz="1"/>
              <w:right w:val="single" w:color="1F4E78" w:sz="1"/>
            </w:tcBorders>
            <w:shd w:fill="1F4E78" w:val="clear"/>
            <w:tcMar>
              <w:top w:type="dxa" w:w="80"/>
              <w:left w:type="dxa" w:w="100"/>
              <w:bottom w:type="dxa" w:w="80"/>
              <w:right w:type="dxa" w:w="100"/>
            </w:tcMar>
            <w:vAlign w:val="center"/>
          </w:tcPr>
          <w:p>
            <w:r>
              <w:rPr>
                <w:b/>
                <w:bCs/>
                <w:color w:val="FFFFFF"/>
                <w:sz w:val="18"/>
                <w:szCs w:val="18"/>
              </w:rPr>
              <w:t xml:space="preserve">Owner</w:t>
            </w:r>
          </w:p>
        </w:tc>
        <w:tc>
          <w:tcPr>
            <w:tcW w:type="dxa" w:w="800"/>
            <w:tcBorders>
              <w:top w:val="single" w:color="1F4E78" w:sz="1"/>
              <w:left w:val="single" w:color="1F4E78" w:sz="1"/>
              <w:bottom w:val="single" w:color="1F4E78" w:sz="1"/>
              <w:right w:val="single" w:color="1F4E78" w:sz="1"/>
            </w:tcBorders>
            <w:shd w:fill="1F4E78" w:val="clear"/>
            <w:tcMar>
              <w:top w:type="dxa" w:w="80"/>
              <w:left w:type="dxa" w:w="100"/>
              <w:bottom w:type="dxa" w:w="80"/>
              <w:right w:type="dxa" w:w="100"/>
            </w:tcMar>
            <w:vAlign w:val="center"/>
          </w:tcPr>
          <w:p>
            <w:r>
              <w:rPr>
                <w:b/>
                <w:bCs/>
                <w:color w:val="FFFFFF"/>
                <w:sz w:val="18"/>
                <w:szCs w:val="18"/>
              </w:rPr>
              <w:t xml:space="preserve">Due</w:t>
            </w:r>
          </w:p>
        </w:tc>
        <w:tc>
          <w:tcPr>
            <w:tcW w:type="dxa" w:w="1300"/>
            <w:tcBorders>
              <w:top w:val="single" w:color="1F4E78" w:sz="1"/>
              <w:left w:val="single" w:color="1F4E78" w:sz="1"/>
              <w:bottom w:val="single" w:color="1F4E78" w:sz="1"/>
              <w:right w:val="single" w:color="1F4E78" w:sz="1"/>
            </w:tcBorders>
            <w:shd w:fill="1F4E78" w:val="clear"/>
            <w:tcMar>
              <w:top w:type="dxa" w:w="80"/>
              <w:left w:type="dxa" w:w="100"/>
              <w:bottom w:type="dxa" w:w="80"/>
              <w:right w:type="dxa" w:w="100"/>
            </w:tcMar>
            <w:vAlign w:val="center"/>
          </w:tcPr>
          <w:p>
            <w:r>
              <w:rPr>
                <w:b/>
                <w:bCs/>
                <w:color w:val="FFFFFF"/>
                <w:sz w:val="18"/>
                <w:szCs w:val="18"/>
              </w:rPr>
              <w:t xml:space="preserve">Priority</w:t>
            </w:r>
          </w:p>
        </w:tc>
      </w:tr>
      <w:tr>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RR-018</w:t>
            </w:r>
          </w:p>
        </w:tc>
        <w:tc>
          <w:tcPr>
            <w:tcW w:type="dxa" w:w="46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Upgrade LiteSpeed WHM Plugin to v5.3.2.1+ on all shared hosting servers; review logs for pre-patch compromise (deadline already passed)</w:t>
            </w:r>
          </w:p>
        </w:tc>
        <w:tc>
          <w:tcPr>
            <w:tcW w:type="dxa" w:w="19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Hosting Operations</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Overdue</w:t>
            </w:r>
          </w:p>
        </w:tc>
        <w:tc>
          <w:tcPr>
            <w:tcW w:type="dxa" w:w="13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bCs/>
                <w:color w:val="C00000"/>
                <w:sz w:val="18"/>
                <w:szCs w:val="18"/>
              </w:rPr>
              <w:t xml:space="preserve">Critical</w:t>
            </w:r>
          </w:p>
        </w:tc>
      </w:tr>
      <w:tr>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RR-019</w:t>
            </w:r>
          </w:p>
        </w:tc>
        <w:tc>
          <w:tcPr>
            <w:tcW w:type="dxa" w:w="46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Upgrade JCE plugin to patched version on all Joomla! sites; scan for web shells; deploy WAF rule on upload endpoint</w:t>
            </w:r>
          </w:p>
        </w:tc>
        <w:tc>
          <w:tcPr>
            <w:tcW w:type="dxa" w:w="19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Web/IT Operations</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Jul 7</w:t>
            </w:r>
          </w:p>
        </w:tc>
        <w:tc>
          <w:tcPr>
            <w:tcW w:type="dxa" w:w="13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bCs/>
                <w:color w:val="C00000"/>
                <w:sz w:val="18"/>
                <w:szCs w:val="18"/>
              </w:rPr>
              <w:t xml:space="preserve">Critical</w:t>
            </w:r>
          </w:p>
        </w:tc>
      </w:tr>
      <w:tr>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RR-022</w:t>
            </w:r>
          </w:p>
        </w:tc>
        <w:tc>
          <w:tcPr>
            <w:tcW w:type="dxa" w:w="46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Upgrade LiteLLM gateway to patched release; rotate all proxied AI provider credentials; restrict gateway egress</w:t>
            </w:r>
          </w:p>
        </w:tc>
        <w:tc>
          <w:tcPr>
            <w:tcW w:type="dxa" w:w="19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AI/Platform Eng.</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Jun 25</w:t>
            </w:r>
          </w:p>
        </w:tc>
        <w:tc>
          <w:tcPr>
            <w:tcW w:type="dxa" w:w="13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bCs/>
                <w:color w:val="C00000"/>
                <w:sz w:val="18"/>
                <w:szCs w:val="18"/>
              </w:rPr>
              <w:t xml:space="preserve">Critical</w:t>
            </w:r>
          </w:p>
        </w:tc>
      </w:tr>
      <w:tr>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RR-017</w:t>
            </w:r>
          </w:p>
        </w:tc>
        <w:tc>
          <w:tcPr>
            <w:tcW w:type="dxa" w:w="46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Apply Cisco patch for CVE-2026-20262; restrict vManage to management segment</w:t>
            </w:r>
          </w:p>
        </w:tc>
        <w:tc>
          <w:tcPr>
            <w:tcW w:type="dxa" w:w="19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Network Eng. / IAM</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Jun 29</w:t>
            </w:r>
          </w:p>
        </w:tc>
        <w:tc>
          <w:tcPr>
            <w:tcW w:type="dxa" w:w="13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bCs/>
                <w:color w:val="C45911"/>
                <w:sz w:val="18"/>
                <w:szCs w:val="18"/>
              </w:rPr>
              <w:t xml:space="preserve">High</w:t>
            </w:r>
          </w:p>
        </w:tc>
      </w:tr>
      <w:tr>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RR-020</w:t>
            </w:r>
          </w:p>
        </w:tc>
        <w:tc>
          <w:tcPr>
            <w:tcW w:type="dxa" w:w="46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Apply Rockwell patches for FactoryTalk Historian; rotate hardcoded credentials; verify IT/OT segmentation</w:t>
            </w:r>
          </w:p>
        </w:tc>
        <w:tc>
          <w:tcPr>
            <w:tcW w:type="dxa" w:w="19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OT/ICS Engineering</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Jul 6</w:t>
            </w:r>
          </w:p>
        </w:tc>
        <w:tc>
          <w:tcPr>
            <w:tcW w:type="dxa" w:w="13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bCs/>
                <w:color w:val="C45911"/>
                <w:sz w:val="18"/>
                <w:szCs w:val="18"/>
              </w:rPr>
              <w:t xml:space="preserve">High</w:t>
            </w:r>
          </w:p>
        </w:tc>
      </w:tr>
      <w:tr>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RR-021</w:t>
            </w:r>
          </w:p>
        </w:tc>
        <w:tc>
          <w:tcPr>
            <w:tcW w:type="dxa" w:w="46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Apply Rockwell CompactLogix fix in next standard OT patch cycle</w:t>
            </w:r>
          </w:p>
        </w:tc>
        <w:tc>
          <w:tcPr>
            <w:tcW w:type="dxa" w:w="19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OT/ICS Engineering</w:t>
            </w:r>
          </w:p>
        </w:tc>
        <w:tc>
          <w:tcPr>
            <w:tcW w:type="dxa" w:w="8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Jul 31</w:t>
            </w:r>
          </w:p>
        </w:tc>
        <w:tc>
          <w:tcPr>
            <w:tcW w:type="dxa" w:w="13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bCs/>
                <w:color w:val="BF8F00"/>
                <w:sz w:val="18"/>
                <w:szCs w:val="18"/>
              </w:rPr>
              <w:t xml:space="preserve">Medium</w:t>
            </w:r>
          </w:p>
        </w:tc>
      </w:tr>
    </w:tbl>
    <w:p>
      <w:pPr>
        <w:spacing w:before="280"/>
      </w:pPr>
    </w:p>
    <w:p>
      <w:pPr>
        <w:pStyle w:val="Heading1"/>
      </w:pPr>
      <w:r>
        <w:t xml:space="preserve">6. Regulatory &amp; Compliance Notes</w:t>
      </w:r>
    </w:p>
    <w:p>
      <w:pPr>
        <w:pStyle w:val="Heading2"/>
      </w:pPr>
      <w:r>
        <w:t xml:space="preserve">AI Infrastructure Security — Elevated Priority Treatment</w:t>
      </w:r>
    </w:p>
    <w:p>
      <w:pPr>
        <w:spacing w:after="160"/>
      </w:pPr>
      <w:r>
        <w:t xml:space="preserve">A security flaw affecting widely-used AI model gateway infrastructure was included in this week's findings despite its original disclosure falling just before our standard 7-day reporting window. This reflects the program's standing instruction to treat AI/LLM platform risk as a top priority category. Organizations with AI governance programs aligned to recognized AI risk management frameworks should treat this as a reportable AI system security incident, documented separately from standard IT vulnerability tracking.</w:t>
      </w:r>
    </w:p>
    <w:p>
      <w:pPr>
        <w:pStyle w:val="Heading2"/>
      </w:pPr>
      <w:r>
        <w:t xml:space="preserve">Industrial Control System Disclosure</w:t>
      </w:r>
    </w:p>
    <w:p>
      <w:pPr>
        <w:spacing w:after="160"/>
      </w:pPr>
      <w:r>
        <w:t xml:space="preserve">A set of chained vulnerabilities affecting a widely deployed industrial data historian product was disclosed this week by the relevant government cybersecurity authority. This product is commonly positioned at the boundary between corporate IT networks and factory-floor operational technology systems. While no active exploitation has been confirmed, the severity of the most serious flaw warrants timely remediation within the standard operational technology patch cycle.</w:t>
      </w:r>
    </w:p>
    <w:p>
      <w:pPr>
        <w:pStyle w:val="Heading2"/>
      </w:pPr>
      <w:r>
        <w:t xml:space="preserve">Framework Coverage This Run</w:t>
      </w:r>
    </w:p>
    <w:p>
      <w:pPr>
        <w:spacing w:after="160"/>
      </w:pPr>
      <w:r>
        <w:t xml:space="preserve">All previously active frameworks were applied across this week's case documentation. No new framework additions were required this run. Frameworks applied: NIST CSF 2.0, NIST SP 800-53 Rev 5, ISO/IEC 27001:2022, CIS Controls v8, IEC 62443, NIST AI RMF, ISO/IEC 42001:2023, EU AI Act, MITRE ATT&amp;CK, CMMC 2.0, FedRAMP, PCI-DSS v4.0.</w:t>
      </w:r>
    </w:p>
    <w:p>
      <w:pPr>
        <w:pStyle w:val="Heading2"/>
      </w:pPr>
      <w:r>
        <w:t xml:space="preserve">Data Quality Note</w:t>
      </w:r>
    </w:p>
    <w:p>
      <w:pPr>
        <w:spacing w:after="160"/>
      </w:pPr>
      <w:r>
        <w:t xml:space="preserve">As noted in Section 4, five legacy risk register entries were found to have a column-alignment data issue originating from an earlier version of the register, predating this run. This is flagged here for completeness and recommended for correction; it does not affect any entries added during this run.</w:t>
      </w:r>
    </w:p>
    <w:p>
      <w:pPr>
        <w:pStyle w:val="Heading1"/>
      </w:pPr>
      <w:r>
        <w:t xml:space="preserve">7. Recommended Board Actions</w:t>
      </w:r>
    </w:p>
    <w:p>
      <w:pPr>
        <w:spacing w:after="160"/>
      </w:pPr>
      <w:r>
        <w:t xml:space="preserve">The following items are presented for board or senior leadership awareness and, where indicated,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360"/>
        <w:gridCol w:w="2200"/>
        <w:gridCol w:w="1300"/>
      </w:tblGrid>
      <w:tr>
        <w:tc>
          <w:tcPr>
            <w:tcW w:type="dxa" w:w="500"/>
            <w:tcBorders>
              <w:top w:val="single" w:color="1F4E78" w:sz="1"/>
              <w:left w:val="single" w:color="1F4E78" w:sz="1"/>
              <w:bottom w:val="single" w:color="1F4E78" w:sz="1"/>
              <w:right w:val="single" w:color="1F4E78" w:sz="1"/>
            </w:tcBorders>
            <w:shd w:fill="1F4E78" w:val="clear"/>
            <w:tcMar>
              <w:top w:type="dxa" w:w="80"/>
              <w:left w:type="dxa" w:w="100"/>
              <w:bottom w:type="dxa" w:w="80"/>
              <w:right w:type="dxa" w:w="100"/>
            </w:tcMar>
            <w:vAlign w:val="center"/>
          </w:tcPr>
          <w:p>
            <w:r>
              <w:rPr>
                <w:b/>
                <w:bCs/>
                <w:color w:val="FFFFFF"/>
                <w:sz w:val="18"/>
                <w:szCs w:val="18"/>
              </w:rPr>
              <w:t xml:space="preserve">#</w:t>
            </w:r>
          </w:p>
        </w:tc>
        <w:tc>
          <w:tcPr>
            <w:tcW w:type="dxa" w:w="5360"/>
            <w:tcBorders>
              <w:top w:val="single" w:color="1F4E78" w:sz="1"/>
              <w:left w:val="single" w:color="1F4E78" w:sz="1"/>
              <w:bottom w:val="single" w:color="1F4E78" w:sz="1"/>
              <w:right w:val="single" w:color="1F4E78" w:sz="1"/>
            </w:tcBorders>
            <w:shd w:fill="1F4E78" w:val="clear"/>
            <w:tcMar>
              <w:top w:type="dxa" w:w="80"/>
              <w:left w:type="dxa" w:w="100"/>
              <w:bottom w:type="dxa" w:w="80"/>
              <w:right w:type="dxa" w:w="100"/>
            </w:tcMar>
            <w:vAlign w:val="center"/>
          </w:tcPr>
          <w:p>
            <w:r>
              <w:rPr>
                <w:b/>
                <w:bCs/>
                <w:color w:val="FFFFFF"/>
                <w:sz w:val="18"/>
                <w:szCs w:val="18"/>
              </w:rPr>
              <w:t xml:space="preserve">Recommendation</w:t>
            </w:r>
          </w:p>
        </w:tc>
        <w:tc>
          <w:tcPr>
            <w:tcW w:type="dxa" w:w="2200"/>
            <w:tcBorders>
              <w:top w:val="single" w:color="1F4E78" w:sz="1"/>
              <w:left w:val="single" w:color="1F4E78" w:sz="1"/>
              <w:bottom w:val="single" w:color="1F4E78" w:sz="1"/>
              <w:right w:val="single" w:color="1F4E78" w:sz="1"/>
            </w:tcBorders>
            <w:shd w:fill="1F4E78" w:val="clear"/>
            <w:tcMar>
              <w:top w:type="dxa" w:w="80"/>
              <w:left w:type="dxa" w:w="100"/>
              <w:bottom w:type="dxa" w:w="80"/>
              <w:right w:type="dxa" w:w="100"/>
            </w:tcMar>
            <w:vAlign w:val="center"/>
          </w:tcPr>
          <w:p>
            <w:r>
              <w:rPr>
                <w:b/>
                <w:bCs/>
                <w:color w:val="FFFFFF"/>
                <w:sz w:val="18"/>
                <w:szCs w:val="18"/>
              </w:rPr>
              <w:t xml:space="preserve">Decision Required?</w:t>
            </w:r>
          </w:p>
        </w:tc>
        <w:tc>
          <w:tcPr>
            <w:tcW w:type="dxa" w:w="1300"/>
            <w:tcBorders>
              <w:top w:val="single" w:color="1F4E78" w:sz="1"/>
              <w:left w:val="single" w:color="1F4E78" w:sz="1"/>
              <w:bottom w:val="single" w:color="1F4E78" w:sz="1"/>
              <w:right w:val="single" w:color="1F4E78" w:sz="1"/>
            </w:tcBorders>
            <w:shd w:fill="1F4E78" w:val="clear"/>
            <w:tcMar>
              <w:top w:type="dxa" w:w="80"/>
              <w:left w:type="dxa" w:w="100"/>
              <w:bottom w:type="dxa" w:w="80"/>
              <w:right w:type="dxa" w:w="100"/>
            </w:tcMar>
            <w:vAlign w:val="center"/>
          </w:tcPr>
          <w:p>
            <w:r>
              <w:rPr>
                <w:b/>
                <w:bCs/>
                <w:color w:val="FFFFFF"/>
                <w:sz w:val="18"/>
                <w:szCs w:val="18"/>
              </w:rPr>
              <w:t xml:space="preserve">Owner</w:t>
            </w:r>
          </w:p>
        </w:tc>
      </w:tr>
      <w:t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1</w:t>
            </w:r>
          </w:p>
        </w:tc>
        <w:tc>
          <w:tcPr>
            <w:tcW w:type="dxa" w:w="53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Authorize emergency credential rotation for all AI provider keys proxied through any AI gateway in use, given active exploitation of an authentication-bypass flaw affecting this infrastructure class.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Yes — Emergency action authorization</w:t>
            </w:r>
          </w:p>
        </w:tc>
        <w:tc>
          <w:tcPr>
            <w:tcW w:type="dxa" w:w="13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CISO / AI Platform Eng.</w:t>
            </w:r>
          </w:p>
        </w:tc>
      </w:tr>
      <w:t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2</w:t>
            </w:r>
          </w:p>
        </w:tc>
        <w:tc>
          <w:tcPr>
            <w:tcW w:type="dxa" w:w="53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Approve confirmation review of shared hosting infrastructure for the LiteSpeed plugin flaw; the federal remediation deadline has already passed and the standard tenant-isolation control is defeated by this vulnerability.</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Yes — Priority confirmation</w:t>
            </w:r>
          </w:p>
        </w:tc>
        <w:tc>
          <w:tcPr>
            <w:tcW w:type="dxa" w:w="13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CISO / Hosting Ops</w:t>
            </w:r>
          </w:p>
        </w:tc>
      </w:tr>
      <w:t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3</w:t>
            </w:r>
          </w:p>
        </w:tc>
        <w:tc>
          <w:tcPr>
            <w:tcW w:type="dxa" w:w="53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Approve scan of any public-facing Joomla! sites for unauthorized files following the JCE plugin disclosure, given confirmed active exploitation and an unauthenticated attack path.</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Yes — Scan authorization</w:t>
            </w:r>
          </w:p>
        </w:tc>
        <w:tc>
          <w:tcPr>
            <w:tcW w:type="dxa" w:w="13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CISO / Web Ops</w:t>
            </w:r>
          </w:p>
        </w:tc>
      </w:tr>
      <w:t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4</w:t>
            </w:r>
          </w:p>
        </w:tc>
        <w:tc>
          <w:tcPr>
            <w:tcW w:type="dxa" w:w="53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Awareness only: industrial control system vulnerabilities affecting a major automation vendor's data historian product were identified at the IT/OT boundary; standard OT patch cycle remediation is underway, no active exploitation confirmed.</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No — Awareness only</w:t>
            </w:r>
          </w:p>
        </w:tc>
        <w:tc>
          <w:tcPr>
            <w:tcW w:type="dxa" w:w="13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OT/ICS Engineering</w:t>
            </w:r>
          </w:p>
        </w:tc>
      </w:tr>
      <w:t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5</w:t>
            </w:r>
          </w:p>
        </w:tc>
        <w:tc>
          <w:tcPr>
            <w:tcW w:type="dxa" w:w="536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Awareness only: a pre-existing data-formatting issue was identified in five legacy risk register entries (column misalignment from an earlier register version); these entries' risk ratings should be manually reviewed and corrected.</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No — Awareness; recommend correction</w:t>
            </w:r>
          </w:p>
        </w:tc>
        <w:tc>
          <w:tcPr>
            <w:tcW w:type="dxa" w:w="1300"/>
            <w:tcBorders>
              <w:top w:val="single" w:color="CCCCCC" w:sz="1"/>
              <w:left w:val="single" w:color="CCCCCC" w:sz="1"/>
              <w:bottom w:val="single" w:color="CCCCCC" w:sz="1"/>
              <w:right w:val="single" w:color="CCCCCC" w:sz="1"/>
            </w:tcBorders>
            <w:tcMar>
              <w:top w:type="dxa" w:w="70"/>
              <w:left w:type="dxa" w:w="100"/>
              <w:bottom w:type="dxa" w:w="70"/>
              <w:right w:type="dxa" w:w="100"/>
            </w:tcMar>
            <w:vAlign w:val="center"/>
          </w:tcPr>
          <w:p>
            <w:r>
              <w:rPr>
                <w:b w:val="false"/>
                <w:bCs w:val="false"/>
                <w:sz w:val="18"/>
                <w:szCs w:val="18"/>
              </w:rPr>
              <w:t xml:space="preserve">GRC</w:t>
            </w:r>
          </w:p>
        </w:tc>
      </w:tr>
    </w:tbl>
    <w:p>
      <w:pPr>
        <w:spacing w:before="360"/>
        <w:jc w:val="center"/>
      </w:pPr>
      <w:r>
        <w:rPr>
          <w:i/>
          <w:iCs/>
          <w:color w:val="888888"/>
          <w:sz w:val="16"/>
          <w:szCs w:val="16"/>
        </w:rPr>
        <w:t xml:space="preserve">Report generated by GRC Intelligence Program v2.1 | Analyst: Blaise Kingko | 2026-06-22 05:00 AM (automated)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GRC INTELLIGENCE PROGRAM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8" w:sz="6" w:space="2"/>
      </w:pBdr>
      <w:spacing w:after="160" w:before="280"/>
      <w:outlineLvl w:val="0"/>
    </w:pPr>
    <w:rPr>
      <w:rFonts w:ascii="Arial" w:cs="Arial" w:eastAsia="Arial" w:hAnsi="Arial"/>
      <w:b/>
      <w:bCs/>
      <w:color w:val="1F4E78"/>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1F4E7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2026-06-22T10:20:11.231Z</dcterms:created>
  <dcterms:modified xsi:type="dcterms:W3CDTF">2026-06-22T10:20:11.232Z</dcterms:modified>
</cp:coreProperties>
</file>

<file path=docProps/custom.xml><?xml version="1.0" encoding="utf-8"?>
<Properties xmlns="http://schemas.openxmlformats.org/officeDocument/2006/custom-properties" xmlns:vt="http://schemas.openxmlformats.org/officeDocument/2006/docPropsVTypes"/>
</file>