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WEEKLY GRC INTELLIGENCE EXECUTIVE REPORT</w:t>
      </w:r>
    </w:p>
    <w:p>
      <w:pPr>
        <w:spacing w:after="60"/>
        <w:jc w:val="center"/>
      </w:pPr>
      <w:r>
        <w:rPr>
          <w:color w:val="595959"/>
          <w:sz w:val="22"/>
          <w:szCs w:val="22"/>
        </w:rPr>
        <w:t xml:space="preserve">Blaise Kingko — GRC Intelligence Program</w:t>
      </w:r>
    </w:p>
    <w:p>
      <w:pPr>
        <w:spacing w:after="300"/>
        <w:jc w:val="center"/>
      </w:pPr>
      <w:r>
        <w:rPr>
          <w:i/>
          <w:iCs/>
          <w:color w:val="595959"/>
          <w:sz w:val="18"/>
          <w:szCs w:val="18"/>
        </w:rPr>
        <w:t xml:space="preserve">Report Period: August 3 – August 10, 2026   |   Prepared: August 10, 2026   |   Classification: Internal</w:t>
      </w:r>
    </w:p>
    <w:p>
      <w:pPr>
        <w:pStyle w:val="Heading1"/>
        <w:spacing w:after="160" w:before="320"/>
      </w:pPr>
      <w:r>
        <w:t xml:space="preserve">1. This Week's Threat Landscape</w:t>
      </w:r>
    </w:p>
    <w:p>
      <w:pPr>
        <w:spacing w:after="160"/>
      </w:pPr>
      <w:r>
        <w:t xml:space="preserve">This was an unusually active week. Five separate, actively-exploited security flaws were confirmed across widely-used business infrastructure — a remote-management tool used to administer computer fleets, a web application server, a network traffic-management appliance, and an AI workflow platform that has now had three serious flaws in three months. One of the five had already been under attack for over a month before it reached the federal government's official warning list, which is a useful reminder that vendor patch severity — not watch-list status — should drive our urgency. Separately, independent security researchers publicly disclosed a shared design flaw in AI "agent" software from three of the largest cloud and AI vendors; no attacks have been confirmed yet, but the pattern is worth our attention because it could exist in systems we build ourselves.</w:t>
      </w:r>
    </w:p>
    <w:p>
      <w:pPr>
        <w:pStyle w:val="Heading1"/>
        <w:spacing w:after="160" w:before="320"/>
      </w:pPr>
      <w:r>
        <w:t xml:space="preserve">2. Cases Identified This Week</w:t>
      </w:r>
    </w:p>
    <w:p>
      <w:pPr>
        <w:spacing w:after="160"/>
      </w:pPr>
      <w:r>
        <w:t xml:space="preserve">Six findings met our threshold for full documentation and risk-register tracking this week — five Critical and one High. No Critical or High findings were identified in the financial-services domain this week.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900"/>
        <w:gridCol w:w="1500"/>
        <w:gridCol w:w="2400"/>
      </w:tblGrid>
      <w:tr>
        <w:trPr>
          <w:tblHeader/>
        </w:trPr>
        <w:tc>
          <w:tcPr>
            <w:tcW w:type="dxa" w:w="1600"/>
            <w:shd w:fill="1F3864" w:color="auto" w:val="clear"/>
          </w:tcPr>
          <w:p>
            <w:pPr>
              <w:jc w:val="left"/>
            </w:pPr>
            <w:r>
              <w:rPr>
                <w:b/>
                <w:bCs/>
                <w:color w:val="FFFFFF"/>
                <w:sz w:val="18"/>
                <w:szCs w:val="18"/>
              </w:rPr>
              <w:t xml:space="preserve">Ref ID</w:t>
            </w:r>
          </w:p>
        </w:tc>
        <w:tc>
          <w:tcPr>
            <w:tcW w:type="dxa" w:w="2600"/>
            <w:shd w:fill="1F3864" w:color="auto" w:val="clear"/>
          </w:tcPr>
          <w:p>
            <w:pPr>
              <w:jc w:val="left"/>
            </w:pPr>
            <w:r>
              <w:rPr>
                <w:b/>
                <w:bCs/>
                <w:color w:val="FFFFFF"/>
                <w:sz w:val="18"/>
                <w:szCs w:val="18"/>
              </w:rPr>
              <w:t xml:space="preserve">Finding</w:t>
            </w:r>
          </w:p>
        </w:tc>
        <w:tc>
          <w:tcPr>
            <w:tcW w:type="dxa" w:w="1900"/>
            <w:shd w:fill="1F3864" w:color="auto" w:val="clear"/>
          </w:tcPr>
          <w:p>
            <w:pPr>
              <w:jc w:val="left"/>
            </w:pPr>
            <w:r>
              <w:rPr>
                <w:b/>
                <w:bCs/>
                <w:color w:val="FFFFFF"/>
                <w:sz w:val="18"/>
                <w:szCs w:val="18"/>
              </w:rPr>
              <w:t xml:space="preserve">Category</w:t>
            </w:r>
          </w:p>
        </w:tc>
        <w:tc>
          <w:tcPr>
            <w:tcW w:type="dxa" w:w="1500"/>
            <w:shd w:fill="1F3864" w:color="auto" w:val="clear"/>
          </w:tcPr>
          <w:p>
            <w:pPr>
              <w:jc w:val="left"/>
            </w:pPr>
            <w:r>
              <w:rPr>
                <w:b/>
                <w:bCs/>
                <w:color w:val="FFFFFF"/>
                <w:sz w:val="18"/>
                <w:szCs w:val="18"/>
              </w:rPr>
              <w:t xml:space="preserve">Rating</w:t>
            </w:r>
          </w:p>
        </w:tc>
        <w:tc>
          <w:tcPr>
            <w:tcW w:type="dxa" w:w="2400"/>
            <w:shd w:fill="1F3864" w:color="auto" w:val="clear"/>
          </w:tcPr>
          <w:p>
            <w:pPr>
              <w:jc w:val="left"/>
            </w:pPr>
            <w:r>
              <w:rPr>
                <w:b/>
                <w:bCs/>
                <w:color w:val="FFFFFF"/>
                <w:sz w:val="18"/>
                <w:szCs w:val="18"/>
              </w:rPr>
              <w:t xml:space="preserve">Status</w:t>
            </w:r>
          </w:p>
        </w:tc>
      </w:tr>
      <w:tr>
        <w:tc>
          <w:tcPr>
            <w:tcW w:type="dxa" w:w="1600"/>
            <w:shd w:fill="FFFFFF" w:color="auto" w:val="clear"/>
          </w:tcPr>
          <w:p>
            <w:pPr>
              <w:jc w:val="left"/>
            </w:pPr>
            <w:r>
              <w:rPr>
                <w:b w:val="false"/>
                <w:bCs w:val="false"/>
                <w:sz w:val="18"/>
                <w:szCs w:val="18"/>
              </w:rPr>
              <w:t xml:space="preserve">RR-045</w:t>
            </w:r>
          </w:p>
        </w:tc>
        <w:tc>
          <w:tcPr>
            <w:tcW w:type="dxa" w:w="2600"/>
            <w:shd w:fill="FFFFFF" w:color="auto" w:val="clear"/>
          </w:tcPr>
          <w:p>
            <w:pPr>
              <w:jc w:val="left"/>
            </w:pPr>
            <w:r>
              <w:rPr>
                <w:b w:val="false"/>
                <w:bCs w:val="false"/>
                <w:sz w:val="18"/>
                <w:szCs w:val="18"/>
              </w:rPr>
              <w:t xml:space="preserve">AI workflow platform — unauthenticated takeover chain (3rd finding on this platform in 90 days)</w:t>
            </w:r>
          </w:p>
        </w:tc>
        <w:tc>
          <w:tcPr>
            <w:tcW w:type="dxa" w:w="1900"/>
            <w:shd w:fill="FFFFFF" w:color="auto" w:val="clear"/>
          </w:tcPr>
          <w:p>
            <w:pPr>
              <w:jc w:val="left"/>
            </w:pPr>
            <w:r>
              <w:rPr>
                <w:b w:val="false"/>
                <w:bCs w:val="false"/>
                <w:sz w:val="18"/>
                <w:szCs w:val="18"/>
              </w:rPr>
              <w:t xml:space="preserve">AI Governance / Cloud Security</w:t>
            </w:r>
          </w:p>
        </w:tc>
        <w:tc>
          <w:tcPr>
            <w:tcW w:type="dxa" w:w="1500"/>
            <w:shd w:fill="FFFFFF" w:color="auto" w:val="clear"/>
          </w:tcPr>
          <w:p>
            <w:pPr>
              <w:jc w:val="left"/>
            </w:pPr>
            <w:r>
              <w:rPr>
                <w:b w:val="false"/>
                <w:bCs w:val="false"/>
                <w:sz w:val="18"/>
                <w:szCs w:val="18"/>
              </w:rPr>
              <w:t xml:space="preserve">Critical</w:t>
            </w:r>
          </w:p>
        </w:tc>
        <w:tc>
          <w:tcPr>
            <w:tcW w:type="dxa" w:w="2400"/>
            <w:shd w:fill="FFFFFF" w:color="auto" w:val="clear"/>
          </w:tcPr>
          <w:p>
            <w:pPr>
              <w:jc w:val="left"/>
            </w:pPr>
            <w:r>
              <w:rPr>
                <w:b w:val="false"/>
                <w:bCs w:val="false"/>
                <w:sz w:val="18"/>
                <w:szCs w:val="18"/>
              </w:rPr>
              <w:t xml:space="preserve">Patch in progress</w:t>
            </w:r>
          </w:p>
        </w:tc>
      </w:tr>
      <w:tr>
        <w:tc>
          <w:tcPr>
            <w:tcW w:type="dxa" w:w="1600"/>
            <w:shd w:fill="F2F2F2" w:color="auto" w:val="clear"/>
          </w:tcPr>
          <w:p>
            <w:pPr>
              <w:jc w:val="left"/>
            </w:pPr>
            <w:r>
              <w:rPr>
                <w:b w:val="false"/>
                <w:bCs w:val="false"/>
                <w:sz w:val="18"/>
                <w:szCs w:val="18"/>
              </w:rPr>
              <w:t xml:space="preserve">RR-046</w:t>
            </w:r>
          </w:p>
        </w:tc>
        <w:tc>
          <w:tcPr>
            <w:tcW w:type="dxa" w:w="2600"/>
            <w:shd w:fill="F2F2F2" w:color="auto" w:val="clear"/>
          </w:tcPr>
          <w:p>
            <w:pPr>
              <w:jc w:val="left"/>
            </w:pPr>
            <w:r>
              <w:rPr>
                <w:b w:val="false"/>
                <w:bCs w:val="false"/>
                <w:sz w:val="18"/>
                <w:szCs w:val="18"/>
              </w:rPr>
              <w:t xml:space="preserve">Remote-management platform — login bypass; vendor's first fix incomplete</w:t>
            </w:r>
          </w:p>
        </w:tc>
        <w:tc>
          <w:tcPr>
            <w:tcW w:type="dxa" w:w="1900"/>
            <w:shd w:fill="F2F2F2" w:color="auto" w:val="clear"/>
          </w:tcPr>
          <w:p>
            <w:pPr>
              <w:jc w:val="left"/>
            </w:pPr>
            <w:r>
              <w:rPr>
                <w:b w:val="false"/>
                <w:bCs w:val="false"/>
                <w:sz w:val="18"/>
                <w:szCs w:val="18"/>
              </w:rPr>
              <w:t xml:space="preserve">IT/OT Infrastructure</w:t>
            </w:r>
          </w:p>
        </w:tc>
        <w:tc>
          <w:tcPr>
            <w:tcW w:type="dxa" w:w="1500"/>
            <w:shd w:fill="F2F2F2" w:color="auto" w:val="clear"/>
          </w:tcPr>
          <w:p>
            <w:pPr>
              <w:jc w:val="left"/>
            </w:pPr>
            <w:r>
              <w:rPr>
                <w:b w:val="false"/>
                <w:bCs w:val="false"/>
                <w:sz w:val="18"/>
                <w:szCs w:val="18"/>
              </w:rPr>
              <w:t xml:space="preserve">Critical</w:t>
            </w:r>
          </w:p>
        </w:tc>
        <w:tc>
          <w:tcPr>
            <w:tcW w:type="dxa" w:w="2400"/>
            <w:shd w:fill="F2F2F2" w:color="auto" w:val="clear"/>
          </w:tcPr>
          <w:p>
            <w:pPr>
              <w:jc w:val="left"/>
            </w:pPr>
            <w:r>
              <w:rPr>
                <w:b w:val="false"/>
                <w:bCs w:val="false"/>
                <w:sz w:val="18"/>
                <w:szCs w:val="18"/>
              </w:rPr>
              <w:t xml:space="preserve">Patch in progress</w:t>
            </w:r>
          </w:p>
        </w:tc>
      </w:tr>
      <w:tr>
        <w:tc>
          <w:tcPr>
            <w:tcW w:type="dxa" w:w="1600"/>
            <w:shd w:fill="FFFFFF" w:color="auto" w:val="clear"/>
          </w:tcPr>
          <w:p>
            <w:pPr>
              <w:jc w:val="left"/>
            </w:pPr>
            <w:r>
              <w:rPr>
                <w:b w:val="false"/>
                <w:bCs w:val="false"/>
                <w:sz w:val="18"/>
                <w:szCs w:val="18"/>
              </w:rPr>
              <w:t xml:space="preserve">RR-047</w:t>
            </w:r>
          </w:p>
        </w:tc>
        <w:tc>
          <w:tcPr>
            <w:tcW w:type="dxa" w:w="2600"/>
            <w:shd w:fill="FFFFFF" w:color="auto" w:val="clear"/>
          </w:tcPr>
          <w:p>
            <w:pPr>
              <w:jc w:val="left"/>
            </w:pPr>
            <w:r>
              <w:rPr>
                <w:b w:val="false"/>
                <w:bCs w:val="false"/>
                <w:sz w:val="18"/>
                <w:szCs w:val="18"/>
              </w:rPr>
              <w:t xml:space="preserve">Web application server — encryption-bypass flaw exploited with AI-assisted attacker tooling</w:t>
            </w:r>
          </w:p>
        </w:tc>
        <w:tc>
          <w:tcPr>
            <w:tcW w:type="dxa" w:w="1900"/>
            <w:shd w:fill="FFFFFF" w:color="auto" w:val="clear"/>
          </w:tcPr>
          <w:p>
            <w:pPr>
              <w:jc w:val="left"/>
            </w:pPr>
            <w:r>
              <w:rPr>
                <w:b w:val="false"/>
                <w:bCs w:val="false"/>
                <w:sz w:val="18"/>
                <w:szCs w:val="18"/>
              </w:rPr>
              <w:t xml:space="preserve">IT/OT Infrastructure</w:t>
            </w:r>
          </w:p>
        </w:tc>
        <w:tc>
          <w:tcPr>
            <w:tcW w:type="dxa" w:w="1500"/>
            <w:shd w:fill="FFFFFF" w:color="auto" w:val="clear"/>
          </w:tcPr>
          <w:p>
            <w:pPr>
              <w:jc w:val="left"/>
            </w:pPr>
            <w:r>
              <w:rPr>
                <w:b w:val="false"/>
                <w:bCs w:val="false"/>
                <w:sz w:val="18"/>
                <w:szCs w:val="18"/>
              </w:rPr>
              <w:t xml:space="preserve">Critical</w:t>
            </w:r>
          </w:p>
        </w:tc>
        <w:tc>
          <w:tcPr>
            <w:tcW w:type="dxa" w:w="2400"/>
            <w:shd w:fill="FFFFFF" w:color="auto" w:val="clear"/>
          </w:tcPr>
          <w:p>
            <w:pPr>
              <w:jc w:val="left"/>
            </w:pPr>
            <w:r>
              <w:rPr>
                <w:b w:val="false"/>
                <w:bCs w:val="false"/>
                <w:sz w:val="18"/>
                <w:szCs w:val="18"/>
              </w:rPr>
              <w:t xml:space="preserve">Patch in progress</w:t>
            </w:r>
          </w:p>
        </w:tc>
      </w:tr>
      <w:tr>
        <w:tc>
          <w:tcPr>
            <w:tcW w:type="dxa" w:w="1600"/>
            <w:shd w:fill="F2F2F2" w:color="auto" w:val="clear"/>
          </w:tcPr>
          <w:p>
            <w:pPr>
              <w:jc w:val="left"/>
            </w:pPr>
            <w:r>
              <w:rPr>
                <w:b w:val="false"/>
                <w:bCs w:val="false"/>
                <w:sz w:val="18"/>
                <w:szCs w:val="18"/>
              </w:rPr>
              <w:t xml:space="preserve">RR-048</w:t>
            </w:r>
          </w:p>
        </w:tc>
        <w:tc>
          <w:tcPr>
            <w:tcW w:type="dxa" w:w="2600"/>
            <w:shd w:fill="F2F2F2" w:color="auto" w:val="clear"/>
          </w:tcPr>
          <w:p>
            <w:pPr>
              <w:jc w:val="left"/>
            </w:pPr>
            <w:r>
              <w:rPr>
                <w:b w:val="false"/>
                <w:bCs w:val="false"/>
                <w:sz w:val="18"/>
                <w:szCs w:val="18"/>
              </w:rPr>
              <w:t xml:space="preserve">Network traffic appliance — full takeover flaw exploited for 5+ weeks before public warning</w:t>
            </w:r>
          </w:p>
        </w:tc>
        <w:tc>
          <w:tcPr>
            <w:tcW w:type="dxa" w:w="1900"/>
            <w:shd w:fill="F2F2F2" w:color="auto" w:val="clear"/>
          </w:tcPr>
          <w:p>
            <w:pPr>
              <w:jc w:val="left"/>
            </w:pPr>
            <w:r>
              <w:rPr>
                <w:b w:val="false"/>
                <w:bCs w:val="false"/>
                <w:sz w:val="18"/>
                <w:szCs w:val="18"/>
              </w:rPr>
              <w:t xml:space="preserve">IT/OT Infrastructure</w:t>
            </w:r>
          </w:p>
        </w:tc>
        <w:tc>
          <w:tcPr>
            <w:tcW w:type="dxa" w:w="1500"/>
            <w:shd w:fill="F2F2F2" w:color="auto" w:val="clear"/>
          </w:tcPr>
          <w:p>
            <w:pPr>
              <w:jc w:val="left"/>
            </w:pPr>
            <w:r>
              <w:rPr>
                <w:b w:val="false"/>
                <w:bCs w:val="false"/>
                <w:sz w:val="18"/>
                <w:szCs w:val="18"/>
              </w:rPr>
              <w:t xml:space="preserve">Critical</w:t>
            </w:r>
          </w:p>
        </w:tc>
        <w:tc>
          <w:tcPr>
            <w:tcW w:type="dxa" w:w="2400"/>
            <w:shd w:fill="F2F2F2" w:color="auto" w:val="clear"/>
          </w:tcPr>
          <w:p>
            <w:pPr>
              <w:jc w:val="left"/>
            </w:pPr>
            <w:r>
              <w:rPr>
                <w:b w:val="false"/>
                <w:bCs w:val="false"/>
                <w:sz w:val="18"/>
                <w:szCs w:val="18"/>
              </w:rPr>
              <w:t xml:space="preserve">Patch in progress</w:t>
            </w:r>
          </w:p>
        </w:tc>
      </w:tr>
      <w:tr>
        <w:tc>
          <w:tcPr>
            <w:tcW w:type="dxa" w:w="1600"/>
            <w:shd w:fill="FFFFFF" w:color="auto" w:val="clear"/>
          </w:tcPr>
          <w:p>
            <w:pPr>
              <w:jc w:val="left"/>
            </w:pPr>
            <w:r>
              <w:rPr>
                <w:b w:val="false"/>
                <w:bCs w:val="false"/>
                <w:sz w:val="18"/>
                <w:szCs w:val="18"/>
              </w:rPr>
              <w:t xml:space="preserve">RR-049</w:t>
            </w:r>
          </w:p>
        </w:tc>
        <w:tc>
          <w:tcPr>
            <w:tcW w:type="dxa" w:w="2600"/>
            <w:shd w:fill="FFFFFF" w:color="auto" w:val="clear"/>
          </w:tcPr>
          <w:p>
            <w:pPr>
              <w:jc w:val="left"/>
            </w:pPr>
            <w:r>
              <w:rPr>
                <w:b w:val="false"/>
                <w:bCs w:val="false"/>
                <w:sz w:val="18"/>
                <w:szCs w:val="18"/>
              </w:rPr>
              <w:t xml:space="preserve">AI agent tooling — cross-vendor design flaw in how agents verify their own actions</w:t>
            </w:r>
          </w:p>
        </w:tc>
        <w:tc>
          <w:tcPr>
            <w:tcW w:type="dxa" w:w="1900"/>
            <w:shd w:fill="FFFFFF" w:color="auto" w:val="clear"/>
          </w:tcPr>
          <w:p>
            <w:pPr>
              <w:jc w:val="left"/>
            </w:pPr>
            <w:r>
              <w:rPr>
                <w:b w:val="false"/>
                <w:bCs w:val="false"/>
                <w:sz w:val="18"/>
                <w:szCs w:val="18"/>
              </w:rPr>
              <w:t xml:space="preserve">AI Governance / Cloud Security</w:t>
            </w:r>
          </w:p>
        </w:tc>
        <w:tc>
          <w:tcPr>
            <w:tcW w:type="dxa" w:w="1500"/>
            <w:shd w:fill="FFFFFF" w:color="auto" w:val="clear"/>
          </w:tcPr>
          <w:p>
            <w:pPr>
              <w:jc w:val="left"/>
            </w:pPr>
            <w:r>
              <w:rPr>
                <w:b w:val="false"/>
                <w:bCs w:val="false"/>
                <w:sz w:val="18"/>
                <w:szCs w:val="18"/>
              </w:rPr>
              <w:t xml:space="preserve">Critical</w:t>
            </w:r>
          </w:p>
        </w:tc>
        <w:tc>
          <w:tcPr>
            <w:tcW w:type="dxa" w:w="2400"/>
            <w:shd w:fill="FFFFFF" w:color="auto" w:val="clear"/>
          </w:tcPr>
          <w:p>
            <w:pPr>
              <w:jc w:val="left"/>
            </w:pPr>
            <w:r>
              <w:rPr>
                <w:b w:val="false"/>
                <w:bCs w:val="false"/>
                <w:sz w:val="18"/>
                <w:szCs w:val="18"/>
              </w:rPr>
              <w:t xml:space="preserve">Vendor-patched; internal review open</w:t>
            </w:r>
          </w:p>
        </w:tc>
      </w:tr>
      <w:tr>
        <w:tc>
          <w:tcPr>
            <w:tcW w:type="dxa" w:w="1600"/>
            <w:shd w:fill="F2F2F2" w:color="auto" w:val="clear"/>
          </w:tcPr>
          <w:p>
            <w:pPr>
              <w:jc w:val="left"/>
            </w:pPr>
            <w:r>
              <w:rPr>
                <w:b w:val="false"/>
                <w:bCs w:val="false"/>
                <w:sz w:val="18"/>
                <w:szCs w:val="18"/>
              </w:rPr>
              <w:t xml:space="preserve">RR-050</w:t>
            </w:r>
          </w:p>
        </w:tc>
        <w:tc>
          <w:tcPr>
            <w:tcW w:type="dxa" w:w="2600"/>
            <w:shd w:fill="F2F2F2" w:color="auto" w:val="clear"/>
          </w:tcPr>
          <w:p>
            <w:pPr>
              <w:jc w:val="left"/>
            </w:pPr>
            <w:r>
              <w:rPr>
                <w:b w:val="false"/>
                <w:bCs w:val="false"/>
                <w:sz w:val="18"/>
                <w:szCs w:val="18"/>
              </w:rPr>
              <w:t xml:space="preserve">Software delivery pipeline — server takeover path requiring existing limited access</w:t>
            </w:r>
          </w:p>
        </w:tc>
        <w:tc>
          <w:tcPr>
            <w:tcW w:type="dxa" w:w="1900"/>
            <w:shd w:fill="F2F2F2" w:color="auto" w:val="clear"/>
          </w:tcPr>
          <w:p>
            <w:pPr>
              <w:jc w:val="left"/>
            </w:pPr>
            <w:r>
              <w:rPr>
                <w:b w:val="false"/>
                <w:bCs w:val="false"/>
                <w:sz w:val="18"/>
                <w:szCs w:val="18"/>
              </w:rPr>
              <w:t xml:space="preserve">Cloud Security</w:t>
            </w:r>
          </w:p>
        </w:tc>
        <w:tc>
          <w:tcPr>
            <w:tcW w:type="dxa" w:w="1500"/>
            <w:shd w:fill="F2F2F2" w:color="auto" w:val="clear"/>
          </w:tcPr>
          <w:p>
            <w:pPr>
              <w:jc w:val="left"/>
            </w:pPr>
            <w:r>
              <w:rPr>
                <w:b w:val="false"/>
                <w:bCs w:val="false"/>
                <w:sz w:val="18"/>
                <w:szCs w:val="18"/>
              </w:rPr>
              <w:t xml:space="preserve">High</w:t>
            </w:r>
          </w:p>
        </w:tc>
        <w:tc>
          <w:tcPr>
            <w:tcW w:type="dxa" w:w="2400"/>
            <w:shd w:fill="F2F2F2" w:color="auto" w:val="clear"/>
          </w:tcPr>
          <w:p>
            <w:pPr>
              <w:jc w:val="left"/>
            </w:pPr>
            <w:r>
              <w:rPr>
                <w:b w:val="false"/>
                <w:bCs w:val="false"/>
                <w:sz w:val="18"/>
                <w:szCs w:val="18"/>
              </w:rPr>
              <w:t xml:space="preserve">Patch scheduled</w:t>
            </w:r>
          </w:p>
        </w:tc>
      </w:tr>
    </w:tbl>
    <w:p>
      <w:pPr>
        <w:spacing w:after="200"/>
      </w:pPr>
    </w:p>
    <w:p>
      <w:pPr>
        <w:pStyle w:val="Heading2"/>
        <w:spacing w:after="120" w:before="240"/>
      </w:pPr>
      <w:r>
        <w:t xml:space="preserve">Narrative — Critical and High Findings</w:t>
      </w:r>
    </w:p>
    <w:p>
      <w:pPr>
        <w:spacing w:after="160"/>
      </w:pPr>
      <w:r>
        <w:t xml:space="preserve">The AI workflow platform issue (RR-045) is the third serious flaw found in the same product in ninety days. Individually each has been patched quickly; together they indicate the platform's own security practices, not just isolated bugs, deserve scrutiny before we expand its use for anything sensitive.</w:t>
      </w:r>
    </w:p>
    <w:p>
      <w:pPr>
        <w:spacing w:after="160"/>
      </w:pPr>
      <w:r>
        <w:t xml:space="preserve">The remote-management platform issue (RR-046) is concerning because that class of tool is specifically built to have full remote control over every computer it manages. The vendor's first attempted fix did not fully close the hole, and attackers found a second way in before the corrected fix shipped — a reminder that we should verify vendor fixes ourselves rather than closing an issue the moment a patch is announced.</w:t>
      </w:r>
    </w:p>
    <w:p>
      <w:pPr>
        <w:spacing w:after="160"/>
      </w:pPr>
      <w:r>
        <w:t xml:space="preserve">The web application server issue (RR-047) is notable because attackers reportedly used AI tools to speed up their exploitation of it. This is one of the clearer signals we have seen that attacker tradecraft, not just defender tooling, is being accelerated by AI — a trend that should factor into how quickly we treat future disclosures.</w:t>
      </w:r>
    </w:p>
    <w:p>
      <w:pPr>
        <w:spacing w:after="160"/>
      </w:pPr>
      <w:r>
        <w:t xml:space="preserve">The network appliance issue (RR-048) had been actively exploited for over five weeks before it appeared on the federal government's official warning list. Any organization that waits for that list before treating a critical vendor patch as urgent is, in practice, giving attackers a multi-week head start.</w:t>
      </w:r>
    </w:p>
    <w:p>
      <w:pPr>
        <w:spacing w:after="160"/>
      </w:pPr>
      <w:r>
        <w:t xml:space="preserve">The AI agent design flaw (RR-049) is different in kind from the others: it is not a single product bug but the same category of mistake made independently by engineering teams at three major vendors, in how their AI agent software confirms that an action was genuinely approved before carrying it out. No attacks have been confirmed, but because the same mistake appeared in three unrelated codebases, it is worth checking whether we have the same gap in anything we have built in-house.</w:t>
      </w:r>
    </w:p>
    <w:p>
      <w:pPr>
        <w:spacing w:after="160"/>
      </w:pPr>
      <w:r>
        <w:t xml:space="preserve">The software-delivery-pipeline issue (RR-050) requires an attacker to already hold some limited access before it can be used — it is not open to the general internet — but the tool it affects typically holds the credentials for our entire software build-and-deployment process, so it still warrants prompt attention.</w:t>
      </w:r>
    </w:p>
    <w:p>
      <w:pPr>
        <w:pStyle w:val="Heading1"/>
        <w:spacing w:after="160" w:before="320"/>
      </w:pPr>
      <w:r>
        <w:t xml:space="preserve">3. Top 3 Critical Risks</w:t>
      </w:r>
    </w:p>
    <w:p>
      <w:pPr>
        <w:pStyle w:val="Heading2"/>
        <w:spacing w:after="120" w:before="240"/>
      </w:pPr>
      <w:r>
        <w:t xml:space="preserve">1. Recurring AI Workflow Platform Weaknesses</w:t>
      </w:r>
    </w:p>
    <w:p>
      <w:pPr>
        <w:spacing w:after="160"/>
      </w:pPr>
      <w:r>
        <w:t xml:space="preserve">Three serious security flaws in the same AI workflow platform within ninety days is a pattern, not a coincidence. Each individual flaw has been patched, but the recurrence rate raises a real question about whether this platform should be trusted with sensitive data connections without additional compensating controls. We are treating this as a standing governance item, not a closed ticket, and will track it explicitly against our AI system risk inventory going forward.</w:t>
      </w:r>
    </w:p>
    <w:p>
      <w:pPr>
        <w:pStyle w:val="Heading2"/>
        <w:spacing w:after="120" w:before="240"/>
      </w:pPr>
      <w:r>
        <w:t xml:space="preserve">2. Management-Plane and Perimeter Infrastructure Under Sustained Attack</w:t>
      </w:r>
    </w:p>
    <w:p>
      <w:pPr>
        <w:spacing w:after="160"/>
      </w:pPr>
      <w:r>
        <w:t xml:space="preserve">Three of this week's findings — a remote-management tool, a web server, and a network appliance — all involve infrastructure that sits at a position of elevated trust: administering other systems, running customer-facing applications, or routing production traffic. All three were being actively exploited, and in one case for over a month before it reached the federal watch list. Together they reinforce a pattern this program has tracked for months: perimeter and management-plane infrastructure remains the most consistently targeted category of enterprise technology, and our patch-prioritization policy should treat vendor severity ratings, not watch-list membership, as the primary trigger for urgency.</w:t>
      </w:r>
    </w:p>
    <w:p>
      <w:pPr>
        <w:pStyle w:val="Heading2"/>
        <w:spacing w:after="120" w:before="240"/>
      </w:pPr>
      <w:r>
        <w:t xml:space="preserve">3. A Shared Design Flaw in AI Agent Software Across Three Major Vendors</w:t>
      </w:r>
    </w:p>
    <w:p>
      <w:pPr>
        <w:spacing w:after="160"/>
      </w:pPr>
      <w:r>
        <w:t xml:space="preserve">Independent researchers found the same category of authorization mistake in AI agent tooling from Amazon, Google, and Vercel — software that lets an AI take real-world actions like deploying code or accessing cloud accounts. No confirmed attacks exist yet, and all three vendors have shipped fixes, but the fact that three separate engineering organizations made the same mistake suggests it is an easy trap to fall into. We are treating this as an early-warning signal to review our own AI agent development practices before, not after, a similar gap surfaces in something we built.</w:t>
      </w:r>
    </w:p>
    <w:p>
      <w:pPr>
        <w:pStyle w:val="Heading1"/>
        <w:spacing w:after="160" w:before="320"/>
      </w:pPr>
      <w:r>
        <w:t xml:space="preserve">4. AI Governance Watch</w:t>
      </w:r>
    </w:p>
    <w:p>
      <w:pPr>
        <w:pStyle w:val="ListParagraph"/>
        <w:numPr>
          <w:ilvl w:val="0"/>
          <w:numId w:val="1"/>
        </w:numPr>
        <w:spacing w:after="100"/>
      </w:pPr>
      <w:r>
        <w:t xml:space="preserve">A recurring pattern of security flaws in AI agent and workflow platforms continued this week, including the third flaw in ninety days on one platform and a newly-disclosed, cross-vendor design flaw affecting how AI agents verify that an action was genuinely approved before executing it. Neither is a regulatory development, but both are directly relevant to our AI risk inventory and vendor-due-diligence practices.</w:t>
      </w:r>
    </w:p>
    <w:p>
      <w:pPr>
        <w:pStyle w:val="ListParagraph"/>
        <w:numPr>
          <w:ilvl w:val="0"/>
          <w:numId w:val="1"/>
        </w:numPr>
        <w:spacing w:after="100"/>
      </w:pPr>
      <w:r>
        <w:t xml:space="preserve">A pending California bill (SB 1000) could significantly revise the AI transparency law that took effect earlier this month, potentially removing key thresholds and disclosure requirements within weeks of taking effect. We are monitoring but not yet acting, since the law is not final.</w:t>
      </w:r>
    </w:p>
    <w:p>
      <w:pPr>
        <w:pStyle w:val="ListParagraph"/>
        <w:numPr>
          <w:ilvl w:val="0"/>
          <w:numId w:val="1"/>
        </w:numPr>
        <w:spacing w:after="100"/>
      </w:pPr>
      <w:r>
        <w:t xml:space="preserve">China has moved quickly to expand its own AI governance rules this month, including new requirements for AI services and cross-border data transfers, and has begun issuing its first fines for non-compliance. This is relevant primarily if we operate or plan to operate AI systems reaching Chinese users or data.</w:t>
      </w:r>
    </w:p>
    <w:p>
      <w:pPr>
        <w:pStyle w:val="ListParagraph"/>
        <w:numPr>
          <w:ilvl w:val="0"/>
          <w:numId w:val="1"/>
        </w:numPr>
        <w:spacing w:after="100"/>
      </w:pPr>
      <w:r>
        <w:t xml:space="preserve">No changes to the AI regulatory frameworks we actively govern against (the federal AI risk-management framework or the international AI-management-system standard) this week.</w:t>
      </w:r>
    </w:p>
    <w:p>
      <w:pPr>
        <w:pStyle w:val="Heading1"/>
        <w:spacing w:after="160" w:before="320"/>
      </w:pPr>
      <w:r>
        <w:t xml:space="preserve">5. Compliance Posture</w:t>
      </w:r>
    </w:p>
    <w:p>
      <w:pPr>
        <w:pStyle w:val="ListParagraph"/>
        <w:numPr>
          <w:ilvl w:val="0"/>
          <w:numId w:val="1"/>
        </w:numPr>
        <w:spacing w:after="100"/>
      </w:pPr>
      <w:r>
        <w:t xml:space="preserve">No changes to our core control frameworks (the federal cybersecurity framework, the federal control catalog, the international information-security standard, or the prioritized safeguards list) this week — all six new risk-register findings map to frameworks we already actively govern against.</w:t>
      </w:r>
    </w:p>
    <w:p>
      <w:pPr>
        <w:pStyle w:val="ListParagraph"/>
        <w:numPr>
          <w:ilvl w:val="0"/>
          <w:numId w:val="1"/>
        </w:numPr>
        <w:spacing w:after="100"/>
      </w:pPr>
      <w:r>
        <w:t xml:space="preserve">The federal government issued a draft update to its IoT device security guidance for public comment (open through August 24), relevant background for any future findings touching connected/embedded devices, though it does not require action from us today.</w:t>
      </w:r>
    </w:p>
    <w:p>
      <w:pPr>
        <w:pStyle w:val="ListParagraph"/>
        <w:numPr>
          <w:ilvl w:val="0"/>
          <w:numId w:val="1"/>
        </w:numPr>
        <w:spacing w:after="100"/>
      </w:pPr>
      <w:r>
        <w:t xml:space="preserve">The federal cloud-authorization program opened a new certification pathway this week for cloud providers transitioning between older and newer authorization tracks — worth awareness for vendor due-diligence conversations with any cloud provider currently mid-transition, but not a direct action item for us.</w:t>
      </w:r>
    </w:p>
    <w:p>
      <w:pPr>
        <w:pStyle w:val="Heading1"/>
        <w:spacing w:after="160" w:before="320"/>
      </w:pPr>
      <w:r>
        <w:t xml:space="preserve">6. Recommended Executive Actions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1600"/>
      </w:tblGrid>
      <w:tr>
        <w:trPr>
          <w:tblHeader/>
        </w:trPr>
        <w:tc>
          <w:tcPr>
            <w:tcW w:type="dxa" w:w="4200"/>
            <w:shd w:fill="1F3864" w:color="auto" w:val="clear"/>
          </w:tcPr>
          <w:p>
            <w:pPr>
              <w:jc w:val="left"/>
            </w:pPr>
            <w:r>
              <w:rPr>
                <w:b/>
                <w:bCs/>
                <w:color w:val="FFFFFF"/>
                <w:sz w:val="18"/>
                <w:szCs w:val="18"/>
              </w:rPr>
              <w:t xml:space="preserve">Action</w:t>
            </w:r>
          </w:p>
        </w:tc>
        <w:tc>
          <w:tcPr>
            <w:tcW w:type="dxa" w:w="2200"/>
            <w:shd w:fill="1F3864" w:color="auto" w:val="clear"/>
          </w:tcPr>
          <w:p>
            <w:pPr>
              <w:jc w:val="left"/>
            </w:pPr>
            <w:r>
              <w:rPr>
                <w:b/>
                <w:bCs/>
                <w:color w:val="FFFFFF"/>
                <w:sz w:val="18"/>
                <w:szCs w:val="18"/>
              </w:rPr>
              <w:t xml:space="preserve">Owner</w:t>
            </w:r>
          </w:p>
        </w:tc>
        <w:tc>
          <w:tcPr>
            <w:tcW w:type="dxa" w:w="1600"/>
            <w:shd w:fill="1F3864" w:color="auto" w:val="clear"/>
          </w:tcPr>
          <w:p>
            <w:pPr>
              <w:jc w:val="left"/>
            </w:pPr>
            <w:r>
              <w:rPr>
                <w:b/>
                <w:bCs/>
                <w:color w:val="FFFFFF"/>
                <w:sz w:val="18"/>
                <w:szCs w:val="18"/>
              </w:rPr>
              <w:t xml:space="preserve">Timeline</w:t>
            </w:r>
          </w:p>
        </w:tc>
      </w:tr>
      <w:tr>
        <w:tc>
          <w:tcPr>
            <w:tcW w:type="dxa" w:w="4200"/>
            <w:shd w:fill="FFFFFF" w:color="auto" w:val="clear"/>
          </w:tcPr>
          <w:p>
            <w:pPr>
              <w:jc w:val="left"/>
            </w:pPr>
            <w:r>
              <w:rPr>
                <w:b w:val="false"/>
                <w:bCs w:val="false"/>
                <w:sz w:val="18"/>
                <w:szCs w:val="18"/>
              </w:rPr>
              <w:t xml:space="preserve">Confirm patch status on all five perimeter/platform findings above and close any still-open critical patches</w:t>
            </w:r>
          </w:p>
        </w:tc>
        <w:tc>
          <w:tcPr>
            <w:tcW w:type="dxa" w:w="2200"/>
            <w:shd w:fill="FFFFFF" w:color="auto" w:val="clear"/>
          </w:tcPr>
          <w:p>
            <w:pPr>
              <w:jc w:val="left"/>
            </w:pPr>
            <w:r>
              <w:rPr>
                <w:b w:val="false"/>
                <w:bCs w:val="false"/>
                <w:sz w:val="18"/>
                <w:szCs w:val="18"/>
              </w:rPr>
              <w:t xml:space="preserve">IT Operations / Platform Engineering</w:t>
            </w:r>
          </w:p>
        </w:tc>
        <w:tc>
          <w:tcPr>
            <w:tcW w:type="dxa" w:w="1600"/>
            <w:shd w:fill="FFFFFF" w:color="auto" w:val="clear"/>
          </w:tcPr>
          <w:p>
            <w:pPr>
              <w:jc w:val="left"/>
            </w:pPr>
            <w:r>
              <w:rPr>
                <w:b w:val="false"/>
                <w:bCs w:val="false"/>
                <w:sz w:val="18"/>
                <w:szCs w:val="18"/>
              </w:rPr>
              <w:t xml:space="preserve">This week</w:t>
            </w:r>
          </w:p>
        </w:tc>
      </w:tr>
      <w:tr>
        <w:tc>
          <w:tcPr>
            <w:tcW w:type="dxa" w:w="4200"/>
            <w:shd w:fill="F2F2F2" w:color="auto" w:val="clear"/>
          </w:tcPr>
          <w:p>
            <w:pPr>
              <w:jc w:val="left"/>
            </w:pPr>
            <w:r>
              <w:rPr>
                <w:b w:val="false"/>
                <w:bCs w:val="false"/>
                <w:sz w:val="18"/>
                <w:szCs w:val="18"/>
              </w:rPr>
              <w:t xml:space="preserve">Audit remote-access session logs on the affected management platform for unauthorized activity since early August</w:t>
            </w:r>
          </w:p>
        </w:tc>
        <w:tc>
          <w:tcPr>
            <w:tcW w:type="dxa" w:w="2200"/>
            <w:shd w:fill="F2F2F2" w:color="auto" w:val="clear"/>
          </w:tcPr>
          <w:p>
            <w:pPr>
              <w:jc w:val="left"/>
            </w:pPr>
            <w:r>
              <w:rPr>
                <w:b w:val="false"/>
                <w:bCs w:val="false"/>
                <w:sz w:val="18"/>
                <w:szCs w:val="18"/>
              </w:rPr>
              <w:t xml:space="preserve">Security Operations</w:t>
            </w:r>
          </w:p>
        </w:tc>
        <w:tc>
          <w:tcPr>
            <w:tcW w:type="dxa" w:w="1600"/>
            <w:shd w:fill="F2F2F2" w:color="auto" w:val="clear"/>
          </w:tcPr>
          <w:p>
            <w:pPr>
              <w:jc w:val="left"/>
            </w:pPr>
            <w:r>
              <w:rPr>
                <w:b w:val="false"/>
                <w:bCs w:val="false"/>
                <w:sz w:val="18"/>
                <w:szCs w:val="18"/>
              </w:rPr>
              <w:t xml:space="preserve">This week</w:t>
            </w:r>
          </w:p>
        </w:tc>
      </w:tr>
      <w:tr>
        <w:tc>
          <w:tcPr>
            <w:tcW w:type="dxa" w:w="4200"/>
            <w:shd w:fill="FFFFFF" w:color="auto" w:val="clear"/>
          </w:tcPr>
          <w:p>
            <w:pPr>
              <w:jc w:val="left"/>
            </w:pPr>
            <w:r>
              <w:rPr>
                <w:b w:val="false"/>
                <w:bCs w:val="false"/>
                <w:sz w:val="18"/>
                <w:szCs w:val="18"/>
              </w:rPr>
              <w:t xml:space="preserve">Add the recurring AI workflow platform to a formal expedited-patch watch list given its repeat-incident pattern</w:t>
            </w:r>
          </w:p>
        </w:tc>
        <w:tc>
          <w:tcPr>
            <w:tcW w:type="dxa" w:w="2200"/>
            <w:shd w:fill="FFFFFF" w:color="auto" w:val="clear"/>
          </w:tcPr>
          <w:p>
            <w:pPr>
              <w:jc w:val="left"/>
            </w:pPr>
            <w:r>
              <w:rPr>
                <w:b w:val="false"/>
                <w:bCs w:val="false"/>
                <w:sz w:val="18"/>
                <w:szCs w:val="18"/>
              </w:rPr>
              <w:t xml:space="preserve">GRC / AI Governance</w:t>
            </w:r>
          </w:p>
        </w:tc>
        <w:tc>
          <w:tcPr>
            <w:tcW w:type="dxa" w:w="1600"/>
            <w:shd w:fill="FFFFFF" w:color="auto" w:val="clear"/>
          </w:tcPr>
          <w:p>
            <w:pPr>
              <w:jc w:val="left"/>
            </w:pPr>
            <w:r>
              <w:rPr>
                <w:b w:val="false"/>
                <w:bCs w:val="false"/>
                <w:sz w:val="18"/>
                <w:szCs w:val="18"/>
              </w:rPr>
              <w:t xml:space="preserve">This week</w:t>
            </w:r>
          </w:p>
        </w:tc>
      </w:tr>
      <w:tr>
        <w:tc>
          <w:tcPr>
            <w:tcW w:type="dxa" w:w="4200"/>
            <w:shd w:fill="F2F2F2" w:color="auto" w:val="clear"/>
          </w:tcPr>
          <w:p>
            <w:pPr>
              <w:jc w:val="left"/>
            </w:pPr>
            <w:r>
              <w:rPr>
                <w:b w:val="false"/>
                <w:bCs w:val="false"/>
                <w:sz w:val="18"/>
                <w:szCs w:val="18"/>
              </w:rPr>
              <w:t xml:space="preserve">Review any internally-built AI agent systems for the same action-verification design gap found across three major vendors</w:t>
            </w:r>
          </w:p>
        </w:tc>
        <w:tc>
          <w:tcPr>
            <w:tcW w:type="dxa" w:w="2200"/>
            <w:shd w:fill="F2F2F2" w:color="auto" w:val="clear"/>
          </w:tcPr>
          <w:p>
            <w:pPr>
              <w:jc w:val="left"/>
            </w:pPr>
            <w:r>
              <w:rPr>
                <w:b w:val="false"/>
                <w:bCs w:val="false"/>
                <w:sz w:val="18"/>
                <w:szCs w:val="18"/>
              </w:rPr>
              <w:t xml:space="preserve">AI Governance / Engineering</w:t>
            </w:r>
          </w:p>
        </w:tc>
        <w:tc>
          <w:tcPr>
            <w:tcW w:type="dxa" w:w="1600"/>
            <w:shd w:fill="F2F2F2" w:color="auto" w:val="clear"/>
          </w:tcPr>
          <w:p>
            <w:pPr>
              <w:jc w:val="left"/>
            </w:pPr>
            <w:r>
              <w:rPr>
                <w:b w:val="false"/>
                <w:bCs w:val="false"/>
                <w:sz w:val="18"/>
                <w:szCs w:val="18"/>
              </w:rPr>
              <w:t xml:space="preserve">Next 2 weeks</w:t>
            </w:r>
          </w:p>
        </w:tc>
      </w:tr>
      <w:tr>
        <w:tc>
          <w:tcPr>
            <w:tcW w:type="dxa" w:w="4200"/>
            <w:shd w:fill="FFFFFF" w:color="auto" w:val="clear"/>
          </w:tcPr>
          <w:p>
            <w:pPr>
              <w:jc w:val="left"/>
            </w:pPr>
            <w:r>
              <w:rPr>
                <w:b w:val="false"/>
                <w:bCs w:val="false"/>
                <w:sz w:val="18"/>
                <w:szCs w:val="18"/>
              </w:rPr>
              <w:t xml:space="preserve">Brief IT leadership that federal "actively exploited" listings can lag real-world attacks by five or more weeks — reinforce that vendor patch severity, not watch-list status, should drive urgency</w:t>
            </w:r>
          </w:p>
        </w:tc>
        <w:tc>
          <w:tcPr>
            <w:tcW w:type="dxa" w:w="2200"/>
            <w:shd w:fill="FFFFFF" w:color="auto" w:val="clear"/>
          </w:tcPr>
          <w:p>
            <w:pPr>
              <w:jc w:val="left"/>
            </w:pPr>
            <w:r>
              <w:rPr>
                <w:b w:val="false"/>
                <w:bCs w:val="false"/>
                <w:sz w:val="18"/>
                <w:szCs w:val="18"/>
              </w:rPr>
              <w:t xml:space="preserve">GRC / IT Leadership</w:t>
            </w:r>
          </w:p>
        </w:tc>
        <w:tc>
          <w:tcPr>
            <w:tcW w:type="dxa" w:w="1600"/>
            <w:shd w:fill="FFFFFF" w:color="auto" w:val="clear"/>
          </w:tcPr>
          <w:p>
            <w:pPr>
              <w:jc w:val="left"/>
            </w:pPr>
            <w:r>
              <w:rPr>
                <w:b w:val="false"/>
                <w:bCs w:val="false"/>
                <w:sz w:val="18"/>
                <w:szCs w:val="18"/>
              </w:rPr>
              <w:t xml:space="preserve">Next leadership sync</w:t>
            </w:r>
          </w:p>
        </w:tc>
      </w:tr>
    </w:tbl>
    <w:p>
      <w:pPr>
        <w:pStyle w:val="Heading1"/>
        <w:spacing w:after="160" w:before="320"/>
      </w:pPr>
      <w:r>
        <w:t xml:space="preserve">7. Metrics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1F3864" w:color="auto" w:val="clear"/>
          </w:tcPr>
          <w:p>
            <w:pPr>
              <w:jc w:val="left"/>
            </w:pPr>
            <w:r>
              <w:rPr>
                <w:b/>
                <w:bCs/>
                <w:color w:val="FFFFFF"/>
                <w:sz w:val="18"/>
                <w:szCs w:val="18"/>
              </w:rPr>
              <w:t xml:space="preserve">Metric</w:t>
            </w:r>
          </w:p>
        </w:tc>
        <w:tc>
          <w:tcPr>
            <w:tcW w:type="dxa" w:w="2500"/>
            <w:shd w:fill="1F3864" w:color="auto" w:val="clear"/>
          </w:tcPr>
          <w:p>
            <w:pPr>
              <w:jc w:val="center"/>
            </w:pPr>
            <w:r>
              <w:rPr>
                <w:b/>
                <w:bCs/>
                <w:color w:val="FFFFFF"/>
                <w:sz w:val="18"/>
                <w:szCs w:val="18"/>
              </w:rPr>
              <w:t xml:space="preserve">This Week</w:t>
            </w:r>
          </w:p>
        </w:tc>
      </w:tr>
      <w:tr>
        <w:tc>
          <w:tcPr>
            <w:tcW w:type="dxa" w:w="6500"/>
            <w:shd w:fill="FFFFFF" w:color="auto" w:val="clear"/>
          </w:tcPr>
          <w:p>
            <w:pPr>
              <w:jc w:val="left"/>
            </w:pPr>
            <w:r>
              <w:rPr>
                <w:b w:val="false"/>
                <w:bCs w:val="false"/>
                <w:sz w:val="18"/>
                <w:szCs w:val="18"/>
              </w:rPr>
              <w:t xml:space="preserve">New actively-exploited vulnerabilities added to the federal watch list (KEV)</w:t>
            </w:r>
          </w:p>
        </w:tc>
        <w:tc>
          <w:tcPr>
            <w:tcW w:type="dxa" w:w="2500"/>
            <w:shd w:fill="FFFFFF" w:color="auto" w:val="clear"/>
          </w:tcPr>
          <w:p>
            <w:pPr>
              <w:jc w:val="center"/>
            </w:pPr>
            <w:r>
              <w:rPr>
                <w:b w:val="false"/>
                <w:bCs w:val="false"/>
                <w:sz w:val="18"/>
                <w:szCs w:val="18"/>
              </w:rPr>
              <w:t xml:space="preserve">4</w:t>
            </w:r>
          </w:p>
        </w:tc>
      </w:tr>
      <w:tr>
        <w:tc>
          <w:tcPr>
            <w:tcW w:type="dxa" w:w="6500"/>
            <w:shd w:fill="F2F2F2" w:color="auto" w:val="clear"/>
          </w:tcPr>
          <w:p>
            <w:pPr>
              <w:jc w:val="left"/>
            </w:pPr>
            <w:r>
              <w:rPr>
                <w:b w:val="false"/>
                <w:bCs w:val="false"/>
                <w:sz w:val="18"/>
                <w:szCs w:val="18"/>
              </w:rPr>
              <w:t xml:space="preserve">Federal/industrial security advisories reviewed (screened out as low-relevance)</w:t>
            </w:r>
          </w:p>
        </w:tc>
        <w:tc>
          <w:tcPr>
            <w:tcW w:type="dxa" w:w="2500"/>
            <w:shd w:fill="F2F2F2" w:color="auto" w:val="clear"/>
          </w:tcPr>
          <w:p>
            <w:pPr>
              <w:jc w:val="center"/>
            </w:pPr>
            <w:r>
              <w:rPr>
                <w:b w:val="false"/>
                <w:bCs w:val="false"/>
                <w:sz w:val="18"/>
                <w:szCs w:val="18"/>
              </w:rPr>
              <w:t xml:space="preserve">2</w:t>
            </w:r>
          </w:p>
        </w:tc>
      </w:tr>
      <w:tr>
        <w:tc>
          <w:tcPr>
            <w:tcW w:type="dxa" w:w="6500"/>
            <w:shd w:fill="FFFFFF" w:color="auto" w:val="clear"/>
          </w:tcPr>
          <w:p>
            <w:pPr>
              <w:jc w:val="left"/>
            </w:pPr>
            <w:r>
              <w:rPr>
                <w:b w:val="false"/>
                <w:bCs w:val="false"/>
                <w:sz w:val="18"/>
                <w:szCs w:val="18"/>
              </w:rPr>
              <w:t xml:space="preserve">Cloud/AI platform security bulletins</w:t>
            </w:r>
          </w:p>
        </w:tc>
        <w:tc>
          <w:tcPr>
            <w:tcW w:type="dxa" w:w="2500"/>
            <w:shd w:fill="FFFFFF" w:color="auto" w:val="clear"/>
          </w:tcPr>
          <w:p>
            <w:pPr>
              <w:jc w:val="center"/>
            </w:pPr>
            <w:r>
              <w:rPr>
                <w:b w:val="false"/>
                <w:bCs w:val="false"/>
                <w:sz w:val="18"/>
                <w:szCs w:val="18"/>
              </w:rPr>
              <w:t xml:space="preserve">1 (spanning 3 vendors)</w:t>
            </w:r>
          </w:p>
        </w:tc>
      </w:tr>
      <w:tr>
        <w:tc>
          <w:tcPr>
            <w:tcW w:type="dxa" w:w="6500"/>
            <w:shd w:fill="F2F2F2" w:color="auto" w:val="clear"/>
          </w:tcPr>
          <w:p>
            <w:pPr>
              <w:jc w:val="left"/>
            </w:pPr>
            <w:r>
              <w:rPr>
                <w:b w:val="false"/>
                <w:bCs w:val="false"/>
                <w:sz w:val="18"/>
                <w:szCs w:val="18"/>
              </w:rPr>
              <w:t xml:space="preserve">Software-delivery-pipeline security disclosures</w:t>
            </w:r>
          </w:p>
        </w:tc>
        <w:tc>
          <w:tcPr>
            <w:tcW w:type="dxa" w:w="2500"/>
            <w:shd w:fill="F2F2F2" w:color="auto" w:val="clear"/>
          </w:tcPr>
          <w:p>
            <w:pPr>
              <w:jc w:val="center"/>
            </w:pPr>
            <w:r>
              <w:rPr>
                <w:b w:val="false"/>
                <w:bCs w:val="false"/>
                <w:sz w:val="18"/>
                <w:szCs w:val="18"/>
              </w:rPr>
              <w:t xml:space="preserve">1</w:t>
            </w:r>
          </w:p>
        </w:tc>
      </w:tr>
      <w:tr>
        <w:tc>
          <w:tcPr>
            <w:tcW w:type="dxa" w:w="6500"/>
            <w:shd w:fill="FFFFFF" w:color="auto" w:val="clear"/>
          </w:tcPr>
          <w:p>
            <w:pPr>
              <w:jc w:val="left"/>
            </w:pPr>
            <w:r>
              <w:rPr>
                <w:b w:val="false"/>
                <w:bCs w:val="false"/>
                <w:sz w:val="18"/>
                <w:szCs w:val="18"/>
              </w:rPr>
              <w:t xml:space="preserve">AI governance regulatory developments monitored (informational)</w:t>
            </w:r>
          </w:p>
        </w:tc>
        <w:tc>
          <w:tcPr>
            <w:tcW w:type="dxa" w:w="2500"/>
            <w:shd w:fill="FFFFFF" w:color="auto" w:val="clear"/>
          </w:tcPr>
          <w:p>
            <w:pPr>
              <w:jc w:val="center"/>
            </w:pPr>
            <w:r>
              <w:rPr>
                <w:b w:val="false"/>
                <w:bCs w:val="false"/>
                <w:sz w:val="18"/>
                <w:szCs w:val="18"/>
              </w:rPr>
              <w:t xml:space="preserve">2</w:t>
            </w:r>
          </w:p>
        </w:tc>
      </w:tr>
      <w:tr>
        <w:tc>
          <w:tcPr>
            <w:tcW w:type="dxa" w:w="6500"/>
            <w:shd w:fill="F2F2F2" w:color="auto" w:val="clear"/>
          </w:tcPr>
          <w:p>
            <w:pPr>
              <w:jc w:val="left"/>
            </w:pPr>
            <w:r>
              <w:rPr>
                <w:b w:val="false"/>
                <w:bCs w:val="false"/>
                <w:sz w:val="18"/>
                <w:szCs w:val="18"/>
              </w:rPr>
              <w:t xml:space="preserve">New risks added to the risk register</w:t>
            </w:r>
          </w:p>
        </w:tc>
        <w:tc>
          <w:tcPr>
            <w:tcW w:type="dxa" w:w="2500"/>
            <w:shd w:fill="F2F2F2" w:color="auto" w:val="clear"/>
          </w:tcPr>
          <w:p>
            <w:pPr>
              <w:jc w:val="center"/>
            </w:pPr>
            <w:r>
              <w:rPr>
                <w:b w:val="false"/>
                <w:bCs w:val="false"/>
                <w:sz w:val="18"/>
                <w:szCs w:val="18"/>
              </w:rPr>
              <w:t xml:space="preserve">6 (RR-045 – RR-050)</w:t>
            </w:r>
          </w:p>
        </w:tc>
      </w:tr>
      <w:tr>
        <w:tc>
          <w:tcPr>
            <w:tcW w:type="dxa" w:w="6500"/>
            <w:shd w:fill="FFFFFF" w:color="auto" w:val="clear"/>
          </w:tcPr>
          <w:p>
            <w:pPr>
              <w:jc w:val="left"/>
            </w:pPr>
            <w:r>
              <w:rPr>
                <w:b w:val="false"/>
                <w:bCs w:val="false"/>
                <w:sz w:val="18"/>
                <w:szCs w:val="18"/>
              </w:rPr>
              <w:t xml:space="preserve">Existing risks revised this run</w:t>
            </w:r>
          </w:p>
        </w:tc>
        <w:tc>
          <w:tcPr>
            <w:tcW w:type="dxa" w:w="2500"/>
            <w:shd w:fill="FFFFFF" w:color="auto" w:val="clear"/>
          </w:tcPr>
          <w:p>
            <w:pPr>
              <w:jc w:val="center"/>
            </w:pPr>
            <w:r>
              <w:rPr>
                <w:b w:val="false"/>
                <w:bCs w:val="false"/>
                <w:sz w:val="18"/>
                <w:szCs w:val="18"/>
              </w:rPr>
              <w:t xml:space="preserve">0</w:t>
            </w:r>
          </w:p>
        </w:tc>
      </w:tr>
      <w:tr>
        <w:tc>
          <w:tcPr>
            <w:tcW w:type="dxa" w:w="6500"/>
            <w:shd w:fill="F2F2F2" w:color="auto" w:val="clear"/>
          </w:tcPr>
          <w:p>
            <w:pPr>
              <w:jc w:val="left"/>
            </w:pPr>
            <w:r>
              <w:rPr>
                <w:b w:val="false"/>
                <w:bCs w:val="false"/>
                <w:sz w:val="18"/>
                <w:szCs w:val="18"/>
              </w:rPr>
              <w:t xml:space="preserve">Total open risks on the register (program-to-date)</w:t>
            </w:r>
          </w:p>
        </w:tc>
        <w:tc>
          <w:tcPr>
            <w:tcW w:type="dxa" w:w="2500"/>
            <w:shd w:fill="F2F2F2" w:color="auto" w:val="clear"/>
          </w:tcPr>
          <w:p>
            <w:pPr>
              <w:jc w:val="center"/>
            </w:pPr>
            <w:r>
              <w:rPr>
                <w:b w:val="false"/>
                <w:bCs w:val="false"/>
                <w:sz w:val="18"/>
                <w:szCs w:val="18"/>
              </w:rPr>
              <w:t xml:space="preserve">50</w:t>
            </w:r>
          </w:p>
        </w:tc>
      </w:tr>
      <w:tr>
        <w:tc>
          <w:tcPr>
            <w:tcW w:type="dxa" w:w="6500"/>
            <w:shd w:fill="FFFFFF" w:color="auto" w:val="clear"/>
          </w:tcPr>
          <w:p>
            <w:pPr>
              <w:jc w:val="left"/>
            </w:pPr>
            <w:r>
              <w:rPr>
                <w:b w:val="false"/>
                <w:bCs w:val="false"/>
                <w:sz w:val="18"/>
                <w:szCs w:val="18"/>
              </w:rPr>
              <w:t xml:space="preserve">New frameworks added to the program reference map</w:t>
            </w:r>
          </w:p>
        </w:tc>
        <w:tc>
          <w:tcPr>
            <w:tcW w:type="dxa" w:w="2500"/>
            <w:shd w:fill="FFFFFF" w:color="auto" w:val="clear"/>
          </w:tcPr>
          <w:p>
            <w:pPr>
              <w:jc w:val="center"/>
            </w:pPr>
            <w:r>
              <w:rPr>
                <w:b w:val="false"/>
                <w:bCs w:val="false"/>
                <w:sz w:val="18"/>
                <w:szCs w:val="18"/>
              </w:rPr>
              <w:t xml:space="preserve">0 (all frameworks already documented)</w:t>
            </w:r>
          </w:p>
        </w:tc>
      </w:tr>
    </w:tbl>
    <w:p>
      <w:pPr>
        <w:spacing w:after="200"/>
      </w:pPr>
    </w:p>
    <w:p>
      <w:pPr>
        <w:spacing w:after="160"/>
      </w:pPr>
      <w:r>
        <w:rPr>
          <w:i/>
          <w:iCs/>
          <w:color w:val="595959"/>
          <w:sz w:val="18"/>
          <w:szCs w:val="18"/>
        </w:rPr>
        <w:t xml:space="preserve">Full technical detail, control mappings, and remediation plans for each finding are documented in the corresponding case files in the GRC portfolio repository. This report intentionally omits technical vulnerability identifiers in the narrative sections above; they are available in the underlying risk register and case documentation for technical teams.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Internal — Prepared for Board/CISO Briefing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GRC Intelligence Program — Weekly Executive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2026-08-10T11:15:48.430Z</dcterms:created>
  <dcterms:modified xsi:type="dcterms:W3CDTF">2026-08-10T11:15:48.430Z</dcterms:modified>
</cp:coreProperties>
</file>

<file path=docProps/custom.xml><?xml version="1.0" encoding="utf-8"?>
<Properties xmlns="http://schemas.openxmlformats.org/officeDocument/2006/custom-properties" xmlns:vt="http://schemas.openxmlformats.org/officeDocument/2006/docPropsVTypes"/>
</file>