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Weekly GRC Intelligence Executive Report</w:t>
      </w:r>
    </w:p>
    <w:p>
      <w:pPr>
        <w:spacing w:after="150"/>
      </w:pPr>
      <w:r>
        <w:rPr>
          <w:b/>
          <w:bCs/>
          <w:sz w:val="24"/>
          <w:szCs w:val="24"/>
        </w:rPr>
        <w:t xml:space="preserve">Blaise Kingko, GRC Intelligence Program</w:t>
      </w:r>
    </w:p>
    <w:p>
      <w:pPr>
        <w:spacing w:after="150"/>
      </w:pPr>
      <w:r>
        <w:rPr>
          <w:i/>
          <w:iCs/>
          <w:sz w:val="20"/>
          <w:szCs w:val="20"/>
        </w:rPr>
        <w:t xml:space="preserve">Report Period: 2026-09-28 to 2026-10-05   |   Prepared: 2026-10-05</w:t>
      </w:r>
    </w:p>
    <w:p>
      <w:pPr>
        <w:pBdr>
          <w:bottom w:val="single" w:color="1F3864" w:sz="6" w:space="1"/>
        </w:pBdr>
        <w:spacing w:after="200"/>
      </w:pPr>
    </w:p>
    <w:p>
      <w:pPr>
        <w:pStyle w:val="Heading1"/>
        <w:spacing w:after="150" w:before="300"/>
      </w:pPr>
      <w:r>
        <w:t xml:space="preserve">1. This Week's Threat Landscape</w:t>
      </w:r>
    </w:p>
    <w:p>
      <w:pPr>
        <w:spacing w:after="150"/>
      </w:pPr>
      <w:r>
        <w:t xml:space="preserve">This was an active week dominated by perimeter and infrastructure targets rather than a single dramatic incident. Attackers moved quickly against internet-facing security and network-management products, an email security gateway, a wide-area-network management console, and a mobile-device graphics component, in each case gaining access with no password required. Separately, a confirmed real-world cloud attack showed how automation is compressing what used to take skilled attackers hours or days into a matter of minutes. Two of the week's most serious findings had no vendor fix available at all when discovered, meaning organizations had to rely on temporary workarounds rather than simply installing a patch.</w:t>
      </w:r>
    </w:p>
    <w:p>
      <w:pPr>
        <w:pStyle w:val="Heading1"/>
        <w:spacing w:after="150" w:before="300"/>
      </w:pPr>
      <w:r>
        <w:t xml:space="preserve">2. Cases Identified This Week</w:t>
      </w:r>
    </w:p>
    <w:p>
      <w:pPr>
        <w:spacing w:after="150"/>
      </w:pPr>
      <w:r>
        <w:t xml:space="preserve">Seven distinct findings met this week's review threshold. Three were significant enough to warrant full case-study treatment; four were logged for tracking given narrower impact or overlap with existing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160"/>
        <w:gridCol w:w="1800"/>
      </w:tblGrid>
      <w:tr>
        <w:tc>
          <w:tcPr>
            <w:tcW w:type="dxa" w:w="3200"/>
            <w:shd w:fill="1F3864" w:val="clear"/>
          </w:tcPr>
          <w:p>
            <w:r>
              <w:rPr>
                <w:b/>
                <w:bCs/>
                <w:color w:val="FFFFFF"/>
                <w:sz w:val="20"/>
                <w:szCs w:val="20"/>
              </w:rPr>
              <w:t xml:space="preserve">Finding</w:t>
            </w:r>
          </w:p>
        </w:tc>
        <w:tc>
          <w:tcPr>
            <w:tcW w:type="dxa" w:w="2200"/>
            <w:shd w:fill="1F3864" w:val="clear"/>
          </w:tcPr>
          <w:p>
            <w:r>
              <w:rPr>
                <w:b/>
                <w:bCs/>
                <w:color w:val="FFFFFF"/>
                <w:sz w:val="20"/>
                <w:szCs w:val="20"/>
              </w:rPr>
              <w:t xml:space="preserve">Category</w:t>
            </w:r>
          </w:p>
        </w:tc>
        <w:tc>
          <w:tcPr>
            <w:tcW w:type="dxa" w:w="2160"/>
            <w:shd w:fill="1F3864" w:val="clear"/>
          </w:tcPr>
          <w:p>
            <w:r>
              <w:rPr>
                <w:b/>
                <w:bCs/>
                <w:color w:val="FFFFFF"/>
                <w:sz w:val="20"/>
                <w:szCs w:val="20"/>
              </w:rPr>
              <w:t xml:space="preserve">Status</w:t>
            </w:r>
          </w:p>
        </w:tc>
        <w:tc>
          <w:tcPr>
            <w:tcW w:type="dxa" w:w="1800"/>
            <w:shd w:fill="1F3864" w:val="clear"/>
          </w:tcPr>
          <w:p>
            <w:r>
              <w:rPr>
                <w:b/>
                <w:bCs/>
                <w:color w:val="FFFFFF"/>
                <w:sz w:val="20"/>
                <w:szCs w:val="20"/>
              </w:rPr>
              <w:t xml:space="preserve">Severity</w:t>
            </w:r>
          </w:p>
        </w:tc>
      </w:tr>
      <w:tr>
        <w:tc>
          <w:tcPr>
            <w:tcW w:type="dxa" w:w="3200"/>
          </w:tcPr>
          <w:p>
            <w:r>
              <w:rPr>
                <w:sz w:val="20"/>
                <w:szCs w:val="20"/>
              </w:rPr>
              <w:t xml:space="preserve">Email security gateway backdoor (no vendor fix yet)</w:t>
            </w:r>
          </w:p>
        </w:tc>
        <w:tc>
          <w:tcPr>
            <w:tcW w:type="dxa" w:w="2200"/>
          </w:tcPr>
          <w:p>
            <w:r>
              <w:rPr>
                <w:sz w:val="20"/>
                <w:szCs w:val="20"/>
              </w:rPr>
              <w:t xml:space="preserve">IT/OT Threats</w:t>
            </w:r>
          </w:p>
        </w:tc>
        <w:tc>
          <w:tcPr>
            <w:tcW w:type="dxa" w:w="2160"/>
          </w:tcPr>
          <w:p>
            <w:r>
              <w:rPr>
                <w:sz w:val="20"/>
                <w:szCs w:val="20"/>
              </w:rPr>
              <w:t xml:space="preserve">Full case study</w:t>
            </w:r>
          </w:p>
        </w:tc>
        <w:tc>
          <w:tcPr>
            <w:tcW w:type="dxa" w:w="1800"/>
          </w:tcPr>
          <w:p>
            <w:r>
              <w:rPr>
                <w:sz w:val="20"/>
                <w:szCs w:val="20"/>
              </w:rPr>
              <w:t xml:space="preserve">Critical</w:t>
            </w:r>
          </w:p>
        </w:tc>
      </w:tr>
      <w:tr>
        <w:tc>
          <w:tcPr>
            <w:tcW w:type="dxa" w:w="3200"/>
          </w:tcPr>
          <w:p>
            <w:r>
              <w:rPr>
                <w:sz w:val="20"/>
                <w:szCs w:val="20"/>
              </w:rPr>
              <w:t xml:space="preserve">WAN management console authentication bypass</w:t>
            </w:r>
          </w:p>
        </w:tc>
        <w:tc>
          <w:tcPr>
            <w:tcW w:type="dxa" w:w="2200"/>
          </w:tcPr>
          <w:p>
            <w:r>
              <w:rPr>
                <w:sz w:val="20"/>
                <w:szCs w:val="20"/>
              </w:rPr>
              <w:t xml:space="preserve">IT/OT Threats</w:t>
            </w:r>
          </w:p>
        </w:tc>
        <w:tc>
          <w:tcPr>
            <w:tcW w:type="dxa" w:w="2160"/>
          </w:tcPr>
          <w:p>
            <w:r>
              <w:rPr>
                <w:sz w:val="20"/>
                <w:szCs w:val="20"/>
              </w:rPr>
              <w:t xml:space="preserve">Full case study</w:t>
            </w:r>
          </w:p>
        </w:tc>
        <w:tc>
          <w:tcPr>
            <w:tcW w:type="dxa" w:w="1800"/>
          </w:tcPr>
          <w:p>
            <w:r>
              <w:rPr>
                <w:sz w:val="20"/>
                <w:szCs w:val="20"/>
              </w:rPr>
              <w:t xml:space="preserve">Critical</w:t>
            </w:r>
          </w:p>
        </w:tc>
      </w:tr>
      <w:tr>
        <w:tc>
          <w:tcPr>
            <w:tcW w:type="dxa" w:w="3200"/>
          </w:tcPr>
          <w:p>
            <w:r>
              <w:rPr>
                <w:sz w:val="20"/>
                <w:szCs w:val="20"/>
              </w:rPr>
              <w:t xml:space="preserve">Automated ("agentic") cloud destruction attack</w:t>
            </w:r>
          </w:p>
        </w:tc>
        <w:tc>
          <w:tcPr>
            <w:tcW w:type="dxa" w:w="2200"/>
          </w:tcPr>
          <w:p>
            <w:r>
              <w:rPr>
                <w:sz w:val="20"/>
                <w:szCs w:val="20"/>
              </w:rPr>
              <w:t xml:space="preserve">AI Governance / Cloud Security</w:t>
            </w:r>
          </w:p>
        </w:tc>
        <w:tc>
          <w:tcPr>
            <w:tcW w:type="dxa" w:w="2160"/>
          </w:tcPr>
          <w:p>
            <w:r>
              <w:rPr>
                <w:sz w:val="20"/>
                <w:szCs w:val="20"/>
              </w:rPr>
              <w:t xml:space="preserve">Full case study</w:t>
            </w:r>
          </w:p>
        </w:tc>
        <w:tc>
          <w:tcPr>
            <w:tcW w:type="dxa" w:w="1800"/>
          </w:tcPr>
          <w:p>
            <w:r>
              <w:rPr>
                <w:sz w:val="20"/>
                <w:szCs w:val="20"/>
              </w:rPr>
              <w:t xml:space="preserve">Critical</w:t>
            </w:r>
          </w:p>
        </w:tc>
      </w:tr>
      <w:tr>
        <w:tc>
          <w:tcPr>
            <w:tcW w:type="dxa" w:w="3200"/>
          </w:tcPr>
          <w:p>
            <w:r>
              <w:rPr>
                <w:sz w:val="20"/>
                <w:szCs w:val="20"/>
              </w:rPr>
              <w:t xml:space="preserve">VPN gateway denial-of-service (companion finding)</w:t>
            </w:r>
          </w:p>
        </w:tc>
        <w:tc>
          <w:tcPr>
            <w:tcW w:type="dxa" w:w="2200"/>
          </w:tcPr>
          <w:p>
            <w:r>
              <w:rPr>
                <w:sz w:val="20"/>
                <w:szCs w:val="20"/>
              </w:rPr>
              <w:t xml:space="preserve">IT/OT Threats</w:t>
            </w:r>
          </w:p>
        </w:tc>
        <w:tc>
          <w:tcPr>
            <w:tcW w:type="dxa" w:w="2160"/>
          </w:tcPr>
          <w:p>
            <w:r>
              <w:rPr>
                <w:sz w:val="20"/>
                <w:szCs w:val="20"/>
              </w:rPr>
              <w:t xml:space="preserve">Tracked</w:t>
            </w:r>
          </w:p>
        </w:tc>
        <w:tc>
          <w:tcPr>
            <w:tcW w:type="dxa" w:w="1800"/>
          </w:tcPr>
          <w:p>
            <w:r>
              <w:rPr>
                <w:sz w:val="20"/>
                <w:szCs w:val="20"/>
              </w:rPr>
              <w:t xml:space="preserve">High</w:t>
            </w:r>
          </w:p>
        </w:tc>
      </w:tr>
      <w:tr>
        <w:tc>
          <w:tcPr>
            <w:tcW w:type="dxa" w:w="3200"/>
          </w:tcPr>
          <w:p>
            <w:r>
              <w:rPr>
                <w:sz w:val="20"/>
                <w:szCs w:val="20"/>
              </w:rPr>
              <w:t xml:space="preserve">Mobile OS graphics-engine zero-day (targeted attack)</w:t>
            </w:r>
          </w:p>
        </w:tc>
        <w:tc>
          <w:tcPr>
            <w:tcW w:type="dxa" w:w="2200"/>
          </w:tcPr>
          <w:p>
            <w:r>
              <w:rPr>
                <w:sz w:val="20"/>
                <w:szCs w:val="20"/>
              </w:rPr>
              <w:t xml:space="preserve">IT/OT Threats</w:t>
            </w:r>
          </w:p>
        </w:tc>
        <w:tc>
          <w:tcPr>
            <w:tcW w:type="dxa" w:w="2160"/>
          </w:tcPr>
          <w:p>
            <w:r>
              <w:rPr>
                <w:sz w:val="20"/>
                <w:szCs w:val="20"/>
              </w:rPr>
              <w:t xml:space="preserve">Tracked</w:t>
            </w:r>
          </w:p>
        </w:tc>
        <w:tc>
          <w:tcPr>
            <w:tcW w:type="dxa" w:w="1800"/>
          </w:tcPr>
          <w:p>
            <w:r>
              <w:rPr>
                <w:sz w:val="20"/>
                <w:szCs w:val="20"/>
              </w:rPr>
              <w:t xml:space="preserve">High</w:t>
            </w:r>
          </w:p>
        </w:tc>
      </w:tr>
      <w:tr>
        <w:tc>
          <w:tcPr>
            <w:tcW w:type="dxa" w:w="3200"/>
          </w:tcPr>
          <w:p>
            <w:r>
              <w:rPr>
                <w:sz w:val="20"/>
                <w:szCs w:val="20"/>
              </w:rPr>
              <w:t xml:space="preserve">Helpdesk-platform root-access chain</w:t>
            </w:r>
          </w:p>
        </w:tc>
        <w:tc>
          <w:tcPr>
            <w:tcW w:type="dxa" w:w="2200"/>
          </w:tcPr>
          <w:p>
            <w:r>
              <w:rPr>
                <w:sz w:val="20"/>
                <w:szCs w:val="20"/>
              </w:rPr>
              <w:t xml:space="preserve">IT/OT Threats</w:t>
            </w:r>
          </w:p>
        </w:tc>
        <w:tc>
          <w:tcPr>
            <w:tcW w:type="dxa" w:w="2160"/>
          </w:tcPr>
          <w:p>
            <w:r>
              <w:rPr>
                <w:sz w:val="20"/>
                <w:szCs w:val="20"/>
              </w:rPr>
              <w:t xml:space="preserve">Tracked</w:t>
            </w:r>
          </w:p>
        </w:tc>
        <w:tc>
          <w:tcPr>
            <w:tcW w:type="dxa" w:w="1800"/>
          </w:tcPr>
          <w:p>
            <w:r>
              <w:rPr>
                <w:sz w:val="20"/>
                <w:szCs w:val="20"/>
              </w:rPr>
              <w:t xml:space="preserve">Critical</w:t>
            </w:r>
          </w:p>
        </w:tc>
      </w:tr>
      <w:tr>
        <w:tc>
          <w:tcPr>
            <w:tcW w:type="dxa" w:w="3200"/>
          </w:tcPr>
          <w:p>
            <w:r>
              <w:rPr>
                <w:sz w:val="20"/>
                <w:szCs w:val="20"/>
              </w:rPr>
              <w:t xml:space="preserve">AI-platform malware-delivery campaign</w:t>
            </w:r>
          </w:p>
        </w:tc>
        <w:tc>
          <w:tcPr>
            <w:tcW w:type="dxa" w:w="2200"/>
          </w:tcPr>
          <w:p>
            <w:r>
              <w:rPr>
                <w:sz w:val="20"/>
                <w:szCs w:val="20"/>
              </w:rPr>
              <w:t xml:space="preserve">AI Governance</w:t>
            </w:r>
          </w:p>
        </w:tc>
        <w:tc>
          <w:tcPr>
            <w:tcW w:type="dxa" w:w="2160"/>
          </w:tcPr>
          <w:p>
            <w:r>
              <w:rPr>
                <w:sz w:val="20"/>
                <w:szCs w:val="20"/>
              </w:rPr>
              <w:t xml:space="preserve">Tracked</w:t>
            </w:r>
          </w:p>
        </w:tc>
        <w:tc>
          <w:tcPr>
            <w:tcW w:type="dxa" w:w="1800"/>
          </w:tcPr>
          <w:p>
            <w:r>
              <w:rPr>
                <w:sz w:val="20"/>
                <w:szCs w:val="20"/>
              </w:rPr>
              <w:t xml:space="preserve">High</w:t>
            </w:r>
          </w:p>
        </w:tc>
      </w:tr>
    </w:tbl>
    <w:p>
      <w:pPr>
        <w:spacing w:after="150"/>
      </w:pPr>
    </w:p>
    <w:p>
      <w:pPr>
        <w:pStyle w:val="Heading1"/>
        <w:spacing w:after="150" w:before="300"/>
      </w:pPr>
      <w:r>
        <w:t xml:space="preserve">3. Top 3 Critical Risks</w:t>
      </w:r>
    </w:p>
    <w:p>
      <w:pPr>
        <w:pStyle w:val="Heading2"/>
        <w:spacing w:after="100" w:before="200"/>
      </w:pPr>
      <w:r>
        <w:t xml:space="preserve">1. Email Security Gateway Backdoor, No Vendor Fix Available</w:t>
      </w:r>
    </w:p>
    <w:p>
      <w:pPr>
        <w:spacing w:after="150"/>
      </w:pPr>
      <w:r>
        <w:t xml:space="preserve">Attackers are actively breaking into a widely used email security gateway product and planting permanent, password-free backdoors. Unusually, the vendor has not yet released a fix, only a temporary workaround exists. Any organization using this product as its mail filter should assume it is a live target until the workaround is applied. Business impact: an attacker with this backdoor can read, redirect, or manipulate all email passing through the gateway, enabling large-scale fraud or data exposure that may go undetected for weeks.</w:t>
      </w:r>
    </w:p>
    <w:p>
      <w:pPr>
        <w:pStyle w:val="Heading2"/>
        <w:spacing w:after="100" w:before="200"/>
      </w:pPr>
      <w:r>
        <w:t xml:space="preserve">2. Wide-Area-Network Management Console Break-In</w:t>
      </w:r>
    </w:p>
    <w:p>
      <w:pPr>
        <w:spacing w:after="150"/>
      </w:pPr>
      <w:r>
        <w:t xml:space="preserve">A critical flaw in a widely deployed network-management platform let attackers in with full administrator rights using nothing more than a trick in how web addresses are formatted, no password needed. The vendor discovered this while helping a customer who had already been compromised, meaning real-world attacks began before the public even knew the flaw existed. Business impact: full administrative control of this console means an attacker can see and alter how every connected office location communicates, or disrupt that connectivity outright.</w:t>
      </w:r>
    </w:p>
    <w:p>
      <w:pPr>
        <w:pStyle w:val="Heading2"/>
        <w:spacing w:after="100" w:before="200"/>
      </w:pPr>
      <w:r>
        <w:t xml:space="preserve">3. First Confirmed "Agentic" Cloud Destruction Attack</w:t>
      </w:r>
    </w:p>
    <w:p>
      <w:pPr>
        <w:spacing w:after="150"/>
      </w:pPr>
      <w:r>
        <w:t xml:space="preserve">A major cloud vendor confirmed a real-world attack in which a single leaked credential let attackers delete a significant portion of a victim's cloud infrastructure, including deliberately disabling the victim's backups, in about seven minutes. The vendor attributes the speed and coordination to automated, AI-style attack orchestration rather than a human typing commands. Business impact: this is a preview of attacks that leave little to no window for human-speed detection and response, and it specifically targeted the victim's ability to recover, not just its data.</w:t>
      </w:r>
    </w:p>
    <w:p>
      <w:pPr>
        <w:pStyle w:val="Heading1"/>
        <w:spacing w:after="150" w:before="300"/>
      </w:pPr>
      <w:r>
        <w:t xml:space="preserve">4. AI Governance Watch</w:t>
      </w:r>
    </w:p>
    <w:p>
      <w:pPr>
        <w:pStyle w:val="ListParagraph"/>
        <w:numPr>
          <w:ilvl w:val="0"/>
          <w:numId w:val="1"/>
        </w:numPr>
        <w:spacing w:after="80"/>
      </w:pPr>
      <w:r>
        <w:t xml:space="preserve">A major cloud vendor's own incident disclosure (covered above) is itself an AI governance milestone: it is among the first vendor-confirmed cases describing attacker use of automated, AI-style orchestration to accelerate a destructive attack, reinforcing that AI risk management must now account for AI as an attacker capability, not only a defender one.</w:t>
      </w:r>
    </w:p>
    <w:p>
      <w:pPr>
        <w:pStyle w:val="ListParagraph"/>
        <w:numPr>
          <w:ilvl w:val="0"/>
          <w:numId w:val="1"/>
        </w:numPr>
        <w:spacing w:after="80"/>
      </w:pPr>
      <w:r>
        <w:t xml:space="preserve">A widely used consumer AI chat platform was found hosting malicious "custom" AI assistants that trick users into installing malware via sponsored search advertising, a reminder that any AI platform allowing user-generated extensions carries a content/abuse-governance obligation similar to an app store.</w:t>
      </w:r>
    </w:p>
    <w:p>
      <w:pPr>
        <w:pStyle w:val="ListParagraph"/>
        <w:numPr>
          <w:ilvl w:val="0"/>
          <w:numId w:val="1"/>
        </w:numPr>
        <w:spacing w:after="80"/>
      </w:pPr>
      <w:r>
        <w:t xml:space="preserve">The federal government's lead standards body has a public comment period closing this week on a new framework for evaluating AI system trustworthiness and safety, organizations with a stake in how AI systems get tested and certified have a narrow window left to weigh in.</w:t>
      </w:r>
    </w:p>
    <w:p>
      <w:pPr>
        <w:pStyle w:val="Heading1"/>
        <w:spacing w:after="150" w:before="300"/>
      </w:pPr>
      <w:r>
        <w:t xml:space="preserve">5. Compliance Posture</w:t>
      </w:r>
    </w:p>
    <w:p>
      <w:pPr>
        <w:spacing w:after="150"/>
      </w:pPr>
      <w:r>
        <w:t xml:space="preserve">No changes to this program's framework mapping were required this week, all findings mapped cleanly to the NIST, ISO, and CIS frameworks already in use. One federally mandated remediation deadline (tied to the email gateway finding) has already elapsed without a vendor-supplied fix being available, which is itself worth flagging to compliance stakeholders: “patch within the deadline” is not achievable when no patch exists, and organizations should document the workaround and the vendor's delay as compensating evidence for any audit or regulatory inquiry.</w:t>
      </w:r>
    </w:p>
    <w:p>
      <w:pPr>
        <w:pStyle w:val="Heading1"/>
        <w:spacing w:after="150" w:before="300"/>
      </w:pPr>
      <w:r>
        <w:t xml:space="preserve">6. Recommended Executive Actions</w:t>
      </w:r>
    </w:p>
    <w:p>
      <w:pPr>
        <w:pStyle w:val="ListParagraph"/>
        <w:numPr>
          <w:ilvl w:val="0"/>
          <w:numId w:val="1"/>
        </w:numPr>
        <w:spacing w:after="80"/>
      </w:pPr>
      <w:r>
        <w:t xml:space="preserve">Approve emergency change-control authority (outside the normal patch cycle) for the email gateway workaround and the WAN management console upgrade, Owner: IT Operations / Network Engineering, Timeline: 48 hours.</w:t>
      </w:r>
    </w:p>
    <w:p>
      <w:pPr>
        <w:pStyle w:val="ListParagraph"/>
        <w:numPr>
          <w:ilvl w:val="0"/>
          <w:numId w:val="1"/>
        </w:numPr>
        <w:spacing w:after="80"/>
      </w:pPr>
      <w:r>
        <w:t xml:space="preserve">Commission a credential-exposure audit covering code-repository edit/version history, not just current file contents, given this week's cloud-destruction incident traced to exactly this gap, Owner: Cloud Platform / AppSec, Timeline: 7 days.</w:t>
      </w:r>
    </w:p>
    <w:p>
      <w:pPr>
        <w:pStyle w:val="ListParagraph"/>
        <w:numPr>
          <w:ilvl w:val="0"/>
          <w:numId w:val="1"/>
        </w:numPr>
        <w:spacing w:after="80"/>
      </w:pPr>
      <w:r>
        <w:t xml:space="preserve">Request a briefing on whether current cloud security monitoring can realistically detect and respond within a sub-ten-minute attack window, Owner: SOC / Security Architecture, Timeline: 2 weeks.</w:t>
      </w:r>
    </w:p>
    <w:p>
      <w:pPr>
        <w:pStyle w:val="ListParagraph"/>
        <w:numPr>
          <w:ilvl w:val="0"/>
          <w:numId w:val="1"/>
        </w:numPr>
        <w:spacing w:after="80"/>
      </w:pPr>
      <w:r>
        <w:t xml:space="preserve">Extend security-awareness training to cover AI-platform-hosted social engineering (malicious AI-assistant lures), given this week's confirmed malware-delivery campaign on a major consumer AI platform, Owner: Security Awareness Program, Timeline: Next training cycle.</w:t>
      </w:r>
    </w:p>
    <w:p>
      <w:pPr>
        <w:pStyle w:val="ListParagraph"/>
        <w:numPr>
          <w:ilvl w:val="0"/>
          <w:numId w:val="1"/>
        </w:numPr>
        <w:spacing w:after="80"/>
      </w:pPr>
      <w:r>
        <w:t xml:space="preserve">Direct mobile device management (MDM) teams to confirm enforced update compliance across managed device fleets, given this week's targeted mobile zero-day, Owner: Endpoint Management, Timeline: 1 week.</w:t>
      </w:r>
    </w:p>
    <w:p>
      <w:pPr>
        <w:pStyle w:val="Heading1"/>
        <w:spacing w:after="150" w:before="300"/>
      </w:pPr>
      <w:r>
        <w:t xml:space="preserve">7.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shd w:fill="1F3864" w:val="clear"/>
          </w:tcPr>
          <w:p>
            <w:r>
              <w:rPr>
                <w:b/>
                <w:bCs/>
                <w:color w:val="FFFFFF"/>
                <w:sz w:val="20"/>
                <w:szCs w:val="20"/>
              </w:rPr>
              <w:t xml:space="preserve">Metric</w:t>
            </w:r>
          </w:p>
        </w:tc>
        <w:tc>
          <w:tcPr>
            <w:tcW w:type="dxa" w:w="3000"/>
            <w:shd w:fill="1F3864" w:val="clear"/>
          </w:tcPr>
          <w:p>
            <w:r>
              <w:rPr>
                <w:b/>
                <w:bCs/>
                <w:color w:val="FFFFFF"/>
                <w:sz w:val="20"/>
                <w:szCs w:val="20"/>
              </w:rPr>
              <w:t xml:space="preserve">Count</w:t>
            </w:r>
          </w:p>
        </w:tc>
      </w:tr>
      <w:tr>
        <w:tc>
          <w:tcPr>
            <w:tcW w:type="dxa" w:w="6360"/>
          </w:tcPr>
          <w:p>
            <w:r>
              <w:rPr>
                <w:sz w:val="20"/>
                <w:szCs w:val="20"/>
              </w:rPr>
              <w:t xml:space="preserve">New actively-exploited vulnerabilities (CISA KEV) this week</w:t>
            </w:r>
          </w:p>
        </w:tc>
        <w:tc>
          <w:tcPr>
            <w:tcW w:type="dxa" w:w="3000"/>
          </w:tcPr>
          <w:p>
            <w:r>
              <w:rPr>
                <w:sz w:val="20"/>
                <w:szCs w:val="20"/>
              </w:rPr>
              <w:t xml:space="preserve">6</w:t>
            </w:r>
          </w:p>
        </w:tc>
      </w:tr>
      <w:tr>
        <w:tc>
          <w:tcPr>
            <w:tcW w:type="dxa" w:w="6360"/>
          </w:tcPr>
          <w:p>
            <w:r>
              <w:rPr>
                <w:sz w:val="20"/>
                <w:szCs w:val="20"/>
              </w:rPr>
              <w:t xml:space="preserve">New cybersecurity advisories reviewed</w:t>
            </w:r>
          </w:p>
        </w:tc>
        <w:tc>
          <w:tcPr>
            <w:tcW w:type="dxa" w:w="3000"/>
          </w:tcPr>
          <w:p>
            <w:r>
              <w:rPr>
                <w:sz w:val="20"/>
                <w:szCs w:val="20"/>
              </w:rPr>
              <w:t xml:space="preserve">1 (vendor-sourced cloud incident disclosure)</w:t>
            </w:r>
          </w:p>
        </w:tc>
      </w:tr>
      <w:tr>
        <w:tc>
          <w:tcPr>
            <w:tcW w:type="dxa" w:w="6360"/>
          </w:tcPr>
          <w:p>
            <w:r>
              <w:rPr>
                <w:sz w:val="20"/>
                <w:szCs w:val="20"/>
              </w:rPr>
              <w:t xml:space="preserve">Cloud provider bulletins reviewed</w:t>
            </w:r>
          </w:p>
        </w:tc>
        <w:tc>
          <w:tcPr>
            <w:tcW w:type="dxa" w:w="3000"/>
          </w:tcPr>
          <w:p>
            <w:r>
              <w:rPr>
                <w:sz w:val="20"/>
                <w:szCs w:val="20"/>
              </w:rPr>
              <w:t xml:space="preserve">0 new material bulletins this week</w:t>
            </w:r>
          </w:p>
        </w:tc>
      </w:tr>
      <w:tr>
        <w:tc>
          <w:tcPr>
            <w:tcW w:type="dxa" w:w="6360"/>
          </w:tcPr>
          <w:p>
            <w:r>
              <w:rPr>
                <w:sz w:val="20"/>
                <w:szCs w:val="20"/>
              </w:rPr>
              <w:t xml:space="preserve">AI governance developments tracked</w:t>
            </w:r>
          </w:p>
        </w:tc>
        <w:tc>
          <w:tcPr>
            <w:tcW w:type="dxa" w:w="3000"/>
          </w:tcPr>
          <w:p>
            <w:r>
              <w:rPr>
                <w:sz w:val="20"/>
                <w:szCs w:val="20"/>
              </w:rPr>
              <w:t xml:space="preserve">3</w:t>
            </w:r>
          </w:p>
        </w:tc>
      </w:tr>
      <w:tr>
        <w:tc>
          <w:tcPr>
            <w:tcW w:type="dxa" w:w="6360"/>
          </w:tcPr>
          <w:p>
            <w:r>
              <w:rPr>
                <w:sz w:val="20"/>
                <w:szCs w:val="20"/>
              </w:rPr>
              <w:t xml:space="preserve">Full case-study bundles built</w:t>
            </w:r>
          </w:p>
        </w:tc>
        <w:tc>
          <w:tcPr>
            <w:tcW w:type="dxa" w:w="3000"/>
          </w:tcPr>
          <w:p>
            <w:r>
              <w:rPr>
                <w:sz w:val="20"/>
                <w:szCs w:val="20"/>
              </w:rPr>
              <w:t xml:space="preserve">3</w:t>
            </w:r>
          </w:p>
        </w:tc>
      </w:tr>
      <w:tr>
        <w:tc>
          <w:tcPr>
            <w:tcW w:type="dxa" w:w="6360"/>
          </w:tcPr>
          <w:p>
            <w:r>
              <w:rPr>
                <w:sz w:val="20"/>
                <w:szCs w:val="20"/>
              </w:rPr>
              <w:t xml:space="preserve">Risk register rows added</w:t>
            </w:r>
          </w:p>
        </w:tc>
        <w:tc>
          <w:tcPr>
            <w:tcW w:type="dxa" w:w="3000"/>
          </w:tcPr>
          <w:p>
            <w:r>
              <w:rPr>
                <w:sz w:val="20"/>
                <w:szCs w:val="20"/>
              </w:rPr>
              <w:t xml:space="preserve">7 (RR-093 – RR-099)</w:t>
            </w:r>
          </w:p>
        </w:tc>
      </w:tr>
      <w:tr>
        <w:tc>
          <w:tcPr>
            <w:tcW w:type="dxa" w:w="6360"/>
          </w:tcPr>
          <w:p>
            <w:r>
              <w:rPr>
                <w:sz w:val="20"/>
                <w:szCs w:val="20"/>
              </w:rPr>
              <w:t xml:space="preserve">Total open risks on register</w:t>
            </w:r>
          </w:p>
        </w:tc>
        <w:tc>
          <w:tcPr>
            <w:tcW w:type="dxa" w:w="3000"/>
          </w:tcPr>
          <w:p>
            <w:r>
              <w:rPr>
                <w:sz w:val="20"/>
                <w:szCs w:val="20"/>
              </w:rPr>
              <w:t xml:space="preserve">99</w:t>
            </w:r>
          </w:p>
        </w:tc>
      </w:tr>
      <w:tr>
        <w:tc>
          <w:tcPr>
            <w:tcW w:type="dxa" w:w="6360"/>
          </w:tcPr>
          <w:p>
            <w:r>
              <w:rPr>
                <w:sz w:val="20"/>
                <w:szCs w:val="20"/>
              </w:rPr>
              <w:t xml:space="preserve">Findings with no vendor patch available at time of report</w:t>
            </w:r>
          </w:p>
        </w:tc>
        <w:tc>
          <w:tcPr>
            <w:tcW w:type="dxa" w:w="3000"/>
          </w:tcPr>
          <w:p>
            <w:r>
              <w:rPr>
                <w:sz w:val="20"/>
                <w:szCs w:val="20"/>
              </w:rPr>
              <w:t xml:space="preserve">1</w:t>
            </w:r>
          </w:p>
        </w:tc>
      </w:tr>
    </w:tbl>
    <w:p>
      <w:pPr>
        <w:spacing w:after="200"/>
      </w:pPr>
    </w:p>
    <w:p>
      <w:pPr>
        <w:pBdr>
          <w:top w:val="single" w:color="CCCCCC" w:sz="4" w:space="1"/>
        </w:pBdr>
        <w:spacing w:before="200"/>
      </w:pPr>
    </w:p>
    <w:p>
      <w:pPr>
        <w:spacing w:after="150"/>
      </w:pPr>
      <w:r>
        <w:rPr>
          <w:i/>
          <w:iCs/>
          <w:sz w:val="18"/>
          <w:szCs w:val="18"/>
        </w:rPr>
        <w:t xml:space="preserve">Prepared as part of the Blaise Kingko GRC Intelligence Program. Sources: CISA Known Exploited Vulnerabilities catalog, vendor security advisories (Fortinet, Cisco, Citrix, Apple, Zammad), Microsoft Security Blog, and independent security research reporting cited in the accompanying case-study bundles.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2026-10-05T16:04:11.185Z</dcterms:created>
  <dcterms:modified xsi:type="dcterms:W3CDTF">2026-10-05T16:04:11.186Z</dcterms:modified>
</cp:coreProperties>
</file>

<file path=docProps/custom.xml><?xml version="1.0" encoding="utf-8"?>
<Properties xmlns="http://schemas.openxmlformats.org/officeDocument/2006/custom-properties" xmlns:vt="http://schemas.openxmlformats.org/officeDocument/2006/docPropsVTypes"/>
</file>