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GRC INTELLIGENCE WEEKLY EXECUTIVE REPORT</w:t>
      </w:r>
    </w:p>
    <w:p>
      <w:pPr>
        <w:spacing w:after="40"/>
      </w:pPr>
      <w:r>
        <w:rPr>
          <w:i/>
          <w:iCs/>
          <w:sz w:val="24"/>
          <w:szCs w:val="24"/>
        </w:rPr>
        <w:t xml:space="preserve">Blaise Kingko — GRC Portfolio Program</w:t>
      </w:r>
    </w:p>
    <w:p>
      <w:pPr>
        <w:spacing w:after="300"/>
      </w:pPr>
      <w:r>
        <w:rPr>
          <w:sz w:val="22"/>
          <w:szCs w:val="22"/>
        </w:rPr>
        <w:t xml:space="preserve">Report Date: July 13, 2026  |  Report Period: July 6 – July 13, 2026</w:t>
      </w:r>
    </w:p>
    <w:p>
      <w:pPr>
        <w:pStyle w:val="Heading1"/>
        <w:spacing w:after="150" w:before="300"/>
      </w:pPr>
      <w:r>
        <w:t xml:space="preserve">1. This Week's Threat Landscape</w:t>
      </w:r>
    </w:p>
    <w:p>
      <w:pPr>
        <w:spacing w:after="160"/>
      </w:pPr>
      <w:r>
        <w:t xml:space="preserve">This was a high-intensity week concentrated almost entirely in actively-exploited, maximum-severity application vulnerabilities rather than emerging regulatory risk. Three findings met the threshold for a full case-study bundle, all three rated Critical, and all carrying the federal government's compressed three-day repair deadline. The most notable is the first-ever appearance of an AI agent orchestration platform on the federal government's actively-exploited vulnerabilities list — a milestone that signals AI agent infrastructure has moved from theoretical to confirmed attacker target. Separately, four unrelated website add-on components for a widely used content-management platform were each found to have the identical critical flaw within the same week, a pattern more significant than any single one of the four in isolation. National security agencies also issued a joint advisory this week on nation-state targeting of network routers.</w:t>
      </w:r>
    </w:p>
    <w:p>
      <w:pPr>
        <w:spacing w:after="160"/>
      </w:pPr>
      <w:r>
        <w:t xml:space="preserve">In short: this week's risk is concentrated in fast-moving, already-exploited technical vulnerabilities — consistent with the pattern observed in prior weeks — with one new dimension: AI agent orchestration platforms are now confirmed, not theoretical, attacker targets.</w:t>
      </w:r>
    </w:p>
    <w:p>
      <w:pPr>
        <w:pStyle w:val="Heading1"/>
        <w:spacing w:after="150" w:before="300"/>
      </w:pPr>
      <w:r>
        <w:t xml:space="preserve">2. Cases Identified This Week</w:t>
      </w:r>
    </w:p>
    <w:p>
      <w:pPr>
        <w:spacing w:after="160"/>
      </w:pPr>
      <w:r>
        <w:t xml:space="preserve">Three cases met the threshold for a full case-study bundle this week, all newly identified. No repeat cases were suppressed, and no prior case required an escalated update this week.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400"/>
        <w:gridCol w:w="1300"/>
      </w:tblGrid>
      <w:tr>
        <w:trPr>
          <w:tblHeader/>
        </w:trPr>
        <w:tc>
          <w:tcPr>
            <w:tcW w:type="dxa" w:w="4200"/>
            <w:shd w:fill="1F3864" w:val="clear"/>
            <w:tcMar>
              <w:top w:type="dxa" w:w="80"/>
              <w:left w:type="dxa" w:w="100"/>
              <w:bottom w:type="dxa" w:w="80"/>
              <w:right w:type="dxa" w:w="100"/>
            </w:tcMar>
            <w:vAlign w:val="center"/>
          </w:tcPr>
          <w:p>
            <w:pPr>
              <w:jc w:val="left"/>
            </w:pPr>
            <w:r>
              <w:rPr>
                <w:b/>
                <w:bCs/>
              </w:rPr>
              <w:t xml:space="preserve">Case</w:t>
            </w:r>
          </w:p>
        </w:tc>
        <w:tc>
          <w:tcPr>
            <w:tcW w:type="dxa" w:w="2400"/>
            <w:shd w:fill="1F3864" w:val="clear"/>
            <w:tcMar>
              <w:top w:type="dxa" w:w="80"/>
              <w:left w:type="dxa" w:w="100"/>
              <w:bottom w:type="dxa" w:w="80"/>
              <w:right w:type="dxa" w:w="100"/>
            </w:tcMar>
            <w:vAlign w:val="center"/>
          </w:tcPr>
          <w:p>
            <w:pPr>
              <w:jc w:val="left"/>
            </w:pPr>
            <w:r>
              <w:rPr>
                <w:b/>
                <w:bCs/>
              </w:rPr>
              <w:t xml:space="preserve">Category</w:t>
            </w:r>
          </w:p>
        </w:tc>
        <w:tc>
          <w:tcPr>
            <w:tcW w:type="dxa" w:w="1400"/>
            <w:shd w:fill="1F3864" w:val="clear"/>
            <w:tcMar>
              <w:top w:type="dxa" w:w="80"/>
              <w:left w:type="dxa" w:w="100"/>
              <w:bottom w:type="dxa" w:w="80"/>
              <w:right w:type="dxa" w:w="100"/>
            </w:tcMar>
            <w:vAlign w:val="center"/>
          </w:tcPr>
          <w:p>
            <w:pPr>
              <w:jc w:val="left"/>
            </w:pPr>
            <w:r>
              <w:rPr>
                <w:b/>
                <w:bCs/>
              </w:rPr>
              <w:t xml:space="preserve">Risk Rating</w:t>
            </w:r>
          </w:p>
        </w:tc>
        <w:tc>
          <w:tcPr>
            <w:tcW w:type="dxa" w:w="1300"/>
            <w:shd w:fill="1F3864" w:val="clear"/>
            <w:tcMar>
              <w:top w:type="dxa" w:w="80"/>
              <w:left w:type="dxa" w:w="100"/>
              <w:bottom w:type="dxa" w:w="80"/>
              <w:right w:type="dxa" w:w="100"/>
            </w:tcMar>
            <w:vAlign w:val="center"/>
          </w:tcPr>
          <w:p>
            <w:pPr>
              <w:jc w:val="left"/>
            </w:pPr>
            <w:r>
              <w:rPr>
                <w:b/>
                <w:bCs/>
              </w:rPr>
              <w:t xml:space="preserve">Status</w:t>
            </w:r>
          </w:p>
        </w:tc>
      </w:tr>
      <w:tr>
        <w:tc>
          <w:tcPr>
            <w:tcW w:type="dxa" w:w="4200"/>
            <w:tcMar>
              <w:top w:type="dxa" w:w="80"/>
              <w:left w:type="dxa" w:w="100"/>
              <w:bottom w:type="dxa" w:w="80"/>
              <w:right w:type="dxa" w:w="100"/>
            </w:tcMar>
            <w:vAlign w:val="center"/>
          </w:tcPr>
          <w:p>
            <w:pPr>
              <w:jc w:val="left"/>
            </w:pPr>
            <w:r>
              <w:rPr>
                <w:b w:val="false"/>
                <w:bCs w:val="false"/>
              </w:rPr>
              <w:t xml:space="preserve">Langflow AI Agent Platform — Authorization Bypass</w:t>
            </w:r>
          </w:p>
        </w:tc>
        <w:tc>
          <w:tcPr>
            <w:tcW w:type="dxa" w:w="2400"/>
            <w:tcMar>
              <w:top w:type="dxa" w:w="80"/>
              <w:left w:type="dxa" w:w="100"/>
              <w:bottom w:type="dxa" w:w="80"/>
              <w:right w:type="dxa" w:w="100"/>
            </w:tcMar>
            <w:vAlign w:val="center"/>
          </w:tcPr>
          <w:p>
            <w:pPr>
              <w:jc w:val="left"/>
            </w:pPr>
            <w:r>
              <w:rPr>
                <w:b w:val="false"/>
                <w:bCs w:val="false"/>
              </w:rPr>
              <w:t xml:space="preserve">AI-Governance / Cloud-Security</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300"/>
            <w:tcMar>
              <w:top w:type="dxa" w:w="80"/>
              <w:left w:type="dxa" w:w="100"/>
              <w:bottom w:type="dxa" w:w="80"/>
              <w:right w:type="dxa" w:w="100"/>
            </w:tcMar>
            <w:vAlign w:val="center"/>
          </w:tcPr>
          <w:p>
            <w:pPr>
              <w:jc w:val="left"/>
            </w:pPr>
            <w:r>
              <w:rPr>
                <w:b w:val="false"/>
                <w:bCs w:val="false"/>
              </w:rPr>
              <w:t xml:space="preserve">NEW</w:t>
            </w:r>
          </w:p>
        </w:tc>
      </w:tr>
      <w:tr>
        <w:tc>
          <w:tcPr>
            <w:tcW w:type="dxa" w:w="4200"/>
            <w:tcMar>
              <w:top w:type="dxa" w:w="80"/>
              <w:left w:type="dxa" w:w="100"/>
              <w:bottom w:type="dxa" w:w="80"/>
              <w:right w:type="dxa" w:w="100"/>
            </w:tcMar>
            <w:vAlign w:val="center"/>
          </w:tcPr>
          <w:p>
            <w:pPr>
              <w:jc w:val="left"/>
            </w:pPr>
            <w:r>
              <w:rPr>
                <w:b w:val="false"/>
                <w:bCs w:val="false"/>
              </w:rPr>
              <w:t xml:space="preserve">Adobe ColdFusion — RDS Path Traversal RCE</w:t>
            </w:r>
          </w:p>
        </w:tc>
        <w:tc>
          <w:tcPr>
            <w:tcW w:type="dxa" w:w="2400"/>
            <w:tcMar>
              <w:top w:type="dxa" w:w="80"/>
              <w:left w:type="dxa" w:w="100"/>
              <w:bottom w:type="dxa" w:w="80"/>
              <w:right w:type="dxa" w:w="100"/>
            </w:tcMar>
            <w:vAlign w:val="center"/>
          </w:tcPr>
          <w:p>
            <w:pPr>
              <w:jc w:val="left"/>
            </w:pPr>
            <w:r>
              <w:rPr>
                <w:b w:val="false"/>
                <w:bCs w:val="false"/>
              </w:rPr>
              <w:t xml:space="preserve">IT-OT-Threats</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300"/>
            <w:tcMar>
              <w:top w:type="dxa" w:w="80"/>
              <w:left w:type="dxa" w:w="100"/>
              <w:bottom w:type="dxa" w:w="80"/>
              <w:right w:type="dxa" w:w="100"/>
            </w:tcMar>
            <w:vAlign w:val="center"/>
          </w:tcPr>
          <w:p>
            <w:pPr>
              <w:jc w:val="left"/>
            </w:pPr>
            <w:r>
              <w:rPr>
                <w:b w:val="false"/>
                <w:bCs w:val="false"/>
              </w:rPr>
              <w:t xml:space="preserve">NEW</w:t>
            </w:r>
          </w:p>
        </w:tc>
      </w:tr>
      <w:tr>
        <w:tc>
          <w:tcPr>
            <w:tcW w:type="dxa" w:w="4200"/>
            <w:tcMar>
              <w:top w:type="dxa" w:w="80"/>
              <w:left w:type="dxa" w:w="100"/>
              <w:bottom w:type="dxa" w:w="80"/>
              <w:right w:type="dxa" w:w="100"/>
            </w:tcMar>
            <w:vAlign w:val="center"/>
          </w:tcPr>
          <w:p>
            <w:pPr>
              <w:jc w:val="left"/>
            </w:pPr>
            <w:r>
              <w:rPr>
                <w:b w:val="false"/>
                <w:bCs w:val="false"/>
              </w:rPr>
              <w:t xml:space="preserve">Joomla Extension Ecosystem — Mass File-Upload RCE (4 CVEs)</w:t>
            </w:r>
          </w:p>
        </w:tc>
        <w:tc>
          <w:tcPr>
            <w:tcW w:type="dxa" w:w="2400"/>
            <w:tcMar>
              <w:top w:type="dxa" w:w="80"/>
              <w:left w:type="dxa" w:w="100"/>
              <w:bottom w:type="dxa" w:w="80"/>
              <w:right w:type="dxa" w:w="100"/>
            </w:tcMar>
            <w:vAlign w:val="center"/>
          </w:tcPr>
          <w:p>
            <w:pPr>
              <w:jc w:val="left"/>
            </w:pPr>
            <w:r>
              <w:rPr>
                <w:b w:val="false"/>
                <w:bCs w:val="false"/>
              </w:rPr>
              <w:t xml:space="preserve">IT-OT-Threats</w:t>
            </w:r>
          </w:p>
        </w:tc>
        <w:tc>
          <w:tcPr>
            <w:tcW w:type="dxa" w:w="1400"/>
            <w:tcMar>
              <w:top w:type="dxa" w:w="80"/>
              <w:left w:type="dxa" w:w="100"/>
              <w:bottom w:type="dxa" w:w="80"/>
              <w:right w:type="dxa" w:w="100"/>
            </w:tcMar>
            <w:vAlign w:val="center"/>
          </w:tcPr>
          <w:p>
            <w:pPr>
              <w:jc w:val="left"/>
            </w:pPr>
            <w:r>
              <w:rPr>
                <w:b w:val="false"/>
                <w:bCs w:val="false"/>
              </w:rPr>
              <w:t xml:space="preserve">Critical</w:t>
            </w:r>
          </w:p>
        </w:tc>
        <w:tc>
          <w:tcPr>
            <w:tcW w:type="dxa" w:w="1300"/>
            <w:tcMar>
              <w:top w:type="dxa" w:w="80"/>
              <w:left w:type="dxa" w:w="100"/>
              <w:bottom w:type="dxa" w:w="80"/>
              <w:right w:type="dxa" w:w="100"/>
            </w:tcMar>
            <w:vAlign w:val="center"/>
          </w:tcPr>
          <w:p>
            <w:pPr>
              <w:jc w:val="left"/>
            </w:pPr>
            <w:r>
              <w:rPr>
                <w:b w:val="false"/>
                <w:bCs w:val="false"/>
              </w:rPr>
              <w:t xml:space="preserve">NEW</w:t>
            </w:r>
          </w:p>
        </w:tc>
      </w:tr>
    </w:tbl>
    <w:p>
      <w:pPr>
        <w:pStyle w:val="Heading2"/>
        <w:spacing w:after="100" w:before="200"/>
      </w:pPr>
      <w:r>
        <w:t xml:space="preserve">Narrative — Critical Findings</w:t>
      </w:r>
    </w:p>
    <w:p>
      <w:pPr>
        <w:spacing w:after="160"/>
      </w:pPr>
      <w:r>
        <w:t xml:space="preserve">AI Agent Orchestration Platform: A widely used open-source platform for building and running automated "AI agents" — software that can take actions such as running code or calling other systems on a user's behalf — has a flaw that lets one logged-in user hijack another user's AI agent simply by supplying an ID number, no additional credentials required. This is being actively exploited, and federal agencies were given three days to fix it. Security researchers have already documented a real case where a similar flaw in this same platform let an AI agent independently carry out an entire extortion attack. This is the first AI agent platform to appear on the federal government's actively-exploited vulnerabilities list.</w:t>
      </w:r>
    </w:p>
    <w:p>
      <w:pPr>
        <w:spacing w:after="160"/>
      </w:pPr>
      <w:r>
        <w:t xml:space="preserve">Enterprise Web Application Platform: A maximum-severity flaw in a widely used enterprise web application platform lets an attacker take full control of the server with no password required, by abusing a development feature that is often left switched on in production. Attackers began exploiting this within about two hours of technical details becoming public. These platforms often run older, business-critical applications that are patched less frequently than newer systems — exactly the profile attackers look for.</w:t>
      </w:r>
    </w:p>
    <w:p>
      <w:pPr>
        <w:spacing w:after="160"/>
      </w:pPr>
      <w:r>
        <w:t xml:space="preserve">Website Add-On Ecosystem: Four different, unrelated add-on components for a popular website-building platform were each found this week to have the same critical flaw — allowing an attacker with no login to upload a malicious file and take over the website. All four are already being actively exploited. The add-ons in question are commonly used for page design, event registration, and contact forms. The fact that four unconnected components had the identical flaw in the same week suggests attackers are actively hunting this specific weakness across the broader add-on ecosystem, not just these four.</w:t>
      </w:r>
    </w:p>
    <w:p>
      <w:pPr>
        <w:spacing w:after="160"/>
      </w:pPr>
      <w:r>
        <w:t xml:space="preserve">Nation-State Network Targeting (register-only, no case bundle): National security agencies from the US and allied nations issued a joint advisory this week describing an ongoing campaign by Russian state-linked actors scanning internet-connected routers for weak default settings and exfiltrating configuration data. No case-study bundle was built for this item, consistent with program precedent for general threat-actor advisories without a specific product vulnerability — it is logged directly to the risk register.</w:t>
      </w:r>
    </w:p>
    <w:p>
      <w:pPr>
        <w:pStyle w:val="Heading1"/>
        <w:spacing w:after="150" w:before="300"/>
      </w:pPr>
      <w:r>
        <w:t xml:space="preserve">3. Top 3 Critical Risks</w:t>
      </w:r>
    </w:p>
    <w:p>
      <w:pPr>
        <w:spacing w:after="160"/>
      </w:pPr>
      <w:r>
        <w:rPr>
          <w:b/>
          <w:bCs/>
        </w:rPr>
        <w:t xml:space="preserve">1. AI Agent Platform Hijacking — </w:t>
      </w:r>
      <w:r>
        <w:t xml:space="preserve">What happened: A flaw in a leading AI agent orchestration platform lets one user take over another user's automated AI agent, including whatever systems or data that agent was authorized to touch. Why it matters: This is not a data leak — it is a hand-off of another user's already-authorized automated capability to an attacker, with a documented real-world precedent of AI agents being weaponized for autonomous extortion attacks. What we're doing: Confirming whether this platform is deployed anywhere in our environment, applying the patch, rotating any credentials our automated agents had access to, and reviewing logs for unauthorized activity.</w:t>
      </w:r>
    </w:p>
    <w:p>
      <w:pPr>
        <w:spacing w:after="160"/>
      </w:pPr>
      <w:r>
        <w:rPr>
          <w:b/>
          <w:bCs/>
        </w:rPr>
        <w:t xml:space="preserve">2. Enterprise Web Platform Takeover — </w:t>
      </w:r>
      <w:r>
        <w:t xml:space="preserve">What happened: A maximum-severity, no-password-required flaw in a widely used enterprise web platform allows full server takeover, and it is already being exploited. Why it matters: Full server takeover exposes anything that server can reach — customer data, internal systems, connected applications — and this platform commonly runs older, business-critical applications. What we're doing: Identifying every affected instance, applying the vendor patch immediately, and checking whether the vulnerable development feature is switched on anywhere it shouldn't be.</w:t>
      </w:r>
    </w:p>
    <w:p>
      <w:pPr>
        <w:spacing w:after="160"/>
      </w:pPr>
      <w:r>
        <w:rPr>
          <w:b/>
          <w:bCs/>
        </w:rPr>
        <w:t xml:space="preserve">3. Website Add-On Mass Exploitation — </w:t>
      </w:r>
      <w:r>
        <w:t xml:space="preserve">What happened: Four unrelated add-on components for a popular website platform were each found with the identical critical, no-login-required takeover flaw in the same week. Why it matters: Public-facing websites are directly visible to customers and the public; compromise risks defacement, malware hosting, and exposure of any registration or form data those add-ons collect. What we're doing: Cataloging every website and add-on in use, patching all four affected components, and scanning for signs of prior compromise regardless of which add-ons are installed.</w:t>
      </w:r>
    </w:p>
    <w:p>
      <w:pPr>
        <w:pStyle w:val="Heading1"/>
        <w:spacing w:after="150" w:before="300"/>
      </w:pPr>
      <w:r>
        <w:t xml:space="preserve">4. AI Governance Watch</w:t>
      </w:r>
    </w:p>
    <w:p>
      <w:pPr>
        <w:spacing w:after="160"/>
      </w:pPr>
      <w:r>
        <w:t xml:space="preserve">This week's Langflow finding (see Section 2) is itself the most significant AI governance development of the week: it is the first AI agent orchestration platform to appear on the federal actively-exploited vulnerabilities list, and it arrives with a documented precedent of a comparable flaw being used to let an AI agent autonomously execute an entire extortion operation. This is a concrete signal that AI agent infrastructure — not just AI models themselves — now needs to be in scope for vulnerability management and incident response, and that AI governance programs should extend their risk registers to cover agent-orchestration platforms specifically.</w:t>
      </w:r>
    </w:p>
    <w:p>
      <w:pPr>
        <w:spacing w:after="160"/>
      </w:pPr>
      <w:r>
        <w:t xml:space="preserve">Separately, the European Commission published a Cybersecurity and AI Action Plan on July 7, outlining a coordinated approach to help member states, businesses, and public authorities manage the cybersecurity and resilience challenges posed by advanced AI models, including a plan to increase EU capacity to evaluate AI models before they reach the market. This is a directional policy signal rather than a new compliance obligation, and it does not change any existing deadline.</w:t>
      </w:r>
    </w:p>
    <w:p>
      <w:pPr>
        <w:spacing w:after="160"/>
      </w:pPr>
      <w:r>
        <w:t xml:space="preserve">Recommendation: Treat the Langflow finding as the leading indicator it is — this is likely the first of a growing category of findings, not an isolated event. AI governance programs should formally extend scope to cover AI agent/orchestration infrastructure, not just models and data pipelines.</w:t>
      </w:r>
    </w:p>
    <w:p>
      <w:pPr>
        <w:pStyle w:val="Heading1"/>
        <w:spacing w:after="150" w:before="300"/>
      </w:pPr>
      <w:r>
        <w:t xml:space="preserve">5. Compliance Posture</w:t>
      </w:r>
    </w:p>
    <w:p>
      <w:pPr>
        <w:spacing w:after="160"/>
      </w:pPr>
      <w:r>
        <w:t xml:space="preserve">No new compliance or security frameworks were introduced into our program this week — all findings mapped cleanly to frameworks already in active use (including our cybersecurity, AI governance, and cloud compliance reference frameworks).</w:t>
      </w:r>
    </w:p>
    <w:p>
      <w:pPr>
        <w:spacing w:after="160"/>
      </w:pPr>
      <w:r>
        <w:t xml:space="preserve">One item worth flagging for cloud GRC awareness even though it did not generate a case or risk register row: FedRAMP's Consolidated Rules for 2026 took effect this week (July 4), with the marketplace opening for cloud service providers to enter the initial 20x certification pathway on July 6. This replaces a patchwork of legacy FedRAMP guidance with a single structured ruleset and introduces new certification class designations (A/B/C/D) in place of the prior impact-level naming. Relevant for any cloud service offering pursuing or maintaining federal authorization.</w:t>
      </w:r>
    </w:p>
    <w:p>
      <w:pPr>
        <w:spacing w:after="160"/>
      </w:pPr>
      <w:r>
        <w:t xml:space="preserve">Trend continuation: six of this week's seven new risk register entries were issued under the federal government's compressed three-day remediation mandate (BOD 26-04) — consistent with the pattern first flagged last week. This is now the operating norm for confirmed actively-exploited critical findings, not an anomaly, and internal patch-management SLAs should be validated against it on an ongoing basis rather than treated as a one-time check.</w:t>
      </w:r>
    </w:p>
    <w:p>
      <w:pPr>
        <w:pStyle w:val="Heading1"/>
        <w:spacing w:after="150" w:before="300"/>
      </w:pPr>
      <w:r>
        <w:t xml:space="preserve">6. Recommended Executive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1980"/>
        <w:gridCol w:w="1300"/>
      </w:tblGrid>
      <w:tr>
        <w:trPr>
          <w:tblHeader/>
        </w:trPr>
        <w:tc>
          <w:tcPr>
            <w:tcW w:type="dxa" w:w="3000"/>
            <w:shd w:fill="1F3864" w:val="clear"/>
            <w:tcMar>
              <w:top w:type="dxa" w:w="80"/>
              <w:left w:type="dxa" w:w="100"/>
              <w:bottom w:type="dxa" w:w="80"/>
              <w:right w:type="dxa" w:w="100"/>
            </w:tcMar>
            <w:vAlign w:val="center"/>
          </w:tcPr>
          <w:p>
            <w:pPr>
              <w:jc w:val="left"/>
            </w:pPr>
            <w:r>
              <w:rPr>
                <w:b/>
                <w:bCs/>
              </w:rPr>
              <w:t xml:space="preserve">#</w:t>
            </w:r>
          </w:p>
        </w:tc>
        <w:tc>
          <w:tcPr>
            <w:tcW w:type="dxa" w:w="3800"/>
            <w:shd w:fill="1F3864" w:val="clear"/>
            <w:tcMar>
              <w:top w:type="dxa" w:w="80"/>
              <w:left w:type="dxa" w:w="100"/>
              <w:bottom w:type="dxa" w:w="80"/>
              <w:right w:type="dxa" w:w="100"/>
            </w:tcMar>
            <w:vAlign w:val="center"/>
          </w:tcPr>
          <w:p>
            <w:pPr>
              <w:jc w:val="left"/>
            </w:pPr>
            <w:r>
              <w:rPr>
                <w:b/>
                <w:bCs/>
              </w:rPr>
              <w:t xml:space="preserve">Action</w:t>
            </w:r>
          </w:p>
        </w:tc>
        <w:tc>
          <w:tcPr>
            <w:tcW w:type="dxa" w:w="1980"/>
            <w:shd w:fill="1F3864" w:val="clear"/>
            <w:tcMar>
              <w:top w:type="dxa" w:w="80"/>
              <w:left w:type="dxa" w:w="100"/>
              <w:bottom w:type="dxa" w:w="80"/>
              <w:right w:type="dxa" w:w="100"/>
            </w:tcMar>
            <w:vAlign w:val="center"/>
          </w:tcPr>
          <w:p>
            <w:pPr>
              <w:jc w:val="left"/>
            </w:pPr>
            <w:r>
              <w:rPr>
                <w:b/>
                <w:bCs/>
              </w:rPr>
              <w:t xml:space="preserve">Owner</w:t>
            </w:r>
          </w:p>
        </w:tc>
        <w:tc>
          <w:tcPr>
            <w:tcW w:type="dxa" w:w="1300"/>
            <w:shd w:fill="1F3864" w:val="clear"/>
            <w:tcMar>
              <w:top w:type="dxa" w:w="80"/>
              <w:left w:type="dxa" w:w="100"/>
              <w:bottom w:type="dxa" w:w="80"/>
              <w:right w:type="dxa" w:w="100"/>
            </w:tcMar>
            <w:vAlign w:val="center"/>
          </w:tcPr>
          <w:p>
            <w:pPr>
              <w:jc w:val="left"/>
            </w:pPr>
            <w:r>
              <w:rPr>
                <w:b/>
                <w:bCs/>
              </w:rPr>
              <w:t xml:space="preserve">Timeline</w:t>
            </w:r>
          </w:p>
        </w:tc>
      </w:tr>
      <w:tr>
        <w:tc>
          <w:tcPr>
            <w:tcW w:type="dxa" w:w="3000"/>
            <w:tcMar>
              <w:top w:type="dxa" w:w="80"/>
              <w:left w:type="dxa" w:w="100"/>
              <w:bottom w:type="dxa" w:w="80"/>
              <w:right w:type="dxa" w:w="100"/>
            </w:tcMar>
            <w:vAlign w:val="center"/>
          </w:tcPr>
          <w:p>
            <w:pPr>
              <w:jc w:val="left"/>
            </w:pPr>
            <w:r>
              <w:rPr>
                <w:b w:val="false"/>
                <w:bCs w:val="false"/>
              </w:rPr>
              <w:t xml:space="preserve">1</w:t>
            </w:r>
          </w:p>
        </w:tc>
        <w:tc>
          <w:tcPr>
            <w:tcW w:type="dxa" w:w="3800"/>
            <w:tcMar>
              <w:top w:type="dxa" w:w="80"/>
              <w:left w:type="dxa" w:w="100"/>
              <w:bottom w:type="dxa" w:w="80"/>
              <w:right w:type="dxa" w:w="100"/>
            </w:tcMar>
            <w:vAlign w:val="center"/>
          </w:tcPr>
          <w:p>
            <w:pPr>
              <w:jc w:val="left"/>
            </w:pPr>
            <w:r>
              <w:rPr>
                <w:b w:val="false"/>
                <w:bCs w:val="false"/>
              </w:rPr>
              <w:t xml:space="preserve">Confirm whether Langflow, Adobe ColdFusion, or any of the four named Joomla add-ons are deployed anywhere in the environment, and patch per federal deadlines.</w:t>
            </w:r>
          </w:p>
        </w:tc>
        <w:tc>
          <w:tcPr>
            <w:tcW w:type="dxa" w:w="1980"/>
            <w:tcMar>
              <w:top w:type="dxa" w:w="80"/>
              <w:left w:type="dxa" w:w="100"/>
              <w:bottom w:type="dxa" w:w="80"/>
              <w:right w:type="dxa" w:w="100"/>
            </w:tcMar>
            <w:vAlign w:val="center"/>
          </w:tcPr>
          <w:p>
            <w:pPr>
              <w:jc w:val="left"/>
            </w:pPr>
            <w:r>
              <w:rPr>
                <w:b w:val="false"/>
                <w:bCs w:val="false"/>
              </w:rPr>
              <w:t xml:space="preserve">AI/Platform Engineering; Enterprise Application Engineering; Web/IT Operations</w:t>
            </w:r>
          </w:p>
        </w:tc>
        <w:tc>
          <w:tcPr>
            <w:tcW w:type="dxa" w:w="1300"/>
            <w:tcMar>
              <w:top w:type="dxa" w:w="80"/>
              <w:left w:type="dxa" w:w="100"/>
              <w:bottom w:type="dxa" w:w="80"/>
              <w:right w:type="dxa" w:w="100"/>
            </w:tcMar>
            <w:vAlign w:val="center"/>
          </w:tcPr>
          <w:p>
            <w:pPr>
              <w:jc w:val="left"/>
            </w:pPr>
            <w:r>
              <w:rPr>
                <w:b w:val="false"/>
                <w:bCs w:val="false"/>
              </w:rPr>
              <w:t xml:space="preserve">By July 10–13</w:t>
            </w:r>
          </w:p>
        </w:tc>
      </w:tr>
      <w:tr>
        <w:tc>
          <w:tcPr>
            <w:tcW w:type="dxa" w:w="3000"/>
            <w:tcMar>
              <w:top w:type="dxa" w:w="80"/>
              <w:left w:type="dxa" w:w="100"/>
              <w:bottom w:type="dxa" w:w="80"/>
              <w:right w:type="dxa" w:w="100"/>
            </w:tcMar>
            <w:vAlign w:val="center"/>
          </w:tcPr>
          <w:p>
            <w:pPr>
              <w:jc w:val="left"/>
            </w:pPr>
            <w:r>
              <w:rPr>
                <w:b w:val="false"/>
                <w:bCs w:val="false"/>
              </w:rPr>
              <w:t xml:space="preserve">2</w:t>
            </w:r>
          </w:p>
        </w:tc>
        <w:tc>
          <w:tcPr>
            <w:tcW w:type="dxa" w:w="3800"/>
            <w:tcMar>
              <w:top w:type="dxa" w:w="80"/>
              <w:left w:type="dxa" w:w="100"/>
              <w:bottom w:type="dxa" w:w="80"/>
              <w:right w:type="dxa" w:w="100"/>
            </w:tcMar>
            <w:vAlign w:val="center"/>
          </w:tcPr>
          <w:p>
            <w:pPr>
              <w:jc w:val="left"/>
            </w:pPr>
            <w:r>
              <w:rPr>
                <w:b w:val="false"/>
                <w:bCs w:val="false"/>
              </w:rPr>
              <w:t xml:space="preserve">Rotate credentials reachable by any Langflow AI agent flow and complete an AI agent/system inventory.</w:t>
            </w:r>
          </w:p>
        </w:tc>
        <w:tc>
          <w:tcPr>
            <w:tcW w:type="dxa" w:w="1980"/>
            <w:tcMar>
              <w:top w:type="dxa" w:w="80"/>
              <w:left w:type="dxa" w:w="100"/>
              <w:bottom w:type="dxa" w:w="80"/>
              <w:right w:type="dxa" w:w="100"/>
            </w:tcMar>
            <w:vAlign w:val="center"/>
          </w:tcPr>
          <w:p>
            <w:pPr>
              <w:jc w:val="left"/>
            </w:pPr>
            <w:r>
              <w:rPr>
                <w:b w:val="false"/>
                <w:bCs w:val="false"/>
              </w:rPr>
              <w:t xml:space="preserve">AI Governance Lead / AI Platform Engineering</w:t>
            </w:r>
          </w:p>
        </w:tc>
        <w:tc>
          <w:tcPr>
            <w:tcW w:type="dxa" w:w="1300"/>
            <w:tcMar>
              <w:top w:type="dxa" w:w="80"/>
              <w:left w:type="dxa" w:w="100"/>
              <w:bottom w:type="dxa" w:w="80"/>
              <w:right w:type="dxa" w:w="100"/>
            </w:tcMar>
            <w:vAlign w:val="center"/>
          </w:tcPr>
          <w:p>
            <w:pPr>
              <w:jc w:val="left"/>
            </w:pPr>
            <w:r>
              <w:rPr>
                <w:b w:val="false"/>
                <w:bCs w:val="false"/>
              </w:rPr>
              <w:t xml:space="preserve">Next 30 days</w:t>
            </w:r>
          </w:p>
        </w:tc>
      </w:tr>
      <w:tr>
        <w:tc>
          <w:tcPr>
            <w:tcW w:type="dxa" w:w="3000"/>
            <w:tcMar>
              <w:top w:type="dxa" w:w="80"/>
              <w:left w:type="dxa" w:w="100"/>
              <w:bottom w:type="dxa" w:w="80"/>
              <w:right w:type="dxa" w:w="100"/>
            </w:tcMar>
            <w:vAlign w:val="center"/>
          </w:tcPr>
          <w:p>
            <w:pPr>
              <w:jc w:val="left"/>
            </w:pPr>
            <w:r>
              <w:rPr>
                <w:b w:val="false"/>
                <w:bCs w:val="false"/>
              </w:rPr>
              <w:t xml:space="preserve">3</w:t>
            </w:r>
          </w:p>
        </w:tc>
        <w:tc>
          <w:tcPr>
            <w:tcW w:type="dxa" w:w="3800"/>
            <w:tcMar>
              <w:top w:type="dxa" w:w="80"/>
              <w:left w:type="dxa" w:w="100"/>
              <w:bottom w:type="dxa" w:w="80"/>
              <w:right w:type="dxa" w:w="100"/>
            </w:tcMar>
            <w:vAlign w:val="center"/>
          </w:tcPr>
          <w:p>
            <w:pPr>
              <w:jc w:val="left"/>
            </w:pPr>
            <w:r>
              <w:rPr>
                <w:b w:val="false"/>
                <w:bCs w:val="false"/>
              </w:rPr>
              <w:t xml:space="preserve">Harden router/SNMP configuration per the joint NSA/CISA/FBI advisory (disable default community strings, restrict management access).</w:t>
            </w:r>
          </w:p>
        </w:tc>
        <w:tc>
          <w:tcPr>
            <w:tcW w:type="dxa" w:w="1980"/>
            <w:tcMar>
              <w:top w:type="dxa" w:w="80"/>
              <w:left w:type="dxa" w:w="100"/>
              <w:bottom w:type="dxa" w:w="80"/>
              <w:right w:type="dxa" w:w="100"/>
            </w:tcMar>
            <w:vAlign w:val="center"/>
          </w:tcPr>
          <w:p>
            <w:pPr>
              <w:jc w:val="left"/>
            </w:pPr>
            <w:r>
              <w:rPr>
                <w:b w:val="false"/>
                <w:bCs w:val="false"/>
              </w:rPr>
              <w:t xml:space="preserve">Network Engineering</w:t>
            </w:r>
          </w:p>
        </w:tc>
        <w:tc>
          <w:tcPr>
            <w:tcW w:type="dxa" w:w="1300"/>
            <w:tcMar>
              <w:top w:type="dxa" w:w="80"/>
              <w:left w:type="dxa" w:w="100"/>
              <w:bottom w:type="dxa" w:w="80"/>
              <w:right w:type="dxa" w:w="100"/>
            </w:tcMar>
            <w:vAlign w:val="center"/>
          </w:tcPr>
          <w:p>
            <w:pPr>
              <w:jc w:val="left"/>
            </w:pPr>
            <w:r>
              <w:rPr>
                <w:b w:val="false"/>
                <w:bCs w:val="false"/>
              </w:rPr>
              <w:t xml:space="preserve">Next 30 days</w:t>
            </w:r>
          </w:p>
        </w:tc>
      </w:tr>
      <w:tr>
        <w:tc>
          <w:tcPr>
            <w:tcW w:type="dxa" w:w="3000"/>
            <w:tcMar>
              <w:top w:type="dxa" w:w="80"/>
              <w:left w:type="dxa" w:w="100"/>
              <w:bottom w:type="dxa" w:w="80"/>
              <w:right w:type="dxa" w:w="100"/>
            </w:tcMar>
            <w:vAlign w:val="center"/>
          </w:tcPr>
          <w:p>
            <w:pPr>
              <w:jc w:val="left"/>
            </w:pPr>
            <w:r>
              <w:rPr>
                <w:b w:val="false"/>
                <w:bCs w:val="false"/>
              </w:rPr>
              <w:t xml:space="preserve">4</w:t>
            </w:r>
          </w:p>
        </w:tc>
        <w:tc>
          <w:tcPr>
            <w:tcW w:type="dxa" w:w="3800"/>
            <w:tcMar>
              <w:top w:type="dxa" w:w="80"/>
              <w:left w:type="dxa" w:w="100"/>
              <w:bottom w:type="dxa" w:w="80"/>
              <w:right w:type="dxa" w:w="100"/>
            </w:tcMar>
            <w:vAlign w:val="center"/>
          </w:tcPr>
          <w:p>
            <w:pPr>
              <w:jc w:val="left"/>
            </w:pPr>
            <w:r>
              <w:rPr>
                <w:b w:val="false"/>
                <w:bCs w:val="false"/>
              </w:rPr>
              <w:t xml:space="preserve">Extend vulnerability management scope to cover CMS extensions/add-ons with the same rigor applied to core platforms.</w:t>
            </w:r>
          </w:p>
        </w:tc>
        <w:tc>
          <w:tcPr>
            <w:tcW w:type="dxa" w:w="1980"/>
            <w:tcMar>
              <w:top w:type="dxa" w:w="80"/>
              <w:left w:type="dxa" w:w="100"/>
              <w:bottom w:type="dxa" w:w="80"/>
              <w:right w:type="dxa" w:w="100"/>
            </w:tcMar>
            <w:vAlign w:val="center"/>
          </w:tcPr>
          <w:p>
            <w:pPr>
              <w:jc w:val="left"/>
            </w:pPr>
            <w:r>
              <w:rPr>
                <w:b w:val="false"/>
                <w:bCs w:val="false"/>
              </w:rPr>
              <w:t xml:space="preserve">Web/IT Operations</w:t>
            </w:r>
          </w:p>
        </w:tc>
        <w:tc>
          <w:tcPr>
            <w:tcW w:type="dxa" w:w="1300"/>
            <w:tcMar>
              <w:top w:type="dxa" w:w="80"/>
              <w:left w:type="dxa" w:w="100"/>
              <w:bottom w:type="dxa" w:w="80"/>
              <w:right w:type="dxa" w:w="100"/>
            </w:tcMar>
            <w:vAlign w:val="center"/>
          </w:tcPr>
          <w:p>
            <w:pPr>
              <w:jc w:val="left"/>
            </w:pPr>
            <w:r>
              <w:rPr>
                <w:b w:val="false"/>
                <w:bCs w:val="false"/>
              </w:rPr>
              <w:t xml:space="preserve">Next 30 days</w:t>
            </w:r>
          </w:p>
        </w:tc>
      </w:tr>
      <w:tr>
        <w:tc>
          <w:tcPr>
            <w:tcW w:type="dxa" w:w="3000"/>
            <w:tcMar>
              <w:top w:type="dxa" w:w="80"/>
              <w:left w:type="dxa" w:w="100"/>
              <w:bottom w:type="dxa" w:w="80"/>
              <w:right w:type="dxa" w:w="100"/>
            </w:tcMar>
            <w:vAlign w:val="center"/>
          </w:tcPr>
          <w:p>
            <w:pPr>
              <w:jc w:val="left"/>
            </w:pPr>
            <w:r>
              <w:rPr>
                <w:b w:val="false"/>
                <w:bCs w:val="false"/>
              </w:rPr>
              <w:t xml:space="preserve">5</w:t>
            </w:r>
          </w:p>
        </w:tc>
        <w:tc>
          <w:tcPr>
            <w:tcW w:type="dxa" w:w="3800"/>
            <w:tcMar>
              <w:top w:type="dxa" w:w="80"/>
              <w:left w:type="dxa" w:w="100"/>
              <w:bottom w:type="dxa" w:w="80"/>
              <w:right w:type="dxa" w:w="100"/>
            </w:tcMar>
            <w:vAlign w:val="center"/>
          </w:tcPr>
          <w:p>
            <w:pPr>
              <w:jc w:val="left"/>
            </w:pPr>
            <w:r>
              <w:rPr>
                <w:b w:val="false"/>
                <w:bCs w:val="false"/>
              </w:rPr>
              <w:t xml:space="preserve">Brief leadership on the continued three-day federal remediation trend and confirm patch-management SLA can sustain it.</w:t>
            </w:r>
          </w:p>
        </w:tc>
        <w:tc>
          <w:tcPr>
            <w:tcW w:type="dxa" w:w="1980"/>
            <w:tcMar>
              <w:top w:type="dxa" w:w="80"/>
              <w:left w:type="dxa" w:w="100"/>
              <w:bottom w:type="dxa" w:w="80"/>
              <w:right w:type="dxa" w:w="100"/>
            </w:tcMar>
            <w:vAlign w:val="center"/>
          </w:tcPr>
          <w:p>
            <w:pPr>
              <w:jc w:val="left"/>
            </w:pPr>
            <w:r>
              <w:rPr>
                <w:b w:val="false"/>
                <w:bCs w:val="false"/>
              </w:rPr>
              <w:t xml:space="preserve">CISO / GRC</w:t>
            </w:r>
          </w:p>
        </w:tc>
        <w:tc>
          <w:tcPr>
            <w:tcW w:type="dxa" w:w="1300"/>
            <w:tcMar>
              <w:top w:type="dxa" w:w="80"/>
              <w:left w:type="dxa" w:w="100"/>
              <w:bottom w:type="dxa" w:w="80"/>
              <w:right w:type="dxa" w:w="100"/>
            </w:tcMar>
            <w:vAlign w:val="center"/>
          </w:tcPr>
          <w:p>
            <w:pPr>
              <w:jc w:val="left"/>
            </w:pPr>
            <w:r>
              <w:rPr>
                <w:b w:val="false"/>
                <w:bCs w:val="false"/>
              </w:rPr>
              <w:t xml:space="preserve">Next leadership meeting</w:t>
            </w:r>
          </w:p>
        </w:tc>
      </w:tr>
    </w:tbl>
    <w:p>
      <w:pPr>
        <w:pStyle w:val="Heading1"/>
        <w:spacing w:after="150" w:before="300"/>
      </w:pPr>
      <w:r>
        <w:t xml:space="preserve">7. Metrics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300"/>
        <w:gridCol w:w="3000"/>
      </w:tblGrid>
      <w:tr>
        <w:trPr>
          <w:tblHeader/>
        </w:trPr>
        <w:tc>
          <w:tcPr>
            <w:tcW w:type="dxa" w:w="5300"/>
            <w:shd w:fill="1F3864" w:val="clear"/>
            <w:tcMar>
              <w:top w:type="dxa" w:w="80"/>
              <w:left w:type="dxa" w:w="100"/>
              <w:bottom w:type="dxa" w:w="80"/>
              <w:right w:type="dxa" w:w="100"/>
            </w:tcMar>
            <w:vAlign w:val="center"/>
          </w:tcPr>
          <w:p>
            <w:pPr>
              <w:jc w:val="left"/>
            </w:pPr>
            <w:r>
              <w:rPr>
                <w:b/>
                <w:bCs/>
              </w:rPr>
              <w:t xml:space="preserve">Metric</w:t>
            </w:r>
          </w:p>
        </w:tc>
        <w:tc>
          <w:tcPr>
            <w:tcW w:type="dxa" w:w="3000"/>
            <w:shd w:fill="1F3864" w:val="clear"/>
            <w:tcMar>
              <w:top w:type="dxa" w:w="80"/>
              <w:left w:type="dxa" w:w="100"/>
              <w:bottom w:type="dxa" w:w="80"/>
              <w:right w:type="dxa" w:w="100"/>
            </w:tcMar>
            <w:vAlign w:val="center"/>
          </w:tcPr>
          <w:p>
            <w:pPr>
              <w:jc w:val="left"/>
            </w:pPr>
            <w:r>
              <w:rPr>
                <w:b/>
                <w:bCs/>
              </w:rPr>
              <w:t xml:space="preserve">Value</w:t>
            </w:r>
          </w:p>
        </w:tc>
      </w:tr>
      <w:tr>
        <w:tc>
          <w:tcPr>
            <w:tcW w:type="dxa" w:w="5300"/>
            <w:tcMar>
              <w:top w:type="dxa" w:w="80"/>
              <w:left w:type="dxa" w:w="100"/>
              <w:bottom w:type="dxa" w:w="80"/>
              <w:right w:type="dxa" w:w="100"/>
            </w:tcMar>
            <w:vAlign w:val="center"/>
          </w:tcPr>
          <w:p>
            <w:pPr>
              <w:jc w:val="left"/>
            </w:pPr>
            <w:r>
              <w:rPr>
                <w:b w:val="false"/>
                <w:bCs w:val="false"/>
              </w:rPr>
              <w:t xml:space="preserve">New cases identified this week</w:t>
            </w:r>
          </w:p>
        </w:tc>
        <w:tc>
          <w:tcPr>
            <w:tcW w:type="dxa" w:w="3000"/>
            <w:tcMar>
              <w:top w:type="dxa" w:w="80"/>
              <w:left w:type="dxa" w:w="100"/>
              <w:bottom w:type="dxa" w:w="80"/>
              <w:right w:type="dxa" w:w="100"/>
            </w:tcMar>
            <w:vAlign w:val="center"/>
          </w:tcPr>
          <w:p>
            <w:pPr>
              <w:jc w:val="left"/>
            </w:pPr>
            <w:r>
              <w:rPr>
                <w:b w:val="false"/>
                <w:bCs w:val="false"/>
              </w:rPr>
              <w:t xml:space="preserve">3</w:t>
            </w:r>
          </w:p>
        </w:tc>
      </w:tr>
      <w:tr>
        <w:tc>
          <w:tcPr>
            <w:tcW w:type="dxa" w:w="5300"/>
            <w:tcMar>
              <w:top w:type="dxa" w:w="80"/>
              <w:left w:type="dxa" w:w="100"/>
              <w:bottom w:type="dxa" w:w="80"/>
              <w:right w:type="dxa" w:w="100"/>
            </w:tcMar>
            <w:vAlign w:val="center"/>
          </w:tcPr>
          <w:p>
            <w:pPr>
              <w:jc w:val="left"/>
            </w:pPr>
            <w:r>
              <w:rPr>
                <w:b w:val="false"/>
                <w:bCs w:val="false"/>
              </w:rPr>
              <w:t xml:space="preserve">Escalated (UPDATE) cases</w:t>
            </w:r>
          </w:p>
        </w:tc>
        <w:tc>
          <w:tcPr>
            <w:tcW w:type="dxa" w:w="3000"/>
            <w:tcMar>
              <w:top w:type="dxa" w:w="80"/>
              <w:left w:type="dxa" w:w="100"/>
              <w:bottom w:type="dxa" w:w="80"/>
              <w:right w:type="dxa" w:w="100"/>
            </w:tcMar>
            <w:vAlign w:val="center"/>
          </w:tcPr>
          <w:p>
            <w:pPr>
              <w:jc w:val="left"/>
            </w:pPr>
            <w:r>
              <w:rPr>
                <w:b w:val="false"/>
                <w:bCs w:val="false"/>
              </w:rPr>
              <w:t xml:space="preserve">0</w:t>
            </w:r>
          </w:p>
        </w:tc>
      </w:tr>
      <w:tr>
        <w:tc>
          <w:tcPr>
            <w:tcW w:type="dxa" w:w="5300"/>
            <w:tcMar>
              <w:top w:type="dxa" w:w="80"/>
              <w:left w:type="dxa" w:w="100"/>
              <w:bottom w:type="dxa" w:w="80"/>
              <w:right w:type="dxa" w:w="100"/>
            </w:tcMar>
            <w:vAlign w:val="center"/>
          </w:tcPr>
          <w:p>
            <w:pPr>
              <w:jc w:val="left"/>
            </w:pPr>
            <w:r>
              <w:rPr>
                <w:b w:val="false"/>
                <w:bCs w:val="false"/>
              </w:rPr>
              <w:t xml:space="preserve">Repeat cases suppressed (duplicate, no change)</w:t>
            </w:r>
          </w:p>
        </w:tc>
        <w:tc>
          <w:tcPr>
            <w:tcW w:type="dxa" w:w="3000"/>
            <w:tcMar>
              <w:top w:type="dxa" w:w="80"/>
              <w:left w:type="dxa" w:w="100"/>
              <w:bottom w:type="dxa" w:w="80"/>
              <w:right w:type="dxa" w:w="100"/>
            </w:tcMar>
            <w:vAlign w:val="center"/>
          </w:tcPr>
          <w:p>
            <w:pPr>
              <w:jc w:val="left"/>
            </w:pPr>
            <w:r>
              <w:rPr>
                <w:b w:val="false"/>
                <w:bCs w:val="false"/>
              </w:rPr>
              <w:t xml:space="preserve">0</w:t>
            </w:r>
          </w:p>
        </w:tc>
      </w:tr>
      <w:tr>
        <w:tc>
          <w:tcPr>
            <w:tcW w:type="dxa" w:w="5300"/>
            <w:tcMar>
              <w:top w:type="dxa" w:w="80"/>
              <w:left w:type="dxa" w:w="100"/>
              <w:bottom w:type="dxa" w:w="80"/>
              <w:right w:type="dxa" w:w="100"/>
            </w:tcMar>
            <w:vAlign w:val="center"/>
          </w:tcPr>
          <w:p>
            <w:pPr>
              <w:jc w:val="left"/>
            </w:pPr>
            <w:r>
              <w:rPr>
                <w:b w:val="false"/>
                <w:bCs w:val="false"/>
              </w:rPr>
              <w:t xml:space="preserve">Critical-rated findings</w:t>
            </w:r>
          </w:p>
        </w:tc>
        <w:tc>
          <w:tcPr>
            <w:tcW w:type="dxa" w:w="3000"/>
            <w:tcMar>
              <w:top w:type="dxa" w:w="80"/>
              <w:left w:type="dxa" w:w="100"/>
              <w:bottom w:type="dxa" w:w="80"/>
              <w:right w:type="dxa" w:w="100"/>
            </w:tcMar>
            <w:vAlign w:val="center"/>
          </w:tcPr>
          <w:p>
            <w:pPr>
              <w:jc w:val="left"/>
            </w:pPr>
            <w:r>
              <w:rPr>
                <w:b w:val="false"/>
                <w:bCs w:val="false"/>
              </w:rPr>
              <w:t xml:space="preserve">3 cases / 6 risk register rows</w:t>
            </w:r>
          </w:p>
        </w:tc>
      </w:tr>
      <w:tr>
        <w:tc>
          <w:tcPr>
            <w:tcW w:type="dxa" w:w="5300"/>
            <w:tcMar>
              <w:top w:type="dxa" w:w="80"/>
              <w:left w:type="dxa" w:w="100"/>
              <w:bottom w:type="dxa" w:w="80"/>
              <w:right w:type="dxa" w:w="100"/>
            </w:tcMar>
            <w:vAlign w:val="center"/>
          </w:tcPr>
          <w:p>
            <w:pPr>
              <w:jc w:val="left"/>
            </w:pPr>
            <w:r>
              <w:rPr>
                <w:b w:val="false"/>
                <w:bCs w:val="false"/>
              </w:rPr>
              <w:t xml:space="preserve">High-rated findings</w:t>
            </w:r>
          </w:p>
        </w:tc>
        <w:tc>
          <w:tcPr>
            <w:tcW w:type="dxa" w:w="3000"/>
            <w:tcMar>
              <w:top w:type="dxa" w:w="80"/>
              <w:left w:type="dxa" w:w="100"/>
              <w:bottom w:type="dxa" w:w="80"/>
              <w:right w:type="dxa" w:w="100"/>
            </w:tcMar>
            <w:vAlign w:val="center"/>
          </w:tcPr>
          <w:p>
            <w:pPr>
              <w:jc w:val="left"/>
            </w:pPr>
            <w:r>
              <w:rPr>
                <w:b w:val="false"/>
                <w:bCs w:val="false"/>
              </w:rPr>
              <w:t xml:space="preserve">1 (register-only advisory)</w:t>
            </w:r>
          </w:p>
        </w:tc>
      </w:tr>
      <w:tr>
        <w:tc>
          <w:tcPr>
            <w:tcW w:type="dxa" w:w="5300"/>
            <w:tcMar>
              <w:top w:type="dxa" w:w="80"/>
              <w:left w:type="dxa" w:w="100"/>
              <w:bottom w:type="dxa" w:w="80"/>
              <w:right w:type="dxa" w:w="100"/>
            </w:tcMar>
            <w:vAlign w:val="center"/>
          </w:tcPr>
          <w:p>
            <w:pPr>
              <w:jc w:val="left"/>
            </w:pPr>
            <w:r>
              <w:rPr>
                <w:b w:val="false"/>
                <w:bCs w:val="false"/>
              </w:rPr>
              <w:t xml:space="preserve">Findings under accelerated 3-day federal remediation mandate</w:t>
            </w:r>
          </w:p>
        </w:tc>
        <w:tc>
          <w:tcPr>
            <w:tcW w:type="dxa" w:w="3000"/>
            <w:tcMar>
              <w:top w:type="dxa" w:w="80"/>
              <w:left w:type="dxa" w:w="100"/>
              <w:bottom w:type="dxa" w:w="80"/>
              <w:right w:type="dxa" w:w="100"/>
            </w:tcMar>
            <w:vAlign w:val="center"/>
          </w:tcPr>
          <w:p>
            <w:pPr>
              <w:jc w:val="left"/>
            </w:pPr>
            <w:r>
              <w:rPr>
                <w:b w:val="false"/>
                <w:bCs w:val="false"/>
              </w:rPr>
              <w:t xml:space="preserve">6</w:t>
            </w:r>
          </w:p>
        </w:tc>
      </w:tr>
      <w:tr>
        <w:tc>
          <w:tcPr>
            <w:tcW w:type="dxa" w:w="5300"/>
            <w:tcMar>
              <w:top w:type="dxa" w:w="80"/>
              <w:left w:type="dxa" w:w="100"/>
              <w:bottom w:type="dxa" w:w="80"/>
              <w:right w:type="dxa" w:w="100"/>
            </w:tcMar>
            <w:vAlign w:val="center"/>
          </w:tcPr>
          <w:p>
            <w:pPr>
              <w:jc w:val="left"/>
            </w:pPr>
            <w:r>
              <w:rPr>
                <w:b w:val="false"/>
                <w:bCs w:val="false"/>
              </w:rPr>
              <w:t xml:space="preserve">Risk Register: new rows added</w:t>
            </w:r>
          </w:p>
        </w:tc>
        <w:tc>
          <w:tcPr>
            <w:tcW w:type="dxa" w:w="3000"/>
            <w:tcMar>
              <w:top w:type="dxa" w:w="80"/>
              <w:left w:type="dxa" w:w="100"/>
              <w:bottom w:type="dxa" w:w="80"/>
              <w:right w:type="dxa" w:w="100"/>
            </w:tcMar>
            <w:vAlign w:val="center"/>
          </w:tcPr>
          <w:p>
            <w:pPr>
              <w:jc w:val="left"/>
            </w:pPr>
            <w:r>
              <w:rPr>
                <w:b w:val="false"/>
                <w:bCs w:val="false"/>
              </w:rPr>
              <w:t xml:space="preserve">7 (RR-028 – RR-034)</w:t>
            </w:r>
          </w:p>
        </w:tc>
      </w:tr>
      <w:tr>
        <w:tc>
          <w:tcPr>
            <w:tcW w:type="dxa" w:w="5300"/>
            <w:tcMar>
              <w:top w:type="dxa" w:w="80"/>
              <w:left w:type="dxa" w:w="100"/>
              <w:bottom w:type="dxa" w:w="80"/>
              <w:right w:type="dxa" w:w="100"/>
            </w:tcMar>
            <w:vAlign w:val="center"/>
          </w:tcPr>
          <w:p>
            <w:pPr>
              <w:jc w:val="left"/>
            </w:pPr>
            <w:r>
              <w:rPr>
                <w:b w:val="false"/>
                <w:bCs w:val="false"/>
              </w:rPr>
              <w:t xml:space="preserve">Risk Register: existing rows revised in place</w:t>
            </w:r>
          </w:p>
        </w:tc>
        <w:tc>
          <w:tcPr>
            <w:tcW w:type="dxa" w:w="3000"/>
            <w:tcMar>
              <w:top w:type="dxa" w:w="80"/>
              <w:left w:type="dxa" w:w="100"/>
              <w:bottom w:type="dxa" w:w="80"/>
              <w:right w:type="dxa" w:w="100"/>
            </w:tcMar>
            <w:vAlign w:val="center"/>
          </w:tcPr>
          <w:p>
            <w:pPr>
              <w:jc w:val="left"/>
            </w:pPr>
            <w:r>
              <w:rPr>
                <w:b w:val="false"/>
                <w:bCs w:val="false"/>
              </w:rPr>
              <w:t xml:space="preserve">0</w:t>
            </w:r>
          </w:p>
        </w:tc>
      </w:tr>
      <w:tr>
        <w:tc>
          <w:tcPr>
            <w:tcW w:type="dxa" w:w="5300"/>
            <w:tcMar>
              <w:top w:type="dxa" w:w="80"/>
              <w:left w:type="dxa" w:w="100"/>
              <w:bottom w:type="dxa" w:w="80"/>
              <w:right w:type="dxa" w:w="100"/>
            </w:tcMar>
            <w:vAlign w:val="center"/>
          </w:tcPr>
          <w:p>
            <w:pPr>
              <w:jc w:val="left"/>
            </w:pPr>
            <w:r>
              <w:rPr>
                <w:b w:val="false"/>
                <w:bCs w:val="false"/>
              </w:rPr>
              <w:t xml:space="preserve">Risk Register: total open risks on file</w:t>
            </w:r>
          </w:p>
        </w:tc>
        <w:tc>
          <w:tcPr>
            <w:tcW w:type="dxa" w:w="3000"/>
            <w:tcMar>
              <w:top w:type="dxa" w:w="80"/>
              <w:left w:type="dxa" w:w="100"/>
              <w:bottom w:type="dxa" w:w="80"/>
              <w:right w:type="dxa" w:w="100"/>
            </w:tcMar>
            <w:vAlign w:val="center"/>
          </w:tcPr>
          <w:p>
            <w:pPr>
              <w:jc w:val="left"/>
            </w:pPr>
            <w:r>
              <w:rPr>
                <w:b w:val="false"/>
                <w:bCs w:val="false"/>
              </w:rPr>
              <w:t xml:space="preserve">34</w:t>
            </w:r>
          </w:p>
        </w:tc>
      </w:tr>
      <w:tr>
        <w:tc>
          <w:tcPr>
            <w:tcW w:type="dxa" w:w="5300"/>
            <w:tcMar>
              <w:top w:type="dxa" w:w="80"/>
              <w:left w:type="dxa" w:w="100"/>
              <w:bottom w:type="dxa" w:w="80"/>
              <w:right w:type="dxa" w:w="100"/>
            </w:tcMar>
            <w:vAlign w:val="center"/>
          </w:tcPr>
          <w:p>
            <w:pPr>
              <w:jc w:val="left"/>
            </w:pPr>
            <w:r>
              <w:rPr>
                <w:b w:val="false"/>
                <w:bCs w:val="false"/>
              </w:rPr>
              <w:t xml:space="preserve">New compliance frameworks introduced this run</w:t>
            </w:r>
          </w:p>
        </w:tc>
        <w:tc>
          <w:tcPr>
            <w:tcW w:type="dxa" w:w="3000"/>
            <w:tcMar>
              <w:top w:type="dxa" w:w="80"/>
              <w:left w:type="dxa" w:w="100"/>
              <w:bottom w:type="dxa" w:w="80"/>
              <w:right w:type="dxa" w:w="100"/>
            </w:tcMar>
            <w:vAlign w:val="center"/>
          </w:tcPr>
          <w:p>
            <w:pPr>
              <w:jc w:val="left"/>
            </w:pPr>
            <w:r>
              <w:rPr>
                <w:b w:val="false"/>
                <w:bCs w:val="false"/>
              </w:rPr>
              <w:t xml:space="preserve">0</w:t>
            </w:r>
          </w:p>
        </w:tc>
      </w:tr>
    </w:tbl>
    <w:p>
      <w:pPr>
        <w:spacing w:before="300"/>
      </w:pPr>
      <w:r>
        <w:rPr>
          <w:i/>
          <w:iCs/>
          <w:sz w:val="18"/>
          <w:szCs w:val="18"/>
        </w:rPr>
        <w:t xml:space="preserve">This report is generated by the GRC Intelligence Monitor as part of Blaise Kingko's public GRC portfolio program. Full technical case-study artifacts for each finding above are available under Case-studies\ in the GRC Portfolio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2026-07-13T12:42:29.378Z</dcterms:created>
  <dcterms:modified xsi:type="dcterms:W3CDTF">2026-07-13T12:42:29.378Z</dcterms:modified>
</cp:coreProperties>
</file>

<file path=docProps/custom.xml><?xml version="1.0" encoding="utf-8"?>
<Properties xmlns="http://schemas.openxmlformats.org/officeDocument/2006/custom-properties" xmlns:vt="http://schemas.openxmlformats.org/officeDocument/2006/docPropsVTypes"/>
</file>