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4E79"/>
          <w:sz w:val="40"/>
          <w:szCs w:val="40"/>
        </w:rPr>
        <w:t xml:space="preserve">Weekly Executive Intelligence Report</w:t>
      </w:r>
    </w:p>
    <w:p>
      <w:pPr>
        <w:spacing w:after="40"/>
      </w:pPr>
      <w:r>
        <w:rPr>
          <w:color w:val="595959"/>
          <w:sz w:val="24"/>
          <w:szCs w:val="24"/>
        </w:rPr>
        <w:t xml:space="preserve">GRC, Security &amp; AI Governance Program — Program Status for Leadership</w:t>
      </w:r>
    </w:p>
    <w:p>
      <w:pPr>
        <w:spacing w:after="320"/>
      </w:pPr>
      <w:r>
        <w:rPr>
          <w:i/>
          <w:iCs/>
          <w:color w:val="595959"/>
          <w:sz w:val="20"/>
          <w:szCs w:val="20"/>
        </w:rPr>
        <w:t xml:space="preserve">Reporting period: June 1 – June 8, 2026  |  Prepared for: CISO / Board  |  Prepared by: Blaise Kingko</w:t>
      </w:r>
    </w:p>
    <w:p>
      <w:pPr>
        <w:pBdr>
          <w:bottom w:val="single" w:color="2E75B6" w:sz="6" w:space="1"/>
        </w:pBdr>
        <w:spacing w:after="240" w:before="80"/>
      </w:pPr>
    </w:p>
    <w:p>
      <w:pPr>
        <w:pStyle w:val="Heading1"/>
      </w:pPr>
      <w:r>
        <w:t xml:space="preserve">1. This Week's Threat Landscape</w:t>
      </w:r>
    </w:p>
    <w:p>
      <w:pPr>
        <w:spacing w:after="160"/>
      </w:pPr>
      <w:r>
        <w:t xml:space="preserve">This was an active week. Across the cloud platforms, software ecosystems, and regulatory bodies we monitor, four developments stood out as significant enough to warrant a full investigation, business-impact assessment, and remediation plan. One of them — an e-commerce platform takeover — is being actively exploited by attackers right now, not a theoretical risk.</w:t>
      </w:r>
    </w:p>
    <w:p>
      <w:pPr>
        <w:spacing w:after="160"/>
      </w:pPr>
      <w:r>
        <w:t xml:space="preserve">The throughline this week is platform-level exposure: two of the four findings involve flaws deep inside the cloud platforms themselves (the operating system layer on AWS, and the managed database layer on Azure), meaning the organizations affected cannot simply patch an application — they are dependent on their cloud provider's release timeline and their own configuration discipline in the meantime. The fourth finding is not a technical threat at all, but a regulatory one: European regulators moved a step closer to defining which AI systems will face the strictest oversight requirements, starting an 18-month countdown that smart organizations will use productively rather than waste.</w:t>
      </w:r>
    </w:p>
    <w:p>
      <w:pPr>
        <w:spacing w:after="160"/>
      </w:pPr>
      <w:r>
        <w:t xml:space="preserve">Bottom line: nothing on this list requires an emergency response from leadership today, but two items (the e-commerce takeover and the Azure database flaw) require technical teams to act within days, not weeks, and the AI Act development requires us to start a structured readiness effort now while the timeline is still generous.</w:t>
      </w:r>
    </w:p>
    <w:p>
      <w:pPr>
        <w:pStyle w:val="Heading1"/>
      </w:pPr>
      <w:r>
        <w:t xml:space="preserve">2. Cases Identified This Week</w:t>
      </w:r>
    </w:p>
    <w:p>
      <w:pPr>
        <w:spacing w:after="160"/>
      </w:pPr>
      <w:r>
        <w:t xml:space="preserve">Four cases met the threshold for a full investigation this week (threat write-up, business-impact analysis, control mapping, and remediation plan). A fifth, lower-scope finding — a flaw in a mobile device platform — was logged on the risk register for tracking but did not meet the bar for a full investigation, since it does not directly touch our highest-priority surfaces (cloud account structure, identity and access management, or AI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300"/>
        <w:gridCol w:w="3660"/>
      </w:tblGrid>
      <w:tr>
        <w:trPr>
          <w:tblHeader/>
        </w:trPr>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Case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Category</w:t>
            </w:r>
          </w:p>
        </w:tc>
        <w:tc>
          <w:tcPr>
            <w:tcW w:type="dxa" w:w="1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Risk Rating</w:t>
            </w:r>
          </w:p>
        </w:tc>
        <w:tc>
          <w:tcPr>
            <w:tcW w:type="dxa" w:w="3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Business Translation</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Linux Kernel Privilege-Escalation Family (AWS Compute)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Cloud Security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cluster of newly disclosed Linux kernel flaws lets a low-privileged process on a shared compute instance gain full root control — a direct threat to multi-tenant and multi-account AWS environments.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Cloud Database Privilege-Escalation Flaw (Azure)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Cloud Security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High (Inherent: Critical)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 maximum-severity flaw in a managed Azure database service could let an authenticated low-level user seize administrative control of the database — and by extension, the data and workloads that depend on it.</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Actively Exploited E-Commerce Platform Takeover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Cloud Security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Critical</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Attackers are actively breaking into online storefronts right now through an unpatched plug-in flaw, seizing full control of the server with no login required — a live, ongoing threat, not a theoretical one.</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EU AI Act — Draft High-Risk AI Classification Guidance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AI Governance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Medium (Compliance Readiness)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Regulators released draft rules clarifying which AI tools will count as “high-risk” under European law — an 18-month head start to get our AI inventory and documentation in order before enforcement tightens.</w:t>
            </w:r>
          </w:p>
        </w:tc>
      </w:tr>
    </w:tbl>
    <w:p>
      <w:pPr>
        <w:spacing w:before="280"/>
      </w:pPr>
    </w:p>
    <w:p>
      <w:pPr>
        <w:pStyle w:val="Heading2"/>
      </w:pPr>
      <w:r>
        <w:t xml:space="preserve">Critical: Actively Exploited E-Commerce Platform Takeover</w:t>
      </w:r>
    </w:p>
    <w:p>
      <w:pPr>
        <w:spacing w:after="160"/>
      </w:pPr>
      <w:r>
        <w:t xml:space="preserve">What happened: Security researchers and the U.S. government's vulnerability-tracking agency confirmed that attackers are actively exploiting a flaw in a popular e-commerce add-on, allowing them to take complete control of online storefronts without ever logging in. This is not a “patch when convenient” situation — it is a live attack campaign with a federally mandated remediation deadline that has already passed for U.S. government systems and is closing fast for everyone else.</w:t>
      </w:r>
    </w:p>
    <w:p>
      <w:pPr>
        <w:spacing w:after="160"/>
      </w:pPr>
      <w:r>
        <w:t xml:space="preserve">Why it matters to us: If any storefront or customer-facing commerce platform in our environment runs on this software stack, an attacker could already be inside it, reading customer data, redirecting payments, or using it as a launching pad into the rest of our network. Because this also touches payment-card data, it carries payment-industry compliance exposure (PCI-DSS) on top of the security risk — meaning a breach here could trigger both a security incident and a compliance violation simultaneously.</w:t>
      </w:r>
    </w:p>
    <w:p>
      <w:pPr>
        <w:spacing w:after="160"/>
      </w:pPr>
      <w:r>
        <w:t xml:space="preserve">What we're doing: Treating this as an emergency patch action — verifying whether the affected software is anywhere in our environment, and if so, patching or isolating it within 72 hours, plus actively hunting for signs that an attacker has already gotten in. Full remediation steps and ownership are documented in the case file.</w:t>
      </w:r>
    </w:p>
    <w:p>
      <w:pPr>
        <w:pStyle w:val="Heading2"/>
      </w:pPr>
      <w:r>
        <w:t xml:space="preserve">High: Cloud Database Privilege-Escalation Flaw (Azure)</w:t>
      </w:r>
    </w:p>
    <w:p>
      <w:pPr>
        <w:spacing w:after="160"/>
      </w:pPr>
      <w:r>
        <w:t xml:space="preserve">What happened: Microsoft disclosed a maximum-severity flaw in a managed cloud database service — the kind of flaw that, left unpatched, would let a low-level authenticated user seize full administrative control of the database engine.</w:t>
      </w:r>
    </w:p>
    <w:p>
      <w:pPr>
        <w:spacing w:after="160"/>
      </w:pPr>
      <w:r>
        <w:t xml:space="preserve">Why it matters to us: A flaw of this severity in a managed database service means the blast radius is the database itself — every application, report, and customer record that depends on it. The good news is that because this is a managed cloud service, the platform provider pushes the underlying fix; our job is to confirm we're on a patched version and that our access controls don't leave a backup path to exploitation.</w:t>
      </w:r>
    </w:p>
    <w:p>
      <w:pPr>
        <w:spacing w:after="160"/>
      </w:pPr>
      <w:r>
        <w:t xml:space="preserve">What we're doing: Confirming patch status across every Azure-hosted database instance, tightening which accounts can perform administrative actions, and adding a recurring check so a flaw like this can't sit unnoticed in the future.</w:t>
      </w:r>
    </w:p>
    <w:p>
      <w:pPr>
        <w:pStyle w:val="Heading2"/>
      </w:pPr>
      <w:r>
        <w:t xml:space="preserve">High: Linux Kernel Privilege-Escalation Family (AWS Compute)</w:t>
      </w:r>
    </w:p>
    <w:p>
      <w:pPr>
        <w:spacing w:after="160"/>
      </w:pPr>
      <w:r>
        <w:t xml:space="preserve">What happened: Researchers disclosed a connected family of flaws in the Linux operating system kernel — the foundational software layer that every cloud server runs on — that could let a low-privileged process gain complete control of the machine it's running on.</w:t>
      </w:r>
    </w:p>
    <w:p>
      <w:pPr>
        <w:spacing w:after="160"/>
      </w:pPr>
      <w:r>
        <w:t xml:space="preserve">Why it matters to us: Because this sits at the operating-system layer, it potentially affects a very large share of our cloud computing footprint, including any shared or multi-tenant environments where “escaping” from one customer's workload into another's would be especially damaging. This is precisely the kind of platform-level exposure that calls for fast inventory and patching discipline across an AWS multi-account environment.</w:t>
      </w:r>
    </w:p>
    <w:p>
      <w:pPr>
        <w:spacing w:after="160"/>
      </w:pPr>
      <w:r>
        <w:t xml:space="preserve">What we're doing: Running an urgent inventory of every Linux-based system in our cloud footprint, prioritizing patches for anything in shared or internet-facing environments first, and verifying our monitoring would actually catch this kind of attack if it were attempted against us.</w:t>
      </w:r>
    </w:p>
    <w:p>
      <w:pPr>
        <w:pStyle w:val="Heading2"/>
      </w:pPr>
      <w:r>
        <w:t xml:space="preserve">Medium: EU AI Act — Draft High-Risk AI Classification Guidance</w:t>
      </w:r>
    </w:p>
    <w:p>
      <w:pPr>
        <w:spacing w:after="160"/>
      </w:pPr>
      <w:r>
        <w:t xml:space="preserve">What happened: European regulators published draft guidance spelling out, in much greater detail than before, exactly which AI systems will be considered “high-risk” under the EU's AI law — and therefore subject to the strictest documentation, testing, and registration requirements. They are also taking public feedback through June 23 and confirmed they are standing up dedicated enforcement teams.</w:t>
      </w:r>
    </w:p>
    <w:p>
      <w:pPr>
        <w:spacing w:after="160"/>
      </w:pPr>
      <w:r>
        <w:t xml:space="preserve">Why it matters to us: Any AI tool we use or build that touches EU-based customers, employees, or partners — internal assistants, hiring tools, customer-service bots, anything that makes or supports decisions about people — could fall into this high-risk category. Getting the classification wrong costs us either way: too cautious and we waste resources on unneeded paperwork, too lax and we face a compressed scramble (and potential fines) once enforcement begins in earnest.</w:t>
      </w:r>
    </w:p>
    <w:p>
      <w:pPr>
        <w:spacing w:after="160"/>
      </w:pPr>
      <w:r>
        <w:t xml:space="preserve">What we're doing: Using this 18-month runway deliberately — cataloguing every AI system that could touch EU users and testing each one against the new draft criteria now, while we have the luxury of time. We're also evaluating whether to submit feedback to the regulators directly, which would be a rare opportunity to help shape the rules before they're finalized.</w:t>
      </w:r>
    </w:p>
    <w:p>
      <w:pPr>
        <w:pStyle w:val="Heading1"/>
      </w:pPr>
      <w:r>
        <w:t xml:space="preserve">3. Top 3 Critical Risks</w:t>
      </w:r>
    </w:p>
    <w:p>
      <w:pPr>
        <w:pStyle w:val="ListParagraph"/>
        <w:numPr>
          <w:ilvl w:val="0"/>
          <w:numId w:val="2"/>
        </w:numPr>
        <w:spacing w:after="100"/>
      </w:pPr>
      <w:r>
        <w:t xml:space="preserve">1. Active exploitation of the e-commerce platform flaw — this is the only finding this week where attackers are confirmed to be exploiting the issue in the wild today. If our environment includes the affected software, the question is not “could we be attacked” but “have we already been.” This carries the highest combined likelihood and impact of anything on this week's list, plus dual exposure (security breach and payment-compliance violation).</w:t>
      </w:r>
    </w:p>
    <w:p>
      <w:pPr>
        <w:pStyle w:val="ListParagraph"/>
        <w:numPr>
          <w:ilvl w:val="0"/>
          <w:numId w:val="2"/>
        </w:numPr>
        <w:spacing w:after="100"/>
      </w:pPr>
      <w:r>
        <w:t xml:space="preserve">2. The Azure database privilege-escalation flaw — rated at the maximum possible severity by the vendor itself. Even though our exposure depends on patch timing and configuration (which is why the working risk score is High rather than Critical), the inherent severity of the underlying flaw means any gap in our patch-verification process would be extremely costly.</w:t>
      </w:r>
    </w:p>
    <w:p>
      <w:pPr>
        <w:pStyle w:val="ListParagraph"/>
        <w:numPr>
          <w:ilvl w:val="0"/>
          <w:numId w:val="2"/>
        </w:numPr>
        <w:spacing w:after="100"/>
      </w:pPr>
      <w:r>
        <w:t xml:space="preserve">3. The Linux kernel privilege-escalation family — broad potential reach across our cloud compute footprint is what elevates this above a routine patch cycle. A flaw at the operating-system layer of a shared cloud environment is the kind of issue that, if missed, doesn't stay contained to one system.</w:t>
      </w:r>
    </w:p>
    <w:p>
      <w:pPr>
        <w:pStyle w:val="Heading1"/>
      </w:pPr>
      <w:r>
        <w:t xml:space="preserve">4. AI Governance Watch</w:t>
      </w:r>
    </w:p>
    <w:p>
      <w:pPr>
        <w:spacing w:after="160"/>
      </w:pPr>
      <w:r>
        <w:t xml:space="preserve">The headline development this week is the EU's draft high-risk AI classification guidance (detailed above), which represents real forward motion on one of the most consequential AI regulations in the world. Two things are worth the board's attention beyond the immediate case:</w:t>
      </w:r>
    </w:p>
    <w:p>
      <w:pPr>
        <w:pStyle w:val="ListParagraph"/>
        <w:numPr>
          <w:ilvl w:val="0"/>
          <w:numId w:val="2"/>
        </w:numPr>
        <w:spacing w:after="100"/>
      </w:pPr>
      <w:r>
        <w:t xml:space="preserve">The clock has started, but it is a long clock. The toughest EU AI Act obligations don't bite until late 2027 and 2028. Organizations that begin cataloguing and classifying their AI systems now — calmly, on their own schedule — will spend a fraction of what late movers will spend scrambling under regulatory pressure.</w:t>
      </w:r>
    </w:p>
    <w:p>
      <w:pPr>
        <w:pStyle w:val="ListParagraph"/>
        <w:numPr>
          <w:ilvl w:val="0"/>
          <w:numId w:val="2"/>
        </w:numPr>
        <w:spacing w:after="100"/>
      </w:pPr>
      <w:r>
        <w:t xml:space="preserve">This is also a chance to get ahead on certification. The classification and impact-assessment work this guidance demands overlaps heavily with the evidence we'd need for ISO/IEC 42001 (AI management system) certification and with existing data-protection impact assessments under GDPR. Done well, one body of work satisfies multiple obligations — a meaningful efficiency gain worth highlighting as a program achievement, not just a compliance cost.</w:t>
      </w:r>
    </w:p>
    <w:p>
      <w:pPr>
        <w:spacing w:after="160"/>
      </w:pPr>
      <w:r>
        <w:t xml:space="preserve">No other AI-governance developments this week met the threshold for board-level attention.</w:t>
      </w:r>
    </w:p>
    <w:p>
      <w:pPr>
        <w:pStyle w:val="Heading1"/>
      </w:pPr>
      <w:r>
        <w:t xml:space="preserve">5. Compliance Posture</w:t>
      </w:r>
    </w:p>
    <w:p>
      <w:pPr>
        <w:spacing w:after="160"/>
      </w:pPr>
      <w:r>
        <w:t xml:space="preserve">One addition to our framework library this week: PCI-DSS v4.0 (the global payment-card data security standard) was formally added to our program documentation, triggered by the e-commerce platform case above, which intersects with payment-card-data scope. This was the only new framework introduced — every other framework referenced in this week's work (the NIST cybersecurity and AI risk frameworks, ISO 27001 and ISO 42001, the CIS safeguards, and the EU AI Act) was already part of our documented program.</w:t>
      </w:r>
    </w:p>
    <w:p>
      <w:pPr>
        <w:spacing w:after="160"/>
      </w:pPr>
      <w:r>
        <w:t xml:space="preserve">Practically, this means our framework library now explicitly covers the payment-compliance angle of e-commerce and retail technology findings — closing a documentation gap before, rather than after, an auditor or a QSA (Qualified Security Assessor) asks about it. No other framework or policy gaps were identified this week.</w:t>
      </w:r>
    </w:p>
    <w:p>
      <w:pPr>
        <w:pStyle w:val="Heading1"/>
      </w:pPr>
      <w:r>
        <w:t xml:space="preserve">6. Recommended Executive Actions</w:t>
      </w:r>
    </w:p>
    <w:p>
      <w:pPr>
        <w:pStyle w:val="ListParagraph"/>
        <w:numPr>
          <w:ilvl w:val="0"/>
          <w:numId w:val="2"/>
        </w:numPr>
        <w:spacing w:after="100"/>
      </w:pPr>
      <w:r>
        <w:t xml:space="preserve">Approve emergency patch authority for the e-commerce platform finding. Technical teams need the latitude to patch or temporarily take systems offline within 72 hours without waiting on the standard change-management cycle — the active-exploitation status justifies the exception.</w:t>
      </w:r>
    </w:p>
    <w:p>
      <w:pPr>
        <w:pStyle w:val="ListParagraph"/>
        <w:numPr>
          <w:ilvl w:val="0"/>
          <w:numId w:val="2"/>
        </w:numPr>
        <w:spacing w:after="100"/>
      </w:pPr>
      <w:r>
        <w:t xml:space="preserve">Direct a same-week confirmation of Azure database patch status from the cloud platform team, with a written attestation back to this office. Given the maximum-severity rating, “we believe we're patched” is not sufficient — leadership should expect documented confirmation.</w:t>
      </w:r>
    </w:p>
    <w:p>
      <w:pPr>
        <w:pStyle w:val="ListParagraph"/>
        <w:numPr>
          <w:ilvl w:val="0"/>
          <w:numId w:val="2"/>
        </w:numPr>
        <w:spacing w:after="100"/>
      </w:pPr>
      <w:r>
        <w:t xml:space="preserve">Authorize the AI system inventory effort to begin this month rather than later this year. The EU AI Act runway is generous, but only if the cataloguing work starts early; starting now converts a future compliance fire drill into a manageable, well-paced program initiative — and produces evidence reusable for our ISO 42001 certification goals.</w:t>
      </w:r>
    </w:p>
    <w:p>
      <w:pPr>
        <w:pStyle w:val="ListParagraph"/>
        <w:numPr>
          <w:ilvl w:val="0"/>
          <w:numId w:val="2"/>
        </w:numPr>
        <w:spacing w:after="100"/>
      </w:pPr>
      <w:r>
        <w:t xml:space="preserve">No board-level disclosure or external notification is recommended at this time. None of this week's findings constitute a confirmed breach of our environment; all four are being managed as proactive risk-reduction and readiness actions. This will be revisited immediately if the e-commerce investigation finds evidence of compromise.</w:t>
      </w:r>
    </w:p>
    <w:p>
      <w:pPr>
        <w:pStyle w:val="Heading1"/>
      </w:pPr>
      <w:r>
        <w:t xml:space="preserve">7.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Metric</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rPr>
              <w:t xml:space="preserve">This Week</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Reporting period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June 1 – June 8, 2026</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New cases opened (full investigation bundles)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Cases by rating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Critical · 2 High · 1 Medium</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New entries added to the enterprise risk register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 (including one register-only entry for a mobile/endpoint finding that did not meet full-investigation criteria)</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Total active risks now tracked on the register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Compliance/governance frameworks newly referenced this week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(PCI-DSS v4.0 — added to the program's framework library; see Compliance Posture)</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rPr>
              <w:t xml:space="preserve">Actively exploited threats identified (confirmed real-world attacks, not theoretical)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(e-commerce platform takeover — see Section 2)</w:t>
            </w:r>
          </w:p>
        </w:tc>
      </w:tr>
    </w:tbl>
    <w:p>
      <w:pPr>
        <w:spacing w:before="320"/>
      </w:pPr>
    </w:p>
    <w:p>
      <w:pPr>
        <w:pBdr>
          <w:bottom w:val="single" w:color="2E75B6" w:sz="6" w:space="1"/>
        </w:pBdr>
        <w:spacing w:after="240" w:before="80"/>
      </w:pPr>
    </w:p>
    <w:p>
      <w:pPr>
        <w:spacing w:after="160"/>
      </w:pPr>
      <w:r>
        <w:rPr>
          <w:i/>
          <w:iCs/>
          <w:color w:val="595959"/>
          <w:sz w:val="20"/>
          <w:szCs w:val="20"/>
        </w:rPr>
        <w:t xml:space="preserve">This report reflects a structured weekly intelligence sweep across cloud-provider security bulletins, vulnerability databases, government cybersecurity advisories, and AI governance/regulatory sources. Full technical detail, CVE references, and remediation tracking for each case are maintained in the underlying case files and the enterprise risk register, available for technical and audit review on request.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Prepared by Blaise Kingko — Cloud GRC &amp; Security Architecture</w:t>
    </w:r>
    <w:r>
      <w:rPr>
        <w:color w:val="595959"/>
        <w:sz w:val="18"/>
        <w:szCs w:val="18"/>
      </w:rPr>
      <w:t xml:space="preserve">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595959"/>
        <w:sz w:val="18"/>
        <w:szCs w:val="18"/>
      </w:rPr>
      <w:t xml:space="preserve">GRC Intelligence Program — Weekly Executive Report</w:t>
    </w:r>
    <w:r>
      <w:rPr>
        <w:color w:val="595959"/>
        <w:sz w:val="18"/>
        <w:szCs w:val="18"/>
      </w:rPr>
      <w:t xml:space="preserve">	June 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 Executive Intelligence Report — June 8, 2026</dc:title>
  <dc:creator>Blaise Kingko — GRC Intelligence Program</dc:creator>
  <cp:lastModifiedBy>Un-named</cp:lastModifiedBy>
  <cp:revision>1</cp:revision>
  <dcterms:created xsi:type="dcterms:W3CDTF">2026-06-08T10:20:04.494Z</dcterms:created>
  <dcterms:modified xsi:type="dcterms:W3CDTF">2026-06-08T10:20:04.494Z</dcterms:modified>
</cp:coreProperties>
</file>

<file path=docProps/custom.xml><?xml version="1.0" encoding="utf-8"?>
<Properties xmlns="http://schemas.openxmlformats.org/officeDocument/2006/custom-properties" xmlns:vt="http://schemas.openxmlformats.org/officeDocument/2006/docPropsVTypes"/>
</file>