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2"/>
        </w:rPr>
        <w:t>GRC INTELLIGENCE PROGRAM</w:t>
      </w:r>
    </w:p>
    <w:p>
      <w:r>
        <w:rPr>
          <w:b/>
          <w:sz w:val="26"/>
        </w:rPr>
        <w:t>Weekly Executive Report</w:t>
      </w:r>
    </w:p>
    <w:p>
      <w:r>
        <w:rPr>
          <w:sz w:val="20"/>
        </w:rPr>
        <w:t>Report Period: 2026-09-21 to 2026-09-28  |  Prepared: 2026-09-28  |  Prepared by: Blaise Kingko, GRC Intelligence Program</w:t>
      </w:r>
    </w:p>
    <w:p>
      <w:r>
        <w:rPr>
          <w:sz w:val="20"/>
        </w:rPr>
        <w:t>Audience: CISO / Board  |  Classification: Internal</w:t>
      </w:r>
    </w:p>
    <w:p>
      <w:pPr>
        <w:pStyle w:val="Heading1"/>
      </w:pPr>
      <w:r>
        <w:t>1. This Week's Threat Landscape</w:t>
      </w:r>
    </w:p>
    <w:p>
      <w:r>
        <w:t>This was another heavy week for internet-facing perimeter and identity infrastructure, continuing the pattern from the prior two reports. A previously unknown (“zero-day”) flaw in Citrix's remote-access appliances was confirmed under active attack worldwide within hours of disclosure, and two unrelated flaws in Check Point's VPN gateway and its central management console were added to the federal government's must-patch list the same week — one of the two, if exploited, would let an attacker push malicious changes to every VPN gateway that console manages. Separately, three of the tools organizations rely on to control who can log in and buy things — an identity and API gateway platform (WSO2), an access-control proxy (F5 BIG-IP APM), and a major online store platform (Adobe Commerce/Magento) — all had critical, actively exploited flaws disclosed within three days of each other. Microsoft SharePoint also had a code-execution flaw added to the federal must-patch list, though this one requires an attacker to already hold some level of valid access, which meaningfully narrows who can exploit it. After three consecutive weeks of findings involving AI agents and AI platforms, none met this week's threshold for tracking — worth noting as a genuine quiet week for that category rather than a gap in this program's coverage.</w:t>
      </w:r>
    </w:p>
    <w:p>
      <w:pPr>
        <w:pStyle w:val="Heading1"/>
      </w:pPr>
      <w:r>
        <w:t>2. Cases Identified This Week</w:t>
      </w:r>
    </w:p>
    <w:p>
      <w:r>
        <w:t>Ten findings met this week's threshold for tracking. Six received full investigation write-ups (technical detail, business impact, and a remediation plan); the remaining four were logged to the risk register with clear remediation guidance but did not receive a full write-up, to keep this week's most consequential findings the priority.</w:t>
      </w:r>
    </w:p>
    <w:p>
      <w:r>
        <w:t>The six findings that received full write-ups, in plain terms:</w:t>
      </w:r>
    </w:p>
    <w:p>
      <w:pPr>
        <w:pStyle w:val="ListParagraph"/>
        <w:ind w:left="360"/>
        <w:numPr>
          <w:ilvl w:val="0"/>
          <w:numId w:val="1"/>
        </w:numPr>
      </w:pPr>
      <w:r>
        <w:t>Remote-access appliance zero-day (Critical): A previously unknown flaw in a widely used remote-access and application-delivery appliance lets an attacker with no password run commands on the device. It is already being exploited around the world, and the vendor itself warns that patching can destroy the evidence needed to tell if you were already compromised — so check first, then patch.</w:t>
      </w:r>
    </w:p>
    <w:p>
      <w:pPr>
        <w:pStyle w:val="ListParagraph"/>
        <w:ind w:left="360"/>
        <w:numPr>
          <w:ilvl w:val="0"/>
          <w:numId w:val="1"/>
        </w:numPr>
      </w:pPr>
      <w:r>
        <w:t>VPN gateway and management-console chain (Critical): Two unrelated flaws in the same vendor's product line were added to the federal must-patch list the same day — one lets an attacker with no password run code on the VPN gateway itself, the other lets an attacker with no password compromise the console that manages every gateway of that kind in the organization.</w:t>
      </w:r>
    </w:p>
    <w:p>
      <w:pPr>
        <w:pStyle w:val="ListParagraph"/>
        <w:ind w:left="360"/>
        <w:numPr>
          <w:ilvl w:val="0"/>
          <w:numId w:val="1"/>
        </w:numPr>
      </w:pPr>
      <w:r>
        <w:t>Identity and API gateway flaw (Critical): The kind of platform organizations use to manage logins and connect applications to each other had a flaw that lets an attacker reach files and functionality they should never be able to reach — already being exploited.</w:t>
      </w:r>
    </w:p>
    <w:p>
      <w:pPr>
        <w:pStyle w:val="ListParagraph"/>
        <w:ind w:left="360"/>
        <w:numPr>
          <w:ilvl w:val="0"/>
          <w:numId w:val="1"/>
        </w:numPr>
      </w:pPr>
      <w:r>
        <w:t>Access-control proxy flaw (Critical): The system some organizations use as the front door for VPN, single-sign-on, and app access had a flaw letting an attacker with no password run code on it — but only when that system is set up in one specific configuration, so the first step is confirming which of your systems actually have that configuration turned on.</w:t>
      </w:r>
    </w:p>
    <w:p>
      <w:pPr>
        <w:pStyle w:val="ListParagraph"/>
        <w:ind w:left="360"/>
        <w:numPr>
          <w:ilvl w:val="0"/>
          <w:numId w:val="1"/>
        </w:numPr>
      </w:pPr>
      <w:r>
        <w:t>Online store platform flaw (Critical): A major e-commerce platform had a flaw letting an attacker gain access or privileges they shouldn't have — attackers reportedly started exploiting it within hours of the flaw becoming public. This is the second time this specific platform has appeared in this program's tracking since June.</w:t>
      </w:r>
    </w:p>
    <w:p>
      <w:pPr>
        <w:pStyle w:val="ListParagraph"/>
        <w:ind w:left="360"/>
        <w:numPr>
          <w:ilvl w:val="0"/>
          <w:numId w:val="1"/>
        </w:numPr>
      </w:pPr>
      <w:r>
        <w:t>Collaboration platform flaw (High): A code-execution flaw in an on-premises document and collaboration platform was added to the federal must-patch list, with the deadline landing today. Unlike this week's other findings, this one requires the attacker to already have some valid, low-level access to the system — which is why we rated it High rather than Critical despite a similar numeric score, a judgment call explained in Section 5.</w:t>
      </w:r>
    </w:p>
    <w:p>
      <w:pPr>
        <w:pStyle w:val="Heading1"/>
      </w:pPr>
      <w:r>
        <w:t>3. Top 3 Critical Risks</w:t>
      </w:r>
    </w:p>
    <w:p>
      <w:r>
        <w:rPr>
          <w:b/>
        </w:rPr>
        <w:t>Remote-Access Appliance Zero-Day</w:t>
      </w:r>
    </w:p>
    <w:p>
      <w:r>
        <w:t>What happened: A brand-new, previously unknown flaw in a widely deployed remote-access and application-delivery appliance is already being used by attackers worldwide to run commands on the device with no password at all. Why it matters: This class of appliance sits directly on the internet by design and is the front door into the corporate network for remote workers — a compromised one hands an attacker a foothold inside the perimeter. What we're doing: Applying the vendor's emergency patch, but checking for signs of prior compromise first, because the vendor has warned that patching before checking can erase the evidence.</w:t>
      </w:r>
    </w:p>
    <w:p>
      <w:r>
        <w:rPr>
          <w:b/>
        </w:rPr>
        <w:t>VPN Gateway and Management-Console Chain</w:t>
      </w:r>
    </w:p>
    <w:p>
      <w:r>
        <w:t>What happened: The same vendor had two unrelated, no-password flaws added to the federal must-patch list the same day — one in the VPN gateway itself, one in the console that centrally manages every gateway of that type. Why it matters: A compromise of the management console is the more serious of the two, because an attacker who reaches it could potentially push malicious configuration to every VPN gateway the console oversees, not just one. What we're doing: Patching both immediately and reviewing the certificate-trust configuration that made the gateway flaw possible in the first place.</w:t>
      </w:r>
    </w:p>
    <w:p>
      <w:r>
        <w:rPr>
          <w:b/>
        </w:rPr>
        <w:t>The Identity &amp; Access Infrastructure Squeeze</w:t>
      </w:r>
    </w:p>
    <w:p>
      <w:r>
        <w:t>What happened: Within a three-day window, three completely unrelated vendors' identity, access-proxy, and e-commerce platforms all had critical, actively exploited flaws disclosed — the very software organizations use to decide who is allowed to log in, reach an application, or complete a purchase. Why it matters: This isn't one bad vendor — it's a pattern showing that the infrastructure sitting at the center of identity and access decisions is under sustained pressure from attackers right now. What we're doing: Treating all three as emergency patches this week, and specifically confirming which systems actually have the vulnerable configuration turned on before assuming every instance is exposed.</w:t>
      </w:r>
    </w:p>
    <w:p>
      <w:pPr>
        <w:pStyle w:val="Heading1"/>
      </w:pPr>
      <w:r>
        <w:t>4. AI Governance Watch</w:t>
      </w:r>
    </w:p>
    <w:p>
      <w:r>
        <w:t>No AI-specific security or regulatory development met this week's threshold for tracking — a genuine change after three consecutive weekly reports (covering the period from late August through September 21) that each surfaced a critical AI-agent or AI-platform trust-boundary flaw. We reviewed the European Union's AI Board meeting held on 17 September 2026 and confirmed, from the Board's own public account, that it set no new company obligation, deadline, or rule — it focused on enforcement coordination and testing infrastructure, not new requirements, so it is noted here for awareness rather than logged as an action item. We are treating this week's quiet AI-governance picture as worth watching rather than as evidence the underlying pattern has reversed, and will continue monitoring closely next week.</w:t>
      </w:r>
    </w:p>
    <w:p>
      <w:pPr>
        <w:pStyle w:val="Heading1"/>
      </w:pPr>
      <w:r>
        <w:t>5. Compliance Posture</w:t>
      </w:r>
    </w:p>
    <w:p>
      <w:r>
        <w:t>No changes to the core frameworks this program maps against (NIST CSF 2.0, NIST SP 800-53, ISO 27001, CIS Controls, IEC 62443, NIST AI RMF, ISO 42001, EU AI Act) were identified this week — every framework referenced in this week's findings was already documented in this program's Framework Reference Map. PCI-DSS v4.0 was applied again this week to the online-store-platform finding, consistent with how this program has scoped payment-card-adjacent findings since June; this is the second such finding logged under that framework.</w:t>
      </w:r>
    </w:p>
    <w:p>
      <w:r>
        <w:t>Program transparency note: this week's register update includes one deliberate exception to this program's standard Likelihood × Impact scoring formula. The SharePoint finding scores 20 under the strict numeric banding, which this register's own published banding table treats as Critical — but it was rated High instead, because unlike this week's five other findings (all of which require no credentials at all), this one requires an attacker to already hold some valid, low-level access before they can exploit it. We are flagging this explicitly here, in the register's own notes, and in the underlying case study, rather than making the change silently, and we recommend the program formally confirm whether this should become a standing scoring exception for similar “authenticated-precondition” findings going forward.</w:t>
      </w:r>
    </w:p>
    <w:p>
      <w:r>
        <w:t>No coverage gap requiring manual catch-up was identified this week (unlike the two prior reports, which each flagged an un-swept window). One finding — a Zyxel network-switch flaw — was added to the federal catalog on 2026-09-21, the boundary date of last week's report window; it was not captured last week, so it is logged in this week's register rather than left permanently unswept, consistent with this program's practice of never silently dropping a finding.</w:t>
      </w:r>
    </w:p>
    <w:p>
      <w:pPr>
        <w:pStyle w:val="Heading1"/>
      </w:pPr>
      <w:r>
        <w:t>6. Recommended Executive Actions</w:t>
      </w:r>
    </w:p>
    <w:tbl>
      <w:tblPr>
        <w:tblStyle w:val="TableGrid"/>
        <w:tblW w:type="auto" w:w="0"/>
        <w:jc w:val="center"/>
        <w:tblLook w:firstColumn="1" w:firstRow="1" w:lastColumn="0" w:lastRow="0" w:noHBand="0" w:noVBand="1" w:val="04A0"/>
      </w:tblPr>
      <w:tblGrid>
        <w:gridCol w:w="3120"/>
        <w:gridCol w:w="3120"/>
        <w:gridCol w:w="3120"/>
      </w:tblGrid>
      <w:tr>
        <w:tc>
          <w:tcPr>
            <w:tcW w:type="dxa" w:w="4752"/>
            <w:shd w:val="clear" w:color="auto" w:fill="1F3864"/>
          </w:tcPr>
          <w:p>
            <w:r>
              <w:rPr>
                <w:color w:val="FFFFFF"/>
              </w:rPr>
            </w:r>
            <w:r>
              <w:rPr>
                <w:b/>
                <w:color w:val="FFFFFF"/>
                <w:sz w:val="18"/>
              </w:rPr>
              <w:t>Action</w:t>
            </w:r>
          </w:p>
        </w:tc>
        <w:tc>
          <w:tcPr>
            <w:tcW w:type="dxa" w:w="2448"/>
            <w:shd w:val="clear" w:color="auto" w:fill="1F3864"/>
          </w:tcPr>
          <w:p>
            <w:r>
              <w:rPr>
                <w:color w:val="FFFFFF"/>
              </w:rPr>
            </w:r>
            <w:r>
              <w:rPr>
                <w:b/>
                <w:color w:val="FFFFFF"/>
                <w:sz w:val="18"/>
              </w:rPr>
              <w:t>Owner</w:t>
            </w:r>
          </w:p>
        </w:tc>
        <w:tc>
          <w:tcPr>
            <w:tcW w:type="dxa" w:w="1872"/>
            <w:shd w:val="clear" w:color="auto" w:fill="1F3864"/>
          </w:tcPr>
          <w:p>
            <w:r>
              <w:rPr>
                <w:color w:val="FFFFFF"/>
              </w:rPr>
            </w:r>
            <w:r>
              <w:rPr>
                <w:b/>
                <w:color w:val="FFFFFF"/>
                <w:sz w:val="18"/>
              </w:rPr>
              <w:t>Timeline</w:t>
            </w:r>
          </w:p>
        </w:tc>
      </w:tr>
      <w:tr>
        <w:tc>
          <w:tcPr>
            <w:tcW w:type="dxa" w:w="4752"/>
          </w:tcPr>
          <w:p>
            <w:r/>
            <w:r>
              <w:rPr>
                <w:sz w:val="18"/>
              </w:rPr>
              <w:t>Patch the remote-access appliance zero-day and the VPN gateway/management-console chain immediately — all three are actively exploited, and the management-console flaw carries the largest blast radius of anything logged this week.</w:t>
            </w:r>
          </w:p>
        </w:tc>
        <w:tc>
          <w:tcPr>
            <w:tcW w:type="dxa" w:w="2448"/>
          </w:tcPr>
          <w:p>
            <w:r/>
            <w:r>
              <w:rPr>
                <w:sz w:val="18"/>
              </w:rPr>
              <w:t>Network / Infrastructure Security</w:t>
            </w:r>
          </w:p>
        </w:tc>
        <w:tc>
          <w:tcPr>
            <w:tcW w:type="dxa" w:w="1872"/>
          </w:tcPr>
          <w:p>
            <w:r/>
            <w:r>
              <w:rPr>
                <w:sz w:val="18"/>
              </w:rPr>
              <w:t>Immediate (this week)</w:t>
            </w:r>
          </w:p>
        </w:tc>
      </w:tr>
      <w:tr>
        <w:tc>
          <w:tcPr>
            <w:tcW w:type="dxa" w:w="4752"/>
          </w:tcPr>
          <w:p>
            <w:r/>
            <w:r>
              <w:rPr>
                <w:sz w:val="18"/>
              </w:rPr>
              <w:t>Patch or verify remediation for the identity/API gateway flaw, the access-control proxy flaw, and the online-store platform flaw — all three are actively exploited identity- or payment-adjacent findings disclosed within three days of each other.</w:t>
            </w:r>
          </w:p>
        </w:tc>
        <w:tc>
          <w:tcPr>
            <w:tcW w:type="dxa" w:w="2448"/>
          </w:tcPr>
          <w:p>
            <w:r/>
            <w:r>
              <w:rPr>
                <w:sz w:val="18"/>
              </w:rPr>
              <w:t>IAM / Application Security</w:t>
            </w:r>
          </w:p>
        </w:tc>
        <w:tc>
          <w:tcPr>
            <w:tcW w:type="dxa" w:w="1872"/>
          </w:tcPr>
          <w:p>
            <w:r/>
            <w:r>
              <w:rPr>
                <w:sz w:val="18"/>
              </w:rPr>
              <w:t>Immediate (this week)</w:t>
            </w:r>
          </w:p>
        </w:tc>
      </w:tr>
      <w:tr>
        <w:tc>
          <w:tcPr>
            <w:tcW w:type="dxa" w:w="4752"/>
          </w:tcPr>
          <w:p>
            <w:r/>
            <w:r>
              <w:rPr>
                <w:sz w:val="18"/>
              </w:rPr>
              <w:t>Inventory which access-control proxy instances actually have the vulnerable OAuth configuration enabled before assuming every instance is exposed — avoid both over-reacting and under-reacting to this week's emergency.</w:t>
            </w:r>
          </w:p>
        </w:tc>
        <w:tc>
          <w:tcPr>
            <w:tcW w:type="dxa" w:w="2448"/>
          </w:tcPr>
          <w:p>
            <w:r/>
            <w:r>
              <w:rPr>
                <w:sz w:val="18"/>
              </w:rPr>
              <w:t>IAM Engineering</w:t>
            </w:r>
          </w:p>
        </w:tc>
        <w:tc>
          <w:tcPr>
            <w:tcW w:type="dxa" w:w="1872"/>
          </w:tcPr>
          <w:p>
            <w:r/>
            <w:r>
              <w:rPr>
                <w:sz w:val="18"/>
              </w:rPr>
              <w:t>This week</w:t>
            </w:r>
          </w:p>
        </w:tc>
      </w:tr>
      <w:tr>
        <w:tc>
          <w:tcPr>
            <w:tcW w:type="dxa" w:w="4752"/>
          </w:tcPr>
          <w:p>
            <w:r/>
            <w:r>
              <w:rPr>
                <w:sz w:val="18"/>
              </w:rPr>
              <w:t>Apply the collaboration-platform update today (its federal deadline lands today) and review low-privilege account activity for signs this authenticated-access precondition was already used by an attacker.</w:t>
            </w:r>
          </w:p>
        </w:tc>
        <w:tc>
          <w:tcPr>
            <w:tcW w:type="dxa" w:w="2448"/>
          </w:tcPr>
          <w:p>
            <w:r/>
            <w:r>
              <w:rPr>
                <w:sz w:val="18"/>
              </w:rPr>
              <w:t>Collaboration Platform / IT</w:t>
            </w:r>
          </w:p>
        </w:tc>
        <w:tc>
          <w:tcPr>
            <w:tcW w:type="dxa" w:w="1872"/>
          </w:tcPr>
          <w:p>
            <w:r/>
            <w:r>
              <w:rPr>
                <w:sz w:val="18"/>
              </w:rPr>
              <w:t>Immediate (today)</w:t>
            </w:r>
          </w:p>
        </w:tc>
      </w:tr>
      <w:tr>
        <w:tc>
          <w:tcPr>
            <w:tcW w:type="dxa" w:w="4752"/>
          </w:tcPr>
          <w:p>
            <w:r/>
            <w:r>
              <w:rPr>
                <w:sz w:val="18"/>
              </w:rPr>
              <w:t>Formally review and either endorse or overturn this week's scoring exception (rating one finding High instead of Critical despite an identical numeric score to this week's other findings) before it is treated as standing program policy.</w:t>
            </w:r>
          </w:p>
        </w:tc>
        <w:tc>
          <w:tcPr>
            <w:tcW w:type="dxa" w:w="2448"/>
          </w:tcPr>
          <w:p>
            <w:r/>
            <w:r>
              <w:rPr>
                <w:sz w:val="18"/>
              </w:rPr>
              <w:t>GRC Program Owner / CISO</w:t>
            </w:r>
          </w:p>
        </w:tc>
        <w:tc>
          <w:tcPr>
            <w:tcW w:type="dxa" w:w="1872"/>
          </w:tcPr>
          <w:p>
            <w:r/>
            <w:r>
              <w:rPr>
                <w:sz w:val="18"/>
              </w:rPr>
              <w:t>Next program review</w:t>
            </w:r>
          </w:p>
        </w:tc>
      </w:tr>
    </w:tbl>
    <w:p>
      <w:pPr>
        <w:pStyle w:val="Heading1"/>
      </w:pPr>
      <w:r>
        <w:t>7. Metrics Summary</w:t>
      </w:r>
    </w:p>
    <w:tbl>
      <w:tblPr>
        <w:tblStyle w:val="TableGrid"/>
        <w:tblW w:type="auto" w:w="0"/>
        <w:jc w:val="center"/>
        <w:tblLook w:firstColumn="1" w:firstRow="1" w:lastColumn="0" w:lastRow="0" w:noHBand="0" w:noVBand="1" w:val="04A0"/>
      </w:tblPr>
      <w:tblGrid>
        <w:gridCol w:w="4680"/>
        <w:gridCol w:w="4680"/>
      </w:tblGrid>
      <w:tr>
        <w:tc>
          <w:tcPr>
            <w:tcW w:type="dxa" w:w="4752"/>
            <w:shd w:val="clear" w:color="auto" w:fill="1F3864"/>
          </w:tcPr>
          <w:p>
            <w:r>
              <w:rPr>
                <w:color w:val="FFFFFF"/>
              </w:rPr>
            </w:r>
            <w:r>
              <w:rPr>
                <w:b/>
                <w:color w:val="FFFFFF"/>
                <w:sz w:val="18"/>
              </w:rPr>
              <w:t>Metric</w:t>
            </w:r>
          </w:p>
        </w:tc>
        <w:tc>
          <w:tcPr>
            <w:tcW w:type="dxa" w:w="4320"/>
            <w:shd w:val="clear" w:color="auto" w:fill="1F3864"/>
          </w:tcPr>
          <w:p>
            <w:r>
              <w:rPr>
                <w:color w:val="FFFFFF"/>
              </w:rPr>
            </w:r>
            <w:r>
              <w:rPr>
                <w:b/>
                <w:color w:val="FFFFFF"/>
                <w:sz w:val="18"/>
              </w:rPr>
              <w:t>This Week</w:t>
            </w:r>
          </w:p>
        </w:tc>
      </w:tr>
      <w:tr>
        <w:tc>
          <w:tcPr>
            <w:tcW w:type="dxa" w:w="4752"/>
          </w:tcPr>
          <w:p>
            <w:r/>
            <w:r>
              <w:rPr>
                <w:sz w:val="18"/>
              </w:rPr>
              <w:t>New CISA KEV catalog entries (CVEs)</w:t>
            </w:r>
          </w:p>
        </w:tc>
        <w:tc>
          <w:tcPr>
            <w:tcW w:type="dxa" w:w="4320"/>
          </w:tcPr>
          <w:p>
            <w:r/>
            <w:r>
              <w:rPr>
                <w:sz w:val="18"/>
              </w:rPr>
              <w:t>12 (across 6 separate KEV catalog bulletin postings: 2026-09-21, -22, -24, two on -25, and -27)</w:t>
            </w:r>
          </w:p>
        </w:tc>
      </w:tr>
      <w:tr>
        <w:tc>
          <w:tcPr>
            <w:tcW w:type="dxa" w:w="4752"/>
          </w:tcPr>
          <w:p>
            <w:r/>
            <w:r>
              <w:rPr>
                <w:sz w:val="18"/>
              </w:rPr>
              <w:t>Escalated / modified-CVE entries</w:t>
            </w:r>
          </w:p>
        </w:tc>
        <w:tc>
          <w:tcPr>
            <w:tcW w:type="dxa" w:w="4320"/>
          </w:tcPr>
          <w:p>
            <w:r/>
            <w:r>
              <w:rPr>
                <w:sz w:val="18"/>
              </w:rPr>
              <w:t>0 (none identified this run)</w:t>
            </w:r>
          </w:p>
        </w:tc>
      </w:tr>
      <w:tr>
        <w:tc>
          <w:tcPr>
            <w:tcW w:type="dxa" w:w="4752"/>
          </w:tcPr>
          <w:p>
            <w:r/>
            <w:r>
              <w:rPr>
                <w:sz w:val="18"/>
              </w:rPr>
              <w:t>New CISA / ICS advisories (non-KEV) meeting threshold</w:t>
            </w:r>
          </w:p>
        </w:tc>
        <w:tc>
          <w:tcPr>
            <w:tcW w:type="dxa" w:w="4320"/>
          </w:tcPr>
          <w:p>
            <w:r/>
            <w:r>
              <w:rPr>
                <w:sz w:val="18"/>
              </w:rPr>
              <w:t>0 (none met threshold this run)</w:t>
            </w:r>
          </w:p>
        </w:tc>
      </w:tr>
      <w:tr>
        <w:tc>
          <w:tcPr>
            <w:tcW w:type="dxa" w:w="4752"/>
          </w:tcPr>
          <w:p>
            <w:r/>
            <w:r>
              <w:rPr>
                <w:sz w:val="18"/>
              </w:rPr>
              <w:t>Cloud provider bulletins reviewed / material findings</w:t>
            </w:r>
          </w:p>
        </w:tc>
        <w:tc>
          <w:tcPr>
            <w:tcW w:type="dxa" w:w="4320"/>
          </w:tcPr>
          <w:p>
            <w:r/>
            <w:r>
              <w:rPr>
                <w:sz w:val="18"/>
              </w:rPr>
              <w:t>0 material AWS-specific bulletins this run; the week's Microsoft-ecosystem finding (SharePoint) is captured above as a KEV entry rather than a separate MSRC bulletin item</w:t>
            </w:r>
          </w:p>
        </w:tc>
      </w:tr>
      <w:tr>
        <w:tc>
          <w:tcPr>
            <w:tcW w:type="dxa" w:w="4752"/>
          </w:tcPr>
          <w:p>
            <w:r/>
            <w:r>
              <w:rPr>
                <w:sz w:val="18"/>
              </w:rPr>
              <w:t>AI governance &amp; regulatory developments logged</w:t>
            </w:r>
          </w:p>
        </w:tc>
        <w:tc>
          <w:tcPr>
            <w:tcW w:type="dxa" w:w="4320"/>
          </w:tcPr>
          <w:p>
            <w:r/>
            <w:r>
              <w:rPr>
                <w:sz w:val="18"/>
              </w:rPr>
              <w:t>0 (EU AI Board meeting reviewed and screened out — no new obligation or deadline per its own public account)</w:t>
            </w:r>
          </w:p>
        </w:tc>
      </w:tr>
      <w:tr>
        <w:tc>
          <w:tcPr>
            <w:tcW w:type="dxa" w:w="4752"/>
          </w:tcPr>
          <w:p>
            <w:r/>
            <w:r>
              <w:rPr>
                <w:sz w:val="18"/>
              </w:rPr>
              <w:t>New risk register rows added</w:t>
            </w:r>
          </w:p>
        </w:tc>
        <w:tc>
          <w:tcPr>
            <w:tcW w:type="dxa" w:w="4320"/>
          </w:tcPr>
          <w:p>
            <w:r/>
            <w:r>
              <w:rPr>
                <w:sz w:val="18"/>
              </w:rPr>
              <w:t>10 (RR-079 – RR-088)</w:t>
            </w:r>
          </w:p>
        </w:tc>
      </w:tr>
      <w:tr>
        <w:tc>
          <w:tcPr>
            <w:tcW w:type="dxa" w:w="4752"/>
          </w:tcPr>
          <w:p>
            <w:r/>
            <w:r>
              <w:rPr>
                <w:sz w:val="18"/>
              </w:rPr>
              <w:t>Full case-study bundles published</w:t>
            </w:r>
          </w:p>
        </w:tc>
        <w:tc>
          <w:tcPr>
            <w:tcW w:type="dxa" w:w="4320"/>
          </w:tcPr>
          <w:p>
            <w:r/>
            <w:r>
              <w:rPr>
                <w:sz w:val="18"/>
              </w:rPr>
              <w:t>6 (6 folder copies — no dual-category cases this run)</w:t>
            </w:r>
          </w:p>
        </w:tc>
      </w:tr>
      <w:tr>
        <w:tc>
          <w:tcPr>
            <w:tcW w:type="dxa" w:w="4752"/>
          </w:tcPr>
          <w:p>
            <w:r/>
            <w:r>
              <w:rPr>
                <w:sz w:val="18"/>
              </w:rPr>
              <w:t>Register-only entries (logged, no full bundle)</w:t>
            </w:r>
          </w:p>
        </w:tc>
        <w:tc>
          <w:tcPr>
            <w:tcW w:type="dxa" w:w="4320"/>
          </w:tcPr>
          <w:p>
            <w:r/>
            <w:r>
              <w:rPr>
                <w:sz w:val="18"/>
              </w:rPr>
              <w:t>4</w:t>
            </w:r>
          </w:p>
        </w:tc>
      </w:tr>
      <w:tr>
        <w:tc>
          <w:tcPr>
            <w:tcW w:type="dxa" w:w="4752"/>
          </w:tcPr>
          <w:p>
            <w:r/>
            <w:r>
              <w:rPr>
                <w:sz w:val="18"/>
              </w:rPr>
              <w:t>Total risks on register (cumulative)</w:t>
            </w:r>
          </w:p>
        </w:tc>
        <w:tc>
          <w:tcPr>
            <w:tcW w:type="dxa" w:w="4320"/>
          </w:tcPr>
          <w:p>
            <w:r/>
            <w:r>
              <w:rPr>
                <w:sz w:val="18"/>
              </w:rPr>
              <w:t>88</w:t>
            </w:r>
          </w:p>
        </w:tc>
      </w:tr>
      <w:tr>
        <w:tc>
          <w:tcPr>
            <w:tcW w:type="dxa" w:w="4752"/>
          </w:tcPr>
          <w:p>
            <w:r/>
            <w:r>
              <w:rPr>
                <w:sz w:val="18"/>
              </w:rPr>
              <w:t>Framework updates to program documentation</w:t>
            </w:r>
          </w:p>
        </w:tc>
        <w:tc>
          <w:tcPr>
            <w:tcW w:type="dxa" w:w="4320"/>
          </w:tcPr>
          <w:p>
            <w:r/>
            <w:r>
              <w:rPr>
                <w:sz w:val="18"/>
              </w:rPr>
              <w:t>None this run — all frameworks used (NIST CSF 2.0, NIST 800-53, ISO 27001, CIS Controls, PCI-DSS v4.0) already documented</w:t>
            </w:r>
          </w:p>
        </w:tc>
      </w:tr>
      <w:tr>
        <w:tc>
          <w:tcPr>
            <w:tcW w:type="dxa" w:w="4752"/>
          </w:tcPr>
          <w:p>
            <w:r/>
            <w:r>
              <w:rPr>
                <w:sz w:val="18"/>
              </w:rPr>
              <w:t>Data-quality corrections made this run</w:t>
            </w:r>
          </w:p>
        </w:tc>
        <w:tc>
          <w:tcPr>
            <w:tcW w:type="dxa" w:w="4320"/>
          </w:tcPr>
          <w:p>
            <w:r/>
            <w:r>
              <w:rPr>
                <w:sz w:val="18"/>
              </w:rPr>
              <w:t>0 — the explicit “populate INHERENT RISK and NOTES for every new row” check recommended after last run's defect was applied and passed cleanly</w:t>
            </w:r>
          </w:p>
        </w:tc>
      </w:tr>
      <w:tr>
        <w:tc>
          <w:tcPr>
            <w:tcW w:type="dxa" w:w="4752"/>
          </w:tcPr>
          <w:p>
            <w:r/>
            <w:r>
              <w:rPr>
                <w:sz w:val="18"/>
              </w:rPr>
              <w:t>Rating-methodology exceptions</w:t>
            </w:r>
          </w:p>
        </w:tc>
        <w:tc>
          <w:tcPr>
            <w:tcW w:type="dxa" w:w="4320"/>
          </w:tcPr>
          <w:p>
            <w:r/>
            <w:r>
              <w:rPr>
                <w:sz w:val="18"/>
              </w:rPr>
              <w:t>1 (SharePoint, RR-084 — rated High despite scoring 20 under strict banding; see Section 5)</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