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GRC INTELLIGENCE WEEKLY EXECUTIVE REPORT</w:t>
      </w:r>
    </w:p>
    <w:p>
      <w:pPr>
        <w:spacing w:after="60"/>
        <w:jc w:val="center"/>
      </w:pPr>
      <w:r>
        <w:rPr>
          <w:color w:val="595959"/>
          <w:sz w:val="24"/>
          <w:szCs w:val="24"/>
        </w:rPr>
        <w:t xml:space="preserve">Blaise Kingko — GRC Portfolio Program</w:t>
      </w:r>
    </w:p>
    <w:p>
      <w:pPr>
        <w:spacing w:after="300"/>
        <w:jc w:val="center"/>
      </w:pPr>
      <w:r>
        <w:rPr>
          <w:color w:val="595959"/>
          <w:sz w:val="20"/>
          <w:szCs w:val="20"/>
        </w:rPr>
        <w:t xml:space="preserve">Report Date: June 29, 2026   |   Report Period: June 22 – June 29, 2026</w:t>
      </w:r>
    </w:p>
    <w:p>
      <w:pPr>
        <w:pBdr>
          <w:bottom w:val="single" w:color="2E75B6" w:sz="6" w:space="1"/>
        </w:pBdr>
        <w:spacing w:after="200"/>
      </w:pPr>
    </w:p>
    <w:p>
      <w:pPr>
        <w:pStyle w:val="Heading1"/>
      </w:pPr>
      <w:r>
        <w:t xml:space="preserve">1. This Week's Threat Landscape</w:t>
      </w:r>
    </w:p>
    <w:p>
      <w:pPr>
        <w:spacing w:after="160"/>
      </w:pPr>
      <w:r>
        <w:t xml:space="preserve">This was an unusually active week. Four separate, maximum-severity security flaws affecting widely-used network, voice-communications, and engineering-data platforms were confirmed under active attack and added to the federal government's required-fix list, each carrying an accelerated three-day repair deadline. A fifth, slightly less severe issue affecting public display infrastructure was also identified, though without confirmed active attacks. Separately, European regulators finalized a delay to certain AI compliance deadlines, which affects program timing but not our underlying obligations.</w:t>
      </w:r>
    </w:p>
    <w:p>
      <w:pPr>
        <w:spacing w:after="160"/>
      </w:pPr>
      <w:r>
        <w:rPr>
          <w:i w:val="false"/>
          <w:iCs w:val="false"/>
        </w:rPr>
        <w:t xml:space="preserve">In short: this week's risk is concentrated in fast-moving, already-exploited technical vulnerabilities rather than emerging regulatory risk. The pattern across all four critical findings — unauthenticated, remotely exploitable, and already weaponized — reinforces the importance of rapid patch deployment and tightly restricted internet exposure on management interfaces.</w:t>
      </w:r>
    </w:p>
    <w:p>
      <w:pPr>
        <w:pStyle w:val="Heading1"/>
      </w:pPr>
      <w:r>
        <w:t xml:space="preserve">2. Cases Identified This Week</w:t>
      </w:r>
    </w:p>
    <w:p>
      <w:pPr>
        <w:spacing w:after="160"/>
      </w:pPr>
      <w:r>
        <w:t xml:space="preserve">Six cases met the threshold for a full case-study bundle this week: five newly identified findings and one update to a previously logged AI-regulation case. No repeat cases were suppressed — every finding below is either new or reflects a substantive change since it was last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160"/>
        <w:gridCol w:w="1620"/>
        <w:gridCol w:w="1620"/>
      </w:tblGrid>
      <w:tr>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Category</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Risk Rating</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Status</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Lantronix EDS5000 Series — Remote Device Server Compromise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IT-OT-Threats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Critical</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NEW</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Ubiquiti UniFi OS — Network &amp; Security Device Takeover Chain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IT-OT-Threats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PTC Windchill/FlexPLM — Engineering Data Platform Compromise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IT-OT-Threats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Critical</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NEW</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Cisco Unified Communications Manager — Voice Platform Bypass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IT-OT-Threats</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w:t>
            </w:r>
          </w:p>
        </w:tc>
      </w:tr>
      <w:tr>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Daktronics Controller Firmware — Public Display Infrastructure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IT-OT-Threats</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High</w:t>
            </w:r>
          </w:p>
        </w:tc>
        <w:tc>
          <w:tcPr>
            <w:tcW w:type="dxa" w:w="1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NEW</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EU AI Act High-Risk Classification — Deadline Amendment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AI-Governance</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ESCALATED (UPDATE)</w:t>
            </w:r>
          </w:p>
        </w:tc>
      </w:tr>
    </w:tbl>
    <w:p>
      <w:pPr>
        <w:spacing w:before="200"/>
      </w:pPr>
    </w:p>
    <w:p>
      <w:pPr>
        <w:pStyle w:val="Heading2"/>
      </w:pPr>
      <w:r>
        <w:t xml:space="preserve">Narrative — Critical and High Findings</w:t>
      </w:r>
    </w:p>
    <w:p>
      <w:pPr>
        <w:spacing w:after="160"/>
      </w:pPr>
      <w:r>
        <w:t xml:space="preserve">Network and Physical-Security Infrastructure: A chain of three flaws in a widely deployed network and security-camera management platform allows a remote attacker, without any password, to fully take over the device. This is already being exploited by an automated attack network. Organizations using this platform for networking, video surveillance, or building access control should treat this as both a cybersecurity and a physical-security issue.</w:t>
      </w:r>
    </w:p>
    <w:p>
      <w:pPr>
        <w:spacing w:after="160"/>
      </w:pPr>
      <w:r>
        <w:t xml:space="preserve">Enterprise Voice Communications: A hidden, built-in password was discovered in a leading enterprise phone system, and is being actively exploited to gain full control of the system. This creates a risk of call interception and service disruption, with potential implications for organizations handling regulated customer interactions through call centers.</w:t>
      </w:r>
    </w:p>
    <w:p>
      <w:pPr>
        <w:spacing w:after="160"/>
      </w:pPr>
      <w:r>
        <w:t xml:space="preserve">Engineering and Product Data Management: A flaw in a widely used product-design and engineering-data management platform allows a remote attacker to take over the server without a password. These systems typically hold an organization's most sensitive intellectual property. Confirmed active exploitation has triggered an unusually short government-mandated repair window.</w:t>
      </w:r>
    </w:p>
    <w:p>
      <w:pPr>
        <w:spacing w:after="160"/>
      </w:pPr>
      <w:r>
        <w:t xml:space="preserve">Remote Device Management Infrastructure: A flaw in a remote device management product used in industrial and operational settings allows full device takeover. Active exploitation is confirmed, and the government-mandated repair window is similarly compressed.</w:t>
      </w:r>
    </w:p>
    <w:p>
      <w:pPr>
        <w:spacing w:after="160"/>
      </w:pPr>
      <w:r>
        <w:t xml:space="preserve">Public Display Infrastructure: A set of weaknesses in a public-display controller platform (stadiums, transportation hubs, digital signage) could allow an attacker to take over the display. No active exploitation has been confirmed, but the potential for public defacement or denial-of-service warrants proactive remediation, particularly for displays used in transportation or safety-related messaging.</w:t>
      </w:r>
    </w:p>
    <w:p>
      <w:pPr>
        <w:pStyle w:val="Heading1"/>
      </w:pPr>
      <w:r>
        <w:t xml:space="preserve">3. Top 3 Critical Risks</w:t>
      </w:r>
    </w:p>
    <w:p>
      <w:pPr>
        <w:pStyle w:val="Heading2"/>
      </w:pPr>
      <w:r>
        <w:t xml:space="preserve">1. Network &amp; Physical-Security Device Takeover</w:t>
      </w:r>
    </w:p>
    <w:p>
      <w:pPr>
        <w:spacing w:after="160"/>
      </w:pPr>
      <w:r>
        <w:t xml:space="preserve">What happened: A combination of weaknesses in a widely deployed network and security platform lets an attacker take complete, password-free control of the device, and this is already being actively exploited by an automated attack network. Why it matters: Any organization using this platform for networking, video surveillance, or door access control faces risk to its network, its cameras, and potentially its physical security. What we're doing: Identifying every affected device, applying the vendor's fix, and removing direct internet access to management interfaces until that fix is confirmed in place.</w:t>
      </w:r>
    </w:p>
    <w:p>
      <w:pPr>
        <w:pStyle w:val="Heading2"/>
      </w:pPr>
      <w:r>
        <w:t xml:space="preserve">2. Enterprise Voice System Compromise</w:t>
      </w:r>
    </w:p>
    <w:p>
      <w:pPr>
        <w:spacing w:after="160"/>
      </w:pPr>
      <w:r>
        <w:t xml:space="preserve">What happened: A hidden, undocumented password built into a major enterprise phone system is being actively exploited to gain full administrative control. Why it matters: This system routes and manages enterprise voice communications; compromise creates a risk of call interception, service disruption, and potential exposure of sensitive conversations, particularly for call centers handling regulated customer data. What we're doing: Applying the vendor's fix to remove the hidden password, reviewing logs for any sign of unauthorized access, and restricting management access to trusted internal networks.</w:t>
      </w:r>
    </w:p>
    <w:p>
      <w:pPr>
        <w:pStyle w:val="Heading2"/>
      </w:pPr>
      <w:r>
        <w:t xml:space="preserve">3. Engineering Platform Takeover</w:t>
      </w:r>
    </w:p>
    <w:p>
      <w:pPr>
        <w:spacing w:after="160"/>
      </w:pPr>
      <w:r>
        <w:t xml:space="preserve">What happened: A critical, actively exploited flaw in a widely used product-design and engineering-data platform allows full server takeover without authentication. Why it matters: These platforms typically store an organization's most sensitive intellectual property — engineering designs, product specifications, and supplier data — making this a high-value target for industrial espionage in addition to standard extortion risk. What we're doing: Confirming whether we operate any affected instance, applying the vendor's fix immediately, and reviewing for any signs of data theft or tampering.</w:t>
      </w:r>
    </w:p>
    <w:p>
      <w:pPr>
        <w:pStyle w:val="Heading1"/>
      </w:pPr>
      <w:r>
        <w:t xml:space="preserve">4. AI Governance Watch</w:t>
      </w:r>
    </w:p>
    <w:p>
      <w:pPr>
        <w:spacing w:after="160"/>
      </w:pPr>
      <w:r>
        <w:t xml:space="preserve">The European Parliament finalized amendments delaying certain compliance deadlines under the EU's AI regulation for specific categories of “high-risk” AI systems. A related public-comment period on implementation guidance also closed this week, as scheduled. The underlying rules for what counts as a high-risk AI system did not change — only the timeline for certain compliance obligations did.</w:t>
      </w:r>
    </w:p>
    <w:p>
      <w:pPr>
        <w:spacing w:after="160"/>
      </w:pPr>
      <w:r>
        <w:t xml:space="preserve">Recommendation: Treat this as additional planning time, not reduced obligation. Regulatory deadline delays in similar past frameworks have generally not been extended a second time. Our AI governance program roadmap and board reporting should be updated to reflect the new timeline, but underlying program work should continue without interruption.</w:t>
      </w:r>
    </w:p>
    <w:p>
      <w:pPr>
        <w:pStyle w:val="Heading1"/>
      </w:pPr>
      <w:r>
        <w:t xml:space="preserve">5. Compliance Posture</w:t>
      </w:r>
    </w:p>
    <w:p>
      <w:pPr>
        <w:spacing w:after="160"/>
      </w:pPr>
      <w:r>
        <w:t xml:space="preserve">No new compliance or security frameworks were introduced into our program this week — all findings mapped cleanly to frameworks already in active use (including our cybersecurity, AI governance, and industrial-control-system reference frameworks).</w:t>
      </w:r>
    </w:p>
    <w:p>
      <w:pPr>
        <w:spacing w:after="160"/>
      </w:pPr>
      <w:r>
        <w:t xml:space="preserve">One procedural compliance trend worth flagging to leadership: four of this week's five new technical findings were each issued under an unusually short, three-day federally mandated repair window — a noticeably more aggressive timeline than the typical 14-to-21-day window seen in prior weeks. This suggests federal authorities are tightening expectations around how quickly actively-exploited, high-severity flaws on internet-facing systems must be fixed, regardless of company size. We recommend confirming our internal patch-management SLA can realistically support a three-day turnaround for similarly severe future findings.</w:t>
      </w:r>
    </w:p>
    <w:p>
      <w:pPr>
        <w:pStyle w:val="Heading1"/>
      </w:pPr>
      <w:r>
        <w:t xml:space="preserve">6. Recommended Executive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2200"/>
        <w:gridCol w:w="15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Owner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Timeline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Patch all internet-facing network, voice, and engineering-platform infrastructure flagged this week within the federal 3-day remediation window.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IT/Security Engineering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By Fri, June 26 – Sun, June 28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 no unauthorized access occurred on affected voice and engineering-data systems during the exposure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This week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Verify that any internet-facing administrative interfaces on the affected platforms are removed or restricted to VPN-only access.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Network Engineering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This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Update AI governance program timeline and board materials to reflect the EU AI Act deadline amendments; maintain program momentum.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Governance Lead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 reporting cycle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5</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Brief leadership on this week's concentration of actively-exploited, maximum-severity findings across network, voice, and engineering-platform infrastructure.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CISO / GRC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Next leadership meeting</w:t>
            </w:r>
          </w:p>
        </w:tc>
      </w:tr>
    </w:tbl>
    <w:p>
      <w:pPr>
        <w:pStyle w:val="Heading1"/>
      </w:pPr>
      <w:r>
        <w:t xml:space="preserve">7.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Value</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New cases identified this week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5</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Escalated (UPDATE)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Repeat cases suppressed (duplicate, no change)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0</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Critical-rated findings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High-rated findings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1</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Medium-rated findings (regulatory 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Findings under accelerated 3-day federal remediation mandate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4</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Register: new rows added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(RR-023 – RR-027)</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Risk Register: existing rows revised in place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2 (RR-004, RR-009)</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Risk Register: total open risks on file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w:t>
            </w:r>
          </w:p>
        </w:tc>
      </w:tr>
      <w:tr>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rPr>
              <w:t xml:space="preserve">New compliance frameworks introduced this run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0 (no new framework triggered a README update)</w:t>
            </w:r>
          </w:p>
        </w:tc>
      </w:tr>
    </w:tbl>
    <w:p>
      <w:pPr>
        <w:pBdr>
          <w:top w:val="single" w:color="CCCCCC" w:sz="4" w:space="4"/>
        </w:pBdr>
        <w:spacing w:before="400"/>
      </w:pPr>
      <w:r>
        <w:rPr>
          <w:i/>
          <w:iCs/>
          <w:color w:val="595959"/>
          <w:sz w:val="18"/>
          <w:szCs w:val="18"/>
        </w:rPr>
        <w:t xml:space="preserve">This report is generated by the GRC Intelligence Monitor as part of Blaise Kingko's public GRC portfolio program. Full technical case-study artifacts for each finding above are available under Case-studies\ in the GRC Portfolio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2026-06-29T10:20:08.485Z</dcterms:created>
  <dcterms:modified xsi:type="dcterms:W3CDTF">2026-06-29T10:20:08.485Z</dcterms:modified>
</cp:coreProperties>
</file>

<file path=docProps/custom.xml><?xml version="1.0" encoding="utf-8"?>
<Properties xmlns="http://schemas.openxmlformats.org/officeDocument/2006/custom-properties" xmlns:vt="http://schemas.openxmlformats.org/officeDocument/2006/docPropsVTypes"/>
</file>