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GRC Intelligence Executive Report</w:t>
      </w:r>
    </w:p>
    <w:p>
      <w:r>
        <w:t>Blaise Kingko, GRC Intelligence Program</w:t>
      </w:r>
    </w:p>
    <w:p>
      <w:r>
        <w:t>Report Period: 2026-10-12 to 2026-10-19   |   Prepared: 2026-10-19</w:t>
      </w:r>
    </w:p>
    <w:p/>
    <w:p>
      <w:pPr>
        <w:pStyle w:val="Heading1"/>
      </w:pPr>
      <w:r>
        <w:t>1. This Week's Threat Landscape</w:t>
      </w:r>
    </w:p>
    <w:p>
      <w:r>
        <w:t>This week reversed last week's pattern: instead of old, long-patched software being weaponized, three brand-new, actively-exploited zero-days hit the exact systems organizations rely on for their own protection and remote access, a VPN gateway, an email security scanning appliance, and a privileged remote-support tool. One of the three, the remote-support compromise, was run by a suspected nation-state espionage actor for roughly seven weeks before anyone detected it, and included deliberate log-wiping to frustrate the eventual investigation. Two of the three carry elapsed federal remediation deadlines as of this report, and one has no vendor-offered workaround at all.</w:t>
      </w:r>
    </w:p>
    <w:p>
      <w:pPr>
        <w:pStyle w:val="Heading1"/>
      </w:pPr>
      <w:r>
        <w:t>2. Cases Identified This Week</w:t>
      </w:r>
    </w:p>
    <w:p>
      <w:r>
        <w:t>Eight distinct findings met this week's review threshold. Three were significant enough to warrant full case-study treatment, all unauthenticated or pre-disclosure zero-day exploitation of perimeter or privileged-access infrastructure; five were logged for tracking given a narrower technical precondition, a narrower exploitation scope, or, in one case, a non-technical regulatory scope.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Finding</w:t>
            </w:r>
          </w:p>
        </w:tc>
        <w:tc>
          <w:tcPr>
            <w:tcW w:type="dxa" w:w="2160"/>
          </w:tcPr>
          <w:p>
            <w:r>
              <w:t>Category</w:t>
            </w:r>
          </w:p>
        </w:tc>
        <w:tc>
          <w:tcPr>
            <w:tcW w:type="dxa" w:w="2160"/>
          </w:tcPr>
          <w:p>
            <w:r>
              <w:t>Status</w:t>
            </w:r>
          </w:p>
        </w:tc>
        <w:tc>
          <w:tcPr>
            <w:tcW w:type="dxa" w:w="2160"/>
          </w:tcPr>
          <w:p>
            <w:r>
              <w:t>Severity</w:t>
            </w:r>
          </w:p>
        </w:tc>
      </w:tr>
      <w:tr>
        <w:tc>
          <w:tcPr>
            <w:tcW w:type="dxa" w:w="2160"/>
          </w:tcPr>
          <w:p>
            <w:r>
              <w:t>Ivanti Connect Secure authentication bypass to command execution (CVE-2026-104935)</w:t>
            </w:r>
          </w:p>
        </w:tc>
        <w:tc>
          <w:tcPr>
            <w:tcW w:type="dxa" w:w="2160"/>
          </w:tcPr>
          <w:p>
            <w:r>
              <w:t>IT/OT Threats</w:t>
            </w:r>
          </w:p>
        </w:tc>
        <w:tc>
          <w:tcPr>
            <w:tcW w:type="dxa" w:w="2160"/>
          </w:tcPr>
          <w:p>
            <w:r>
              <w:t>Full case study</w:t>
            </w:r>
          </w:p>
        </w:tc>
        <w:tc>
          <w:tcPr>
            <w:tcW w:type="dxa" w:w="2160"/>
          </w:tcPr>
          <w:p>
            <w:r>
              <w:t>Critical</w:t>
            </w:r>
          </w:p>
        </w:tc>
      </w:tr>
      <w:tr>
        <w:tc>
          <w:tcPr>
            <w:tcW w:type="dxa" w:w="2160"/>
          </w:tcPr>
          <w:p>
            <w:r>
              <w:t>Cisco Secure Email Gateway path traversal to root command execution (CVE-2026-76519)</w:t>
            </w:r>
          </w:p>
        </w:tc>
        <w:tc>
          <w:tcPr>
            <w:tcW w:type="dxa" w:w="2160"/>
          </w:tcPr>
          <w:p>
            <w:r>
              <w:t>IT/OT Threats</w:t>
            </w:r>
          </w:p>
        </w:tc>
        <w:tc>
          <w:tcPr>
            <w:tcW w:type="dxa" w:w="2160"/>
          </w:tcPr>
          <w:p>
            <w:r>
              <w:t>Full case study</w:t>
            </w:r>
          </w:p>
        </w:tc>
        <w:tc>
          <w:tcPr>
            <w:tcW w:type="dxa" w:w="2160"/>
          </w:tcPr>
          <w:p>
            <w:r>
              <w:t>Critical</w:t>
            </w:r>
          </w:p>
        </w:tc>
      </w:tr>
      <w:tr>
        <w:tc>
          <w:tcPr>
            <w:tcW w:type="dxa" w:w="2160"/>
          </w:tcPr>
          <w:p>
            <w:r>
              <w:t>BeyondTrust Remote Support auth bypass, nation-state campaign since August (CVE-2026-102764)</w:t>
            </w:r>
          </w:p>
        </w:tc>
        <w:tc>
          <w:tcPr>
            <w:tcW w:type="dxa" w:w="2160"/>
          </w:tcPr>
          <w:p>
            <w:r>
              <w:t>IT/OT Threats</w:t>
            </w:r>
          </w:p>
        </w:tc>
        <w:tc>
          <w:tcPr>
            <w:tcW w:type="dxa" w:w="2160"/>
          </w:tcPr>
          <w:p>
            <w:r>
              <w:t>Full case study</w:t>
            </w:r>
          </w:p>
        </w:tc>
        <w:tc>
          <w:tcPr>
            <w:tcW w:type="dxa" w:w="2160"/>
          </w:tcPr>
          <w:p>
            <w:r>
              <w:t>Critical</w:t>
            </w:r>
          </w:p>
        </w:tc>
      </w:tr>
      <w:tr>
        <w:tc>
          <w:tcPr>
            <w:tcW w:type="dxa" w:w="2160"/>
          </w:tcPr>
          <w:p>
            <w:r>
              <w:t>PAN-OS management-interface authenticated RCE (CVE-2026-0322)</w:t>
            </w:r>
          </w:p>
        </w:tc>
        <w:tc>
          <w:tcPr>
            <w:tcW w:type="dxa" w:w="2160"/>
          </w:tcPr>
          <w:p>
            <w:r>
              <w:t>IT/OT Threats</w:t>
            </w:r>
          </w:p>
        </w:tc>
        <w:tc>
          <w:tcPr>
            <w:tcW w:type="dxa" w:w="2160"/>
          </w:tcPr>
          <w:p>
            <w:r>
              <w:t>Tracked</w:t>
            </w:r>
          </w:p>
        </w:tc>
        <w:tc>
          <w:tcPr>
            <w:tcW w:type="dxa" w:w="2160"/>
          </w:tcPr>
          <w:p>
            <w:r>
              <w:t>High</w:t>
            </w:r>
          </w:p>
        </w:tc>
      </w:tr>
      <w:tr>
        <w:tc>
          <w:tcPr>
            <w:tcW w:type="dxa" w:w="2160"/>
          </w:tcPr>
          <w:p>
            <w:r>
              <w:t>Windows Shell security-feature bypass (CVE-2026-96951)</w:t>
            </w:r>
          </w:p>
        </w:tc>
        <w:tc>
          <w:tcPr>
            <w:tcW w:type="dxa" w:w="2160"/>
          </w:tcPr>
          <w:p>
            <w:r>
              <w:t>IT/OT Threats</w:t>
            </w:r>
          </w:p>
        </w:tc>
        <w:tc>
          <w:tcPr>
            <w:tcW w:type="dxa" w:w="2160"/>
          </w:tcPr>
          <w:p>
            <w:r>
              <w:t>Tracked</w:t>
            </w:r>
          </w:p>
        </w:tc>
        <w:tc>
          <w:tcPr>
            <w:tcW w:type="dxa" w:w="2160"/>
          </w:tcPr>
          <w:p>
            <w:r>
              <w:t>High</w:t>
            </w:r>
          </w:p>
        </w:tc>
      </w:tr>
      <w:tr>
        <w:tc>
          <w:tcPr>
            <w:tcW w:type="dxa" w:w="2160"/>
          </w:tcPr>
          <w:p>
            <w:r>
              <w:t>AhsayCBS backup-console exploitation chain, vendor patch failed (CVE-2026-105133/105134)</w:t>
            </w:r>
          </w:p>
        </w:tc>
        <w:tc>
          <w:tcPr>
            <w:tcW w:type="dxa" w:w="2160"/>
          </w:tcPr>
          <w:p>
            <w:r>
              <w:t>IT/OT Threats</w:t>
            </w:r>
          </w:p>
        </w:tc>
        <w:tc>
          <w:tcPr>
            <w:tcW w:type="dxa" w:w="2160"/>
          </w:tcPr>
          <w:p>
            <w:r>
              <w:t>Tracked</w:t>
            </w:r>
          </w:p>
        </w:tc>
        <w:tc>
          <w:tcPr>
            <w:tcW w:type="dxa" w:w="2160"/>
          </w:tcPr>
          <w:p>
            <w:r>
              <w:t>Critical</w:t>
            </w:r>
          </w:p>
        </w:tc>
      </w:tr>
      <w:tr>
        <w:tc>
          <w:tcPr>
            <w:tcW w:type="dxa" w:w="2160"/>
          </w:tcPr>
          <w:p>
            <w:r>
              <w:t>Fortinet CLI path traversal, authenticated admin required (CVE-2025-61624)</w:t>
            </w:r>
          </w:p>
        </w:tc>
        <w:tc>
          <w:tcPr>
            <w:tcW w:type="dxa" w:w="2160"/>
          </w:tcPr>
          <w:p>
            <w:r>
              <w:t>IT/OT Threats</w:t>
            </w:r>
          </w:p>
        </w:tc>
        <w:tc>
          <w:tcPr>
            <w:tcW w:type="dxa" w:w="2160"/>
          </w:tcPr>
          <w:p>
            <w:r>
              <w:t>Tracked</w:t>
            </w:r>
          </w:p>
        </w:tc>
        <w:tc>
          <w:tcPr>
            <w:tcW w:type="dxa" w:w="2160"/>
          </w:tcPr>
          <w:p>
            <w:r>
              <w:t>Medium</w:t>
            </w:r>
          </w:p>
        </w:tc>
      </w:tr>
      <w:tr>
        <w:tc>
          <w:tcPr>
            <w:tcW w:type="dxa" w:w="2160"/>
          </w:tcPr>
          <w:p>
            <w:r>
              <w:t>GSA Clause 552.239-7001, LLM federal data-safeguarding rule effective today</w:t>
            </w:r>
          </w:p>
        </w:tc>
        <w:tc>
          <w:tcPr>
            <w:tcW w:type="dxa" w:w="2160"/>
          </w:tcPr>
          <w:p>
            <w:r>
              <w:t>AI Governance</w:t>
            </w:r>
          </w:p>
        </w:tc>
        <w:tc>
          <w:tcPr>
            <w:tcW w:type="dxa" w:w="2160"/>
          </w:tcPr>
          <w:p>
            <w:r>
              <w:t>Tracked</w:t>
            </w:r>
          </w:p>
        </w:tc>
        <w:tc>
          <w:tcPr>
            <w:tcW w:type="dxa" w:w="2160"/>
          </w:tcPr>
          <w:p>
            <w:r>
              <w:t>Medium</w:t>
            </w:r>
          </w:p>
        </w:tc>
      </w:tr>
    </w:tbl>
    <w:p/>
    <w:p>
      <w:pPr>
        <w:pStyle w:val="Heading1"/>
      </w:pPr>
      <w:r>
        <w:t>3. Top Critical Risks</w:t>
      </w:r>
    </w:p>
    <w:p>
      <w:r>
        <w:t>Three findings met this week's Critical bar through full case-study review, all involving unauthenticated or pre-disclosure exploitation of systems an organization trusts to protect itself. A fourth finding, the AhsayCBS backup-console compromise, is also rated Critical on the register but was logged for tracking rather than built into a full bundle given its narrower, managed-service-provider-focused footprint.</w:t>
      </w:r>
    </w:p>
    <w:p>
      <w:pPr>
        <w:pStyle w:val="Heading2"/>
      </w:pPr>
      <w:r>
        <w:t>1. VPN Gateway Breached Before the Public Even Knew About It</w:t>
      </w:r>
    </w:p>
    <w:p>
      <w:r>
        <w:t>Attackers were already inside organizations' networks through a flaw in Ivanti Connect Secure, the remote-access VPN many companies use for their traveling and remote workforce, before Ivanti told anyone the flaw existed. No password was required. Investigators also found the same attackers using a second, related weakness Ivanti has not yet fixed, meaning patching the disclosed flaw may not fully remove an attacker who got in before the patch existed.</w:t>
      </w:r>
    </w:p>
    <w:p>
      <w:pPr>
        <w:pStyle w:val="Heading2"/>
      </w:pPr>
      <w:r>
        <w:t>2. The Mail Scanner Itself Became the Attack</w:t>
      </w:r>
    </w:p>
    <w:p>
      <w:r>
        <w:t>A critical flaw in Cisco's Secure Email Gateway let attackers take full administrative control of the appliance using nothing more than a malicious email attachment, the exact kind of file the appliance exists to catch. Cisco has offered no workaround; a software update is the only fix, and the federal remediation deadline for this flaw has already passed.</w:t>
      </w:r>
    </w:p>
    <w:p>
      <w:pPr>
        <w:pStyle w:val="Heading2"/>
      </w:pPr>
      <w:r>
        <w:t>3. Trusted Remote-Support Tool Compromised by Foreign Intelligence for Nearly Two Months</w:t>
      </w:r>
    </w:p>
    <w:p>
      <w:r>
        <w:t>A suspected China-linked intelligence group quietly took over BeyondTrust Remote Support, a tool used to give IT staff privileged remote access to systems, and used it undetected for roughly seven weeks. The attackers gained full administrative control, planted hidden backdoor tools, and deliberately erased logs to cover their tracks, meaning a clean bill of health for every system this tool touched during that window cannot be guaranteed, only that nothing suspicious has been found so far.</w:t>
      </w:r>
    </w:p>
    <w:p>
      <w:pPr>
        <w:pStyle w:val="Heading1"/>
      </w:pPr>
      <w:r>
        <w:t>4. AI Governance Watch</w:t>
      </w:r>
    </w:p>
    <w:p>
      <w:pPr>
        <w:pStyle w:val="ListBullet"/>
      </w:pPr>
      <w:r>
        <w:t>A new GSA contract clause requiring federal AI/LLM vendors to safeguard government data, report incidents within 72 hours, and allow government evaluation rights took effect today (2026-10-19), the first binding, immediately-effective federal procurement rule of its kind specifically governing how AI vendors must handle government data.</w:t>
      </w:r>
    </w:p>
    <w:p>
      <w:pPr>
        <w:pStyle w:val="ListBullet"/>
      </w:pPr>
      <w:r>
        <w:t>Eight state attorneys general sued OpenAI this week under state consumer-protection law over child-safety marketing practices, an example of state-level enforcement filling gaps left by the absence of comprehensive federal AI legislation.</w:t>
      </w:r>
    </w:p>
    <w:p>
      <w:pPr>
        <w:pStyle w:val="ListBullet"/>
      </w:pPr>
      <w:r>
        <w:t>Clearer dates emerged for the EU AI Act's post-Digital-Omnibus timeline: the high-risk (Annex III) deadline sits at December 2027 and the broader Annex I deadline at August 2028, but transparency obligations under Article 50 are already in force, and a marking deadline for certain pre-existing generative-AI systems and new content-safety bans lands December 2026, sooner than the headline deferral suggests.</w:t>
      </w:r>
    </w:p>
    <w:p>
      <w:pPr>
        <w:pStyle w:val="ListBullet"/>
      </w:pPr>
      <w:r>
        <w:t>In UK parliamentary testimony, OpenAI and Anthropic backed legally binding AI safety rules, including mandatory serious-incident reporting, while Google DeepMind and Meta argued existing regulation and technical standards are sufficient, underscoring an ongoing industry split on whether AI safety commitments should be voluntary or mandatory.</w:t>
      </w:r>
    </w:p>
    <w:p>
      <w:pPr>
        <w:pStyle w:val="Heading1"/>
      </w:pPr>
      <w:r>
        <w:t>5. Compliance Posture</w:t>
      </w:r>
    </w:p>
    <w:p>
      <w:r>
        <w:t>FedRAMP published its FY26 scorecard this week: 92 new authorizations issued (26 under the 20x process, 66 under the traditional Rev5 process), 538 total authorizations outstanding, with the program confirming it will stop processing new legacy Rev5 authorizations as of 2027-06-11 and will pursue Class D (High-impact) and hyperscaler Class C/D authorizations as FY27 priorities, continuing the shift toward the Key-Security-Indicator-based 20x model noted in last week's report. Separately, Atlassian's previously-logged file-access vulnerability (CVE-2026-21589, RR-101) was officially added to the CISA KEV catalog on 2026-10-15, confirming the Critical rating this program already assigned it; no new compliance obligation results from this, it is a status confirmation. No new frameworks were introduced into the program's reference set this run; the existing framework mappings (NIST CSF 2.0, NIST 800-53, ISO 27001, CIS Controls v8, NIST AI RMF, ISO 42001, EU AI Act) remain current and were applied to every finding above.</w:t>
      </w:r>
    </w:p>
    <w:p>
      <w:pPr>
        <w:pStyle w:val="Heading1"/>
      </w:pPr>
      <w:r>
        <w:t>6. Recommended Executive Actions</w:t>
      </w:r>
    </w:p>
    <w:p>
      <w:pPr>
        <w:pStyle w:val="ListBullet"/>
      </w:pPr>
      <w:r>
        <w:t>Approve emergency, out-of-cycle patch deployment for every internet-facing Ivanti Connect Secure appliance and commission a compromise assessment against Volexity's published indicators. Owner: Network Security / Incident Response. Timeline: within 48 hours.</w:t>
      </w:r>
    </w:p>
    <w:p>
      <w:pPr>
        <w:pStyle w:val="ListBullet"/>
      </w:pPr>
      <w:r>
        <w:t>Approve immediate deployment of Cisco's Content Scanner Tools update (no reboot required) across all Secure Email Gateway appliances, followed by an expedited AsyncOS upgrade. Owner: Email/Messaging team. Timeline: Content Scanner Tools within 24 hours; AsyncOS within 5 business days.</w:t>
      </w:r>
    </w:p>
    <w:p>
      <w:pPr>
        <w:pStyle w:val="ListBullet"/>
      </w:pPr>
      <w:r>
        <w:t>Commission an independent forensic review of every BeyondTrust Remote Support instance reachable from the internet since late August 2026, and prepare client/partner notifications if the tool was used to access any managed environments. Owner: Incident Response / Legal. Timeline: within 10 business days.</w:t>
      </w:r>
    </w:p>
    <w:p>
      <w:pPr>
        <w:pStyle w:val="ListBullet"/>
      </w:pPr>
      <w:r>
        <w:t>Direct Network Security to restrict the PAN-OS management interface to a trusted jump box across the entire firewall fleet as a standing control, independent of patch-deployment timing. Owner: Network Security. Timeline: within 5 business days.</w:t>
      </w:r>
    </w:p>
    <w:p>
      <w:pPr>
        <w:pStyle w:val="ListBullet"/>
      </w:pPr>
      <w:r>
        <w:t>Direct the AI-governance program to determine contract-level applicability of GSA Clause 552.239-7001 across any federal AI-related engagements and update the subcontractor data-flow inventory accordingly. Owner: AI Governance / Contracts. Timeline: within 30 days.</w:t>
      </w:r>
    </w:p>
    <w:p>
      <w:pPr>
        <w:pStyle w:val="Heading1"/>
      </w:pPr>
      <w:r>
        <w:t>7. Metrics Summary</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w:t>
            </w:r>
          </w:p>
        </w:tc>
      </w:tr>
      <w:tr>
        <w:tc>
          <w:tcPr>
            <w:tcW w:type="dxa" w:w="4320"/>
          </w:tcPr>
          <w:p>
            <w:r>
              <w:t>New actively-exploited vulnerabilities (CISA KEV) this week</w:t>
            </w:r>
          </w:p>
        </w:tc>
        <w:tc>
          <w:tcPr>
            <w:tcW w:type="dxa" w:w="4320"/>
          </w:tcPr>
          <w:p>
            <w:r>
              <w:t>5</w:t>
            </w:r>
          </w:p>
        </w:tc>
      </w:tr>
      <w:tr>
        <w:tc>
          <w:tcPr>
            <w:tcW w:type="dxa" w:w="4320"/>
          </w:tcPr>
          <w:p>
            <w:r>
              <w:t>New cybersecurity advisories reviewed</w:t>
            </w:r>
          </w:p>
        </w:tc>
        <w:tc>
          <w:tcPr>
            <w:tcW w:type="dxa" w:w="4320"/>
          </w:tcPr>
          <w:p>
            <w:r>
              <w:t>1 (BeyondTrust / CCCS Alert AL26-025)</w:t>
            </w:r>
          </w:p>
        </w:tc>
      </w:tr>
      <w:tr>
        <w:tc>
          <w:tcPr>
            <w:tcW w:type="dxa" w:w="4320"/>
          </w:tcPr>
          <w:p>
            <w:r>
              <w:t>Cloud provider bulletins reviewed</w:t>
            </w:r>
          </w:p>
        </w:tc>
        <w:tc>
          <w:tcPr>
            <w:tcW w:type="dxa" w:w="4320"/>
          </w:tcPr>
          <w:p>
            <w:r>
              <w:t>0</w:t>
            </w:r>
          </w:p>
        </w:tc>
      </w:tr>
      <w:tr>
        <w:tc>
          <w:tcPr>
            <w:tcW w:type="dxa" w:w="4320"/>
          </w:tcPr>
          <w:p>
            <w:r>
              <w:t>AI governance developments tracked</w:t>
            </w:r>
          </w:p>
        </w:tc>
        <w:tc>
          <w:tcPr>
            <w:tcW w:type="dxa" w:w="4320"/>
          </w:tcPr>
          <w:p>
            <w:r>
              <w:t>2 (GSA Clause 552.239-7001; state AG litigation against OpenAI)</w:t>
            </w:r>
          </w:p>
        </w:tc>
      </w:tr>
      <w:tr>
        <w:tc>
          <w:tcPr>
            <w:tcW w:type="dxa" w:w="4320"/>
          </w:tcPr>
          <w:p>
            <w:r>
              <w:t>Full case-study bundles built</w:t>
            </w:r>
          </w:p>
        </w:tc>
        <w:tc>
          <w:tcPr>
            <w:tcW w:type="dxa" w:w="4320"/>
          </w:tcPr>
          <w:p>
            <w:r>
              <w:t>3</w:t>
            </w:r>
          </w:p>
        </w:tc>
      </w:tr>
      <w:tr>
        <w:tc>
          <w:tcPr>
            <w:tcW w:type="dxa" w:w="4320"/>
          </w:tcPr>
          <w:p>
            <w:r>
              <w:t>Risk register rows added</w:t>
            </w:r>
          </w:p>
        </w:tc>
        <w:tc>
          <w:tcPr>
            <w:tcW w:type="dxa" w:w="4320"/>
          </w:tcPr>
          <w:p>
            <w:r>
              <w:t>8 (RR-104 - RR-111); 1 existing row updated in place (RR-101)</w:t>
            </w:r>
          </w:p>
        </w:tc>
      </w:tr>
      <w:tr>
        <w:tc>
          <w:tcPr>
            <w:tcW w:type="dxa" w:w="4320"/>
          </w:tcPr>
          <w:p>
            <w:r>
              <w:t>Total open risks on register</w:t>
            </w:r>
          </w:p>
        </w:tc>
        <w:tc>
          <w:tcPr>
            <w:tcW w:type="dxa" w:w="4320"/>
          </w:tcPr>
          <w:p>
            <w:r>
              <w:t>115</w:t>
            </w:r>
          </w:p>
        </w:tc>
      </w:tr>
      <w:tr>
        <w:tc>
          <w:tcPr>
            <w:tcW w:type="dxa" w:w="4320"/>
          </w:tcPr>
          <w:p>
            <w:r>
              <w:t>Findings with no working vendor fix available at time of report</w:t>
            </w:r>
          </w:p>
        </w:tc>
        <w:tc>
          <w:tcPr>
            <w:tcW w:type="dxa" w:w="4320"/>
          </w:tcPr>
          <w:p>
            <w:r>
              <w:t>1 (AhsayCBS, CVE-2026-105133/105134, first patch attempt confirmed failed)</w:t>
            </w:r>
          </w:p>
        </w:tc>
      </w:tr>
    </w:tbl>
    <w:p/>
    <w:p>
      <w:r>
        <w:t>Prepared as part of the Blaise Kingko GRC Intelligence Program. Sources: CISA Known Exploited Vulnerabilities catalog, Ivanti security advisory, Cisco PSIRT advisory cisco-sa-esa-afw-zqYJkjxp, BeyondTrust advisory BT26-05, Canadian Centre for Cyber Security Alert AL26-025, Palo Alto Networks PAN-OS advisory, Ahsay technical advisories, Fortinet advisory FG-IR-26-122, GSA Clause 552.239-7001 (RGO-2026-01), and supporting vendor and independent-researcher reporting cited in each case-study bundle.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