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GRC Intelligence Executive Report</w:t>
      </w:r>
    </w:p>
    <w:p>
      <w:r>
        <w:t>Blaise Kingko, GRC Intelligence Program</w:t>
      </w:r>
    </w:p>
    <w:p>
      <w:r>
        <w:t>Report Period: 2026-10-05 to 2026-10-12   |   Prepared: 2026-10-12</w:t>
      </w:r>
    </w:p>
    <w:p/>
    <w:p>
      <w:pPr>
        <w:pStyle w:val="Heading1"/>
      </w:pPr>
      <w:r>
        <w:t>1. This Week's Threat Landscape</w:t>
      </w:r>
    </w:p>
    <w:p>
      <w:r>
        <w:t>This week was defined by speed, not sophistication: a nation-state intrusion campaign weaponized software flaws between two and ten years old against critical-infrastructure and higher-education targets worldwide, and a separate critical flaw in widely deployed enterprise collaboration software was exploited within hours of its technical details becoming public. Governments on three continents issued a joint advisory and the FBI disrupted the first campaign's infrastructure in the same window. Neither story is about a new or exotic technique; both are about how little time an unpatched, unmanaged system now gets before someone finds it.</w:t>
      </w:r>
    </w:p>
    <w:p>
      <w:pPr>
        <w:pStyle w:val="Heading1"/>
      </w:pPr>
      <w:r>
        <w:t>2. Cases Identified This Week</w:t>
      </w:r>
    </w:p>
    <w:p>
      <w:r>
        <w:t>Four distinct findings met this week's review threshold. Two were significant enough to warrant full case-study treatment; two were logged for tracking given a narrower technical precondition or a regulatory (non-technical) scope.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Finding</w:t>
            </w:r>
          </w:p>
        </w:tc>
        <w:tc>
          <w:tcPr>
            <w:tcW w:type="dxa" w:w="2160"/>
          </w:tcPr>
          <w:p>
            <w:r>
              <w:t>Category</w:t>
            </w:r>
          </w:p>
        </w:tc>
        <w:tc>
          <w:tcPr>
            <w:tcW w:type="dxa" w:w="2160"/>
          </w:tcPr>
          <w:p>
            <w:r>
              <w:t>Status</w:t>
            </w:r>
          </w:p>
        </w:tc>
        <w:tc>
          <w:tcPr>
            <w:tcW w:type="dxa" w:w="2160"/>
          </w:tcPr>
          <w:p>
            <w:r>
              <w:t>Severity</w:t>
            </w:r>
          </w:p>
        </w:tc>
      </w:tr>
      <w:tr>
        <w:tc>
          <w:tcPr>
            <w:tcW w:type="dxa" w:w="2160"/>
          </w:tcPr>
          <w:p>
            <w:r>
              <w:t>Flax Typhoon legacy-CVE exploitation batch (4 CVEs, CISA KEV)</w:t>
            </w:r>
          </w:p>
        </w:tc>
        <w:tc>
          <w:tcPr>
            <w:tcW w:type="dxa" w:w="2160"/>
          </w:tcPr>
          <w:p>
            <w:r>
              <w:t>IT/OT Threats</w:t>
            </w:r>
          </w:p>
        </w:tc>
        <w:tc>
          <w:tcPr>
            <w:tcW w:type="dxa" w:w="2160"/>
          </w:tcPr>
          <w:p>
            <w:r>
              <w:t>Full case study</w:t>
            </w:r>
          </w:p>
        </w:tc>
        <w:tc>
          <w:tcPr>
            <w:tcW w:type="dxa" w:w="2160"/>
          </w:tcPr>
          <w:p>
            <w:r>
              <w:t>Critical</w:t>
            </w:r>
          </w:p>
        </w:tc>
      </w:tr>
      <w:tr>
        <w:tc>
          <w:tcPr>
            <w:tcW w:type="dxa" w:w="2160"/>
          </w:tcPr>
          <w:p>
            <w:r>
              <w:t>Atlassian Data Center unauthenticated file-access vulnerability</w:t>
            </w:r>
          </w:p>
        </w:tc>
        <w:tc>
          <w:tcPr>
            <w:tcW w:type="dxa" w:w="2160"/>
          </w:tcPr>
          <w:p>
            <w:r>
              <w:t>IT/OT Threats</w:t>
            </w:r>
          </w:p>
        </w:tc>
        <w:tc>
          <w:tcPr>
            <w:tcW w:type="dxa" w:w="2160"/>
          </w:tcPr>
          <w:p>
            <w:r>
              <w:t>Full case study</w:t>
            </w:r>
          </w:p>
        </w:tc>
        <w:tc>
          <w:tcPr>
            <w:tcW w:type="dxa" w:w="2160"/>
          </w:tcPr>
          <w:p>
            <w:r>
              <w:t>Critical</w:t>
            </w:r>
          </w:p>
        </w:tc>
      </w:tr>
      <w:tr>
        <w:tc>
          <w:tcPr>
            <w:tcW w:type="dxa" w:w="2160"/>
          </w:tcPr>
          <w:p>
            <w:r>
              <w:t>Bedrock AgentCore AI-agent tooling code injection / SSRF pair</w:t>
            </w:r>
          </w:p>
        </w:tc>
        <w:tc>
          <w:tcPr>
            <w:tcW w:type="dxa" w:w="2160"/>
          </w:tcPr>
          <w:p>
            <w:r>
              <w:t>AI Governance / Cloud Security</w:t>
            </w:r>
          </w:p>
        </w:tc>
        <w:tc>
          <w:tcPr>
            <w:tcW w:type="dxa" w:w="2160"/>
          </w:tcPr>
          <w:p>
            <w:r>
              <w:t>Tracked</w:t>
            </w:r>
          </w:p>
        </w:tc>
        <w:tc>
          <w:tcPr>
            <w:tcW w:type="dxa" w:w="2160"/>
          </w:tcPr>
          <w:p>
            <w:r>
              <w:t>High</w:t>
            </w:r>
          </w:p>
        </w:tc>
      </w:tr>
      <w:tr>
        <w:tc>
          <w:tcPr>
            <w:tcW w:type="dxa" w:w="2160"/>
          </w:tcPr>
          <w:p>
            <w:r>
              <w:t>EU AI Act Digital Omnibus, Annex III deferral to Dec 2027</w:t>
            </w:r>
          </w:p>
        </w:tc>
        <w:tc>
          <w:tcPr>
            <w:tcW w:type="dxa" w:w="2160"/>
          </w:tcPr>
          <w:p>
            <w:r>
              <w:t>AI Governance</w:t>
            </w:r>
          </w:p>
        </w:tc>
        <w:tc>
          <w:tcPr>
            <w:tcW w:type="dxa" w:w="2160"/>
          </w:tcPr>
          <w:p>
            <w:r>
              <w:t>Tracked</w:t>
            </w:r>
          </w:p>
        </w:tc>
        <w:tc>
          <w:tcPr>
            <w:tcW w:type="dxa" w:w="2160"/>
          </w:tcPr>
          <w:p>
            <w:r>
              <w:t>Medium</w:t>
            </w:r>
          </w:p>
        </w:tc>
      </w:tr>
    </w:tbl>
    <w:p>
      <w:pPr>
        <w:pStyle w:val="Heading1"/>
      </w:pPr>
      <w:r>
        <w:t>3. Top Critical Risks</w:t>
      </w:r>
    </w:p>
    <w:p>
      <w:r>
        <w:t>Two findings met this week's Critical bar, one short of the usual three; this reflects an actually quieter week for unauthenticated, broadly-exploitable infrastructure flaws rather than a change in review threshold.</w:t>
      </w:r>
    </w:p>
    <w:p>
      <w:pPr>
        <w:pStyle w:val="Heading2"/>
      </w:pPr>
      <w:r>
        <w:t>1. Nation-State Campaign Weaponizing Old, Unpatched Software</w:t>
      </w:r>
    </w:p>
    <w:p>
      <w:r>
        <w:t>A foreign intelligence-linked group, publicly tied by the FBI to a Chinese state-connected company, was caught actively exploiting four security flaws, two to ten years old, that have had fixes available the entire time, against power, transportation, and university targets on multiple continents. Governments issued a joint advisory and the FBI seized infrastructure the group was using to scan for these exact weaknesses. Business impact: this is a governance failure story, not a sophistication story, any organization with a forgotten, unpatched legacy server is a potential target regardless of its size or industry.</w:t>
      </w:r>
    </w:p>
    <w:p>
      <w:pPr>
        <w:pStyle w:val="Heading2"/>
      </w:pPr>
      <w:r>
        <w:t>2. Enterprise Collaboration Platform Breached Within Hours of Disclosure</w:t>
      </w:r>
    </w:p>
    <w:p>
      <w:r>
        <w:t>A critical flaw in widely used Atlassian products, including Jira, Confluence, and Bitbucket, was patched the same day it was disclosed, but attackers began exploiting unpatched systems within hours of technical details going public. In some configurations, the flaw can escalate from reading a single file to full administrator control. Business impact: the gap between 'a patch exists' and 'we are protected' has collapsed to hours for internet-facing enterprise software, not weeks.</w:t>
      </w:r>
    </w:p>
    <w:p>
      <w:pPr>
        <w:pStyle w:val="Heading1"/>
      </w:pPr>
      <w:r>
        <w:t>4. AI Governance Watch</w:t>
      </w:r>
    </w:p>
    <w:p>
      <w:pPr>
        <w:pStyle w:val="ListBullet"/>
      </w:pPr>
      <w:r>
        <w:t>A deprecated AWS tool for building AI agents was found to contain a code-injection flaw, continuing a now-recurring pattern of trust-boundary weaknesses in AI-agent development tooling across major cloud providers; this is the fourth consecutive month this program has logged a finding in this category.</w:t>
      </w:r>
    </w:p>
    <w:p>
      <w:pPr>
        <w:pStyle w:val="ListBullet"/>
      </w:pPr>
      <w:r>
        <w:t>The EU AI Act's Digital Omnibus package took effect, formally pushing the deadline for high-risk AI system obligations from its original date to December 2027. This is a deadline change, not a cancellation, and organizations should not read it as a reason to pause AI-governance preparation.</w:t>
      </w:r>
    </w:p>
    <w:p>
      <w:pPr>
        <w:pStyle w:val="ListBullet"/>
      </w:pPr>
      <w:r>
        <w:t>NIST's draft guidance on using AI tools to help analyze and report against the Cybersecurity Framework is open for public comment through October 15; organizations with a stake in how AI-assisted compliance tooling gets standardized have a narrow window left to weigh in.</w:t>
      </w:r>
    </w:p>
    <w:p>
      <w:pPr>
        <w:pStyle w:val="ListBullet"/>
      </w:pPr>
      <w:r>
        <w:t>The current US administration announced a new interagency AI oversight structure with a 120-day risk report as its first deliverable. It carries no defined technical or compliance obligation yet, worth tracking as emerging federal AI-governance structure, not yet worth building a compliance response around.</w:t>
      </w:r>
    </w:p>
    <w:p>
      <w:pPr>
        <w:pStyle w:val="Heading1"/>
      </w:pPr>
      <w:r>
        <w:t>5. Compliance Posture</w:t>
      </w:r>
    </w:p>
    <w:p>
      <w:r>
        <w:t>FedRAMP's 20x program took an operational step this week: CR26 went live, replacing narrative System Security Plan documentation with Key Security Indicators and machine-readable evidence for authorization Classes A through C (Class D/High stays on the traditional process pending a 2027 pilot). Any organization pursuing or maintaining FedRAMP authorization at Class A-C should expect its evidence package to look different at its next assessment cycle. Separately, the EU AI Act's Annex III high-risk deadline moving to December 2027 gives affected organizations more runway, but the obligation itself is unchanged and should stay on the compliance roadmap rather than drop off it.</w:t>
      </w:r>
    </w:p>
    <w:p>
      <w:pPr>
        <w:pStyle w:val="Heading1"/>
      </w:pPr>
      <w:r>
        <w:t>6. Recommended Executive Actions</w:t>
      </w:r>
    </w:p>
    <w:p>
      <w:pPr>
        <w:pStyle w:val="ListBullet"/>
      </w:pPr>
      <w:r>
        <w:t>Approve an emergency asset-inventory sweep for ProFTPD, BIND, ONLYOFFICE Docs Server, and Strapi, and patch or decommission any instance found. Owner: Vulnerability Management / IT Asset Management. Timeline: 3 business days.</w:t>
      </w:r>
    </w:p>
    <w:p>
      <w:pPr>
        <w:pStyle w:val="ListBullet"/>
      </w:pPr>
      <w:r>
        <w:t>Approve expedited, outside-change-window patch deployment for all self-hosted Atlassian Data Center products and restrict network access to the Crowd identity component. Owner: Application/DevOps Platform and Network Security. Timeline: 48 hours.</w:t>
      </w:r>
    </w:p>
    <w:p>
      <w:pPr>
        <w:pStyle w:val="ListBullet"/>
      </w:pPr>
      <w:r>
        <w:t>Direct AI/ML platform engineering to confirm no production use of the deprecated Bedrock AgentCore Starter Toolkit prior to version 0.3.14, or complete migration to the supported CLI. Owner: AI/ML Platform Engineering. Timeline: 2 weeks.</w:t>
      </w:r>
    </w:p>
    <w:p>
      <w:pPr>
        <w:pStyle w:val="ListBullet"/>
      </w:pPr>
      <w:r>
        <w:t>Direct the AI-governance program to update the EU AI Act compliance roadmap to the confirmed December 2027 Annex III deadline without pausing current preparation work. Owner: AI Governance / Legal. Timeline: 30 days.</w:t>
      </w:r>
    </w:p>
    <w:p>
      <w:pPr>
        <w:pStyle w:val="ListBullet"/>
      </w:pPr>
      <w:r>
        <w:t>If the organization holds or is pursuing FedRAMP authorization at Class A-C, brief the compliance team on the CR26 shift to Key Security Indicators and machine-readable evidence ahead of the next assessment cycle. Owner: Compliance / FedRAMP Program Office. Timeline: 30 days.</w:t>
      </w:r>
    </w:p>
    <w:p>
      <w:pPr>
        <w:pStyle w:val="Heading1"/>
      </w:pPr>
      <w:r>
        <w:t>7. Metrics Summary</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Count</w:t>
            </w:r>
          </w:p>
        </w:tc>
      </w:tr>
      <w:tr>
        <w:tc>
          <w:tcPr>
            <w:tcW w:type="dxa" w:w="4320"/>
          </w:tcPr>
          <w:p>
            <w:r>
              <w:t>New actively-exploited vulnerabilities (CISA KEV) this week</w:t>
            </w:r>
          </w:p>
        </w:tc>
        <w:tc>
          <w:tcPr>
            <w:tcW w:type="dxa" w:w="4320"/>
          </w:tcPr>
          <w:p>
            <w:r>
              <w:t>4</w:t>
            </w:r>
          </w:p>
        </w:tc>
      </w:tr>
      <w:tr>
        <w:tc>
          <w:tcPr>
            <w:tcW w:type="dxa" w:w="4320"/>
          </w:tcPr>
          <w:p>
            <w:r>
              <w:t>New cybersecurity advisories reviewed</w:t>
            </w:r>
          </w:p>
        </w:tc>
        <w:tc>
          <w:tcPr>
            <w:tcW w:type="dxa" w:w="4320"/>
          </w:tcPr>
          <w:p>
            <w:r>
              <w:t>1 (joint international advisory)</w:t>
            </w:r>
          </w:p>
        </w:tc>
      </w:tr>
      <w:tr>
        <w:tc>
          <w:tcPr>
            <w:tcW w:type="dxa" w:w="4320"/>
          </w:tcPr>
          <w:p>
            <w:r>
              <w:t>Cloud provider bulletins reviewed</w:t>
            </w:r>
          </w:p>
        </w:tc>
        <w:tc>
          <w:tcPr>
            <w:tcW w:type="dxa" w:w="4320"/>
          </w:tcPr>
          <w:p>
            <w:r>
              <w:t>1 (AWS)</w:t>
            </w:r>
          </w:p>
        </w:tc>
      </w:tr>
      <w:tr>
        <w:tc>
          <w:tcPr>
            <w:tcW w:type="dxa" w:w="4320"/>
          </w:tcPr>
          <w:p>
            <w:r>
              <w:t>AI governance developments tracked</w:t>
            </w:r>
          </w:p>
        </w:tc>
        <w:tc>
          <w:tcPr>
            <w:tcW w:type="dxa" w:w="4320"/>
          </w:tcPr>
          <w:p>
            <w:r>
              <w:t>3</w:t>
            </w:r>
          </w:p>
        </w:tc>
      </w:tr>
      <w:tr>
        <w:tc>
          <w:tcPr>
            <w:tcW w:type="dxa" w:w="4320"/>
          </w:tcPr>
          <w:p>
            <w:r>
              <w:t>Full case-study bundles built</w:t>
            </w:r>
          </w:p>
        </w:tc>
        <w:tc>
          <w:tcPr>
            <w:tcW w:type="dxa" w:w="4320"/>
          </w:tcPr>
          <w:p>
            <w:r>
              <w:t>2</w:t>
            </w:r>
          </w:p>
        </w:tc>
      </w:tr>
      <w:tr>
        <w:tc>
          <w:tcPr>
            <w:tcW w:type="dxa" w:w="4320"/>
          </w:tcPr>
          <w:p>
            <w:r>
              <w:t>Risk register rows added</w:t>
            </w:r>
          </w:p>
        </w:tc>
        <w:tc>
          <w:tcPr>
            <w:tcW w:type="dxa" w:w="4320"/>
          </w:tcPr>
          <w:p>
            <w:r>
              <w:t>4 (RR-100 - RR-103)</w:t>
            </w:r>
          </w:p>
        </w:tc>
      </w:tr>
      <w:tr>
        <w:tc>
          <w:tcPr>
            <w:tcW w:type="dxa" w:w="4320"/>
          </w:tcPr>
          <w:p>
            <w:r>
              <w:t>Total open risks on register</w:t>
            </w:r>
          </w:p>
        </w:tc>
        <w:tc>
          <w:tcPr>
            <w:tcW w:type="dxa" w:w="4320"/>
          </w:tcPr>
          <w:p>
            <w:r>
              <w:t>103</w:t>
            </w:r>
          </w:p>
        </w:tc>
      </w:tr>
      <w:tr>
        <w:tc>
          <w:tcPr>
            <w:tcW w:type="dxa" w:w="4320"/>
          </w:tcPr>
          <w:p>
            <w:r>
              <w:t>Findings with no vendor patch available at time of report</w:t>
            </w:r>
          </w:p>
        </w:tc>
        <w:tc>
          <w:tcPr>
            <w:tcW w:type="dxa" w:w="4320"/>
          </w:tcPr>
          <w:p>
            <w:r>
              <w:t>0</w:t>
            </w:r>
          </w:p>
        </w:tc>
      </w:tr>
    </w:tbl>
    <w:p/>
    <w:p>
      <w:r>
        <w:t>Prepared as part of the Blaise Kingko GRC Intelligence Program. Sources: CISA Known Exploited Vulnerabilities catalog, Joint Cybersecurity Advisory AA26-281A, Atlassian security advisory, AWS security bulletin, European Union AI Act / Digital Omnibus official guidance, NIST CSRC, and independent security research reporting cited in the accompanying case-study bundles.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