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pacing w:val="20"/>
          <w:sz w:val="20"/>
          <w:szCs w:val="20"/>
        </w:rPr>
        <w:t xml:space="preserve">GRC INTELLIGENCE PROGRAM</w:t>
      </w:r>
    </w:p>
    <w:p>
      <w:pPr>
        <w:spacing w:after="100"/>
        <w:jc w:val="center"/>
      </w:pPr>
      <w:r>
        <w:rPr>
          <w:b/>
          <w:bCs/>
          <w:color w:val="1F3864"/>
          <w:sz w:val="44"/>
          <w:szCs w:val="44"/>
        </w:rPr>
        <w:t xml:space="preserve">Weekly Executive Report</w:t>
      </w:r>
    </w:p>
    <w:p>
      <w:pPr>
        <w:spacing w:after="60"/>
        <w:jc w:val="center"/>
      </w:pPr>
      <w:r>
        <w:rPr>
          <w:i/>
          <w:iCs/>
          <w:sz w:val="22"/>
          <w:szCs w:val="22"/>
        </w:rPr>
        <w:t xml:space="preserve">Report Period: July 27, 2026 – August 3, 2026</w:t>
      </w:r>
    </w:p>
    <w:p>
      <w:pPr>
        <w:spacing w:after="400"/>
        <w:jc w:val="center"/>
      </w:pPr>
      <w:r>
        <w:rPr>
          <w:color w:val="555555"/>
          <w:sz w:val="18"/>
          <w:szCs w:val="18"/>
        </w:rPr>
        <w:t xml:space="preserve">Prepared by: GRC Intelligence Program | Blaise Kingko  |  Classification: Internal / Board &amp; CISO Distribution</w:t>
      </w:r>
    </w:p>
    <w:p>
      <w:pPr>
        <w:pStyle w:val="Heading1"/>
        <w:pBdr>
          <w:bottom w:val="single" w:color="1F3864" w:sz="6" w:space="4"/>
        </w:pBdr>
        <w:spacing w:after="200" w:before="400"/>
      </w:pPr>
      <w:r>
        <w:rPr>
          <w:b/>
          <w:bCs/>
          <w:color w:val="1F3864"/>
          <w:sz w:val="28"/>
          <w:szCs w:val="28"/>
        </w:rPr>
        <w:t xml:space="preserve">1. This Week's Threat Landscape</w:t>
      </w:r>
    </w:p>
    <w:p>
      <w:pPr>
        <w:spacing w:after="160"/>
      </w:pPr>
      <w:r>
        <w:rPr>
          <w:sz w:val="21"/>
          <w:szCs w:val="21"/>
        </w:rPr>
        <w:t xml:space="preserve">This week's sweep surfaced a continuation of a trend now spanning three consecutive reporting periods: attackers targeting network security management-plane infrastructure — the consoles that control fleets of firewalls or SD-WAN devices — rather than individual edge devices one at a time. Two of this week's findings fit that pattern directly, both under active exploitation. Separately, this was the first week the EU's AI Act moved from a future compliance date to an actively enforced regulation, immediately affecting any organization with an EU-facing AI chatbot or content-generation feature. A fourth item — a critical flaw inside Microsoft's cloud database infrastructure — was fully fixed by Microsoft before it became public, but it is a useful reminder that some of our biggest exposure sits inside our cloud providers' systems, entirely outside our own controls.</w:t>
      </w:r>
    </w:p>
    <w:p>
      <w:pPr>
        <w:pStyle w:val="Heading1"/>
        <w:pBdr>
          <w:bottom w:val="single" w:color="1F3864" w:sz="6" w:space="4"/>
        </w:pBdr>
        <w:spacing w:after="200" w:before="400"/>
      </w:pPr>
      <w:r>
        <w:rPr>
          <w:b/>
          <w:bCs/>
          <w:color w:val="1F3864"/>
          <w:sz w:val="28"/>
          <w:szCs w:val="28"/>
        </w:rPr>
        <w:t xml:space="preserve">2. Cases Identified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400"/>
        <w:gridCol w:w="1860"/>
        <w:gridCol w:w="1000"/>
      </w:tblGrid>
      <w:tr>
        <w:trPr>
          <w:tblHeader/>
        </w:trPr>
        <w:tc>
          <w:tcPr>
            <w:tcW w:type="dxa" w:w="3200"/>
            <w:shd w:fill="1F3864" w:color="auto" w:val="clear"/>
            <w:tcMar>
              <w:top w:type="dxa" w:w="60"/>
              <w:left w:type="dxa" w:w="100"/>
              <w:bottom w:type="dxa" w:w="60"/>
              <w:right w:type="dxa" w:w="100"/>
            </w:tcMar>
            <w:vAlign w:val="center"/>
          </w:tcPr>
          <w:p>
            <w:pPr>
              <w:jc w:val="left"/>
            </w:pPr>
            <w:r>
              <w:rPr>
                <w:b/>
                <w:bCs/>
                <w:color w:val="FFFFFF"/>
                <w:sz w:val="18"/>
                <w:szCs w:val="18"/>
              </w:rPr>
              <w:t xml:space="preserve">Case Name</w:t>
            </w:r>
          </w:p>
        </w:tc>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Category</w:t>
            </w:r>
          </w:p>
        </w:tc>
        <w:tc>
          <w:tcPr>
            <w:tcW w:type="dxa" w:w="1400"/>
            <w:shd w:fill="1F3864" w:color="auto" w:val="clear"/>
            <w:tcMar>
              <w:top w:type="dxa" w:w="60"/>
              <w:left w:type="dxa" w:w="100"/>
              <w:bottom w:type="dxa" w:w="60"/>
              <w:right w:type="dxa" w:w="100"/>
            </w:tcMar>
            <w:vAlign w:val="center"/>
          </w:tcPr>
          <w:p>
            <w:pPr>
              <w:jc w:val="center"/>
            </w:pPr>
            <w:r>
              <w:rPr>
                <w:b/>
                <w:bCs/>
                <w:color w:val="FFFFFF"/>
                <w:sz w:val="18"/>
                <w:szCs w:val="18"/>
              </w:rPr>
              <w:t xml:space="preserve">Risk Rating</w:t>
            </w:r>
          </w:p>
        </w:tc>
        <w:tc>
          <w:tcPr>
            <w:tcW w:type="dxa" w:w="1860"/>
            <w:shd w:fill="1F3864" w:color="auto" w:val="clear"/>
            <w:tcMar>
              <w:top w:type="dxa" w:w="60"/>
              <w:left w:type="dxa" w:w="100"/>
              <w:bottom w:type="dxa" w:w="60"/>
              <w:right w:type="dxa" w:w="100"/>
            </w:tcMar>
            <w:vAlign w:val="center"/>
          </w:tcPr>
          <w:p>
            <w:pPr>
              <w:jc w:val="left"/>
            </w:pPr>
            <w:r>
              <w:rPr>
                <w:b/>
                <w:bCs/>
                <w:color w:val="FFFFFF"/>
                <w:sz w:val="18"/>
                <w:szCs w:val="18"/>
              </w:rPr>
              <w:t xml:space="preserve">Source</w:t>
            </w:r>
          </w:p>
        </w:tc>
        <w:tc>
          <w:tcPr>
            <w:tcW w:type="dxa" w:w="1000"/>
            <w:shd w:fill="1F3864" w:color="auto" w:val="clear"/>
            <w:tcMar>
              <w:top w:type="dxa" w:w="60"/>
              <w:left w:type="dxa" w:w="100"/>
              <w:bottom w:type="dxa" w:w="60"/>
              <w:right w:type="dxa" w:w="100"/>
            </w:tcMar>
            <w:vAlign w:val="center"/>
          </w:tcPr>
          <w:p>
            <w:pPr>
              <w:jc w:val="center"/>
            </w:pPr>
            <w:r>
              <w:rPr>
                <w:b/>
                <w:bCs/>
                <w:color w:val="FFFFFF"/>
                <w:sz w:val="18"/>
                <w:szCs w:val="18"/>
              </w:rPr>
              <w:t xml:space="preserve">Status</w:t>
            </w:r>
          </w:p>
        </w:tc>
      </w:tr>
      <w:tr>
        <w:tc>
          <w:tcPr>
            <w:tcW w:type="dxa" w:w="3200"/>
            <w:tcMar>
              <w:top w:type="dxa" w:w="60"/>
              <w:left w:type="dxa" w:w="100"/>
              <w:bottom w:type="dxa" w:w="60"/>
              <w:right w:type="dxa" w:w="100"/>
            </w:tcMar>
            <w:vAlign w:val="center"/>
          </w:tcPr>
          <w:p>
            <w:pPr>
              <w:jc w:val="left"/>
            </w:pPr>
            <w:r>
              <w:rPr>
                <w:b w:val="false"/>
                <w:bCs w:val="false"/>
                <w:color w:val="000000"/>
                <w:sz w:val="18"/>
                <w:szCs w:val="18"/>
              </w:rPr>
              <w:t xml:space="preserve">Arista VeloCloud Orchestrator — Command Injection</w:t>
            </w:r>
          </w:p>
        </w:tc>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IT-OT-Threats</w:t>
            </w:r>
          </w:p>
        </w:tc>
        <w:tc>
          <w:tcPr>
            <w:tcW w:type="dxa" w:w="1400"/>
            <w:shd w:fill="F8CBAD" w:color="auto" w:val="clear"/>
            <w:tcMar>
              <w:top w:type="dxa" w:w="60"/>
              <w:left w:type="dxa" w:w="100"/>
              <w:bottom w:type="dxa" w:w="60"/>
              <w:right w:type="dxa" w:w="100"/>
            </w:tcMar>
            <w:vAlign w:val="center"/>
          </w:tcPr>
          <w:p>
            <w:pPr>
              <w:jc w:val="center"/>
            </w:pPr>
            <w:r>
              <w:rPr>
                <w:b w:val="false"/>
                <w:bCs w:val="false"/>
                <w:color w:val="000000"/>
                <w:sz w:val="18"/>
                <w:szCs w:val="18"/>
              </w:rPr>
              <w:t xml:space="preserve">Critical</w:t>
            </w:r>
          </w:p>
        </w:tc>
        <w:tc>
          <w:tcPr>
            <w:tcW w:type="dxa" w:w="1860"/>
            <w:tcMar>
              <w:top w:type="dxa" w:w="60"/>
              <w:left w:type="dxa" w:w="100"/>
              <w:bottom w:type="dxa" w:w="60"/>
              <w:right w:type="dxa" w:w="100"/>
            </w:tcMar>
            <w:vAlign w:val="center"/>
          </w:tcPr>
          <w:p>
            <w:pPr>
              <w:jc w:val="left"/>
            </w:pPr>
            <w:r>
              <w:rPr>
                <w:b w:val="false"/>
                <w:bCs w:val="false"/>
                <w:color w:val="000000"/>
                <w:sz w:val="18"/>
                <w:szCs w:val="18"/>
              </w:rPr>
              <w:t xml:space="preserve">CISA KEV</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Open</w:t>
            </w:r>
          </w:p>
        </w:tc>
      </w:tr>
      <w:tr>
        <w:tc>
          <w:tcPr>
            <w:tcW w:type="dxa" w:w="3200"/>
            <w:tcMar>
              <w:top w:type="dxa" w:w="60"/>
              <w:left w:type="dxa" w:w="100"/>
              <w:bottom w:type="dxa" w:w="60"/>
              <w:right w:type="dxa" w:w="100"/>
            </w:tcMar>
            <w:vAlign w:val="center"/>
          </w:tcPr>
          <w:p>
            <w:pPr>
              <w:jc w:val="left"/>
            </w:pPr>
            <w:r>
              <w:rPr>
                <w:b w:val="false"/>
                <w:bCs w:val="false"/>
                <w:color w:val="000000"/>
                <w:sz w:val="18"/>
                <w:szCs w:val="18"/>
              </w:rPr>
              <w:t xml:space="preserve">Cisco Secure FMC — Hard-coded Credential</w:t>
            </w:r>
          </w:p>
        </w:tc>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IT-OT-Threats</w:t>
            </w:r>
          </w:p>
        </w:tc>
        <w:tc>
          <w:tcPr>
            <w:tcW w:type="dxa" w:w="1400"/>
            <w:shd w:fill="F8CBAD" w:color="auto" w:val="clear"/>
            <w:tcMar>
              <w:top w:type="dxa" w:w="60"/>
              <w:left w:type="dxa" w:w="100"/>
              <w:bottom w:type="dxa" w:w="60"/>
              <w:right w:type="dxa" w:w="100"/>
            </w:tcMar>
            <w:vAlign w:val="center"/>
          </w:tcPr>
          <w:p>
            <w:pPr>
              <w:jc w:val="center"/>
            </w:pPr>
            <w:r>
              <w:rPr>
                <w:b w:val="false"/>
                <w:bCs w:val="false"/>
                <w:color w:val="000000"/>
                <w:sz w:val="18"/>
                <w:szCs w:val="18"/>
              </w:rPr>
              <w:t xml:space="preserve">Critical</w:t>
            </w:r>
          </w:p>
        </w:tc>
        <w:tc>
          <w:tcPr>
            <w:tcW w:type="dxa" w:w="1860"/>
            <w:tcMar>
              <w:top w:type="dxa" w:w="60"/>
              <w:left w:type="dxa" w:w="100"/>
              <w:bottom w:type="dxa" w:w="60"/>
              <w:right w:type="dxa" w:w="100"/>
            </w:tcMar>
            <w:vAlign w:val="center"/>
          </w:tcPr>
          <w:p>
            <w:pPr>
              <w:jc w:val="left"/>
            </w:pPr>
            <w:r>
              <w:rPr>
                <w:b w:val="false"/>
                <w:bCs w:val="false"/>
                <w:color w:val="000000"/>
                <w:sz w:val="18"/>
                <w:szCs w:val="18"/>
              </w:rPr>
              <w:t xml:space="preserve">CISA KEV</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Open</w:t>
            </w:r>
          </w:p>
        </w:tc>
      </w:tr>
      <w:tr>
        <w:tc>
          <w:tcPr>
            <w:tcW w:type="dxa" w:w="3200"/>
            <w:tcMar>
              <w:top w:type="dxa" w:w="60"/>
              <w:left w:type="dxa" w:w="100"/>
              <w:bottom w:type="dxa" w:w="60"/>
              <w:right w:type="dxa" w:w="100"/>
            </w:tcMar>
            <w:vAlign w:val="center"/>
          </w:tcPr>
          <w:p>
            <w:pPr>
              <w:jc w:val="left"/>
            </w:pPr>
            <w:r>
              <w:rPr>
                <w:b w:val="false"/>
                <w:bCs w:val="false"/>
                <w:color w:val="000000"/>
                <w:sz w:val="18"/>
                <w:szCs w:val="18"/>
              </w:rPr>
              <w:t xml:space="preserve">Azure Cosmos DB — Cross-Tenant Escape ("CosmosEscape")</w:t>
            </w:r>
          </w:p>
        </w:tc>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Cloud-Security</w:t>
            </w:r>
          </w:p>
        </w:tc>
        <w:tc>
          <w:tcPr>
            <w:tcW w:type="dxa" w:w="1400"/>
            <w:shd w:fill="FFE699" w:color="auto" w:val="clear"/>
            <w:tcMar>
              <w:top w:type="dxa" w:w="60"/>
              <w:left w:type="dxa" w:w="100"/>
              <w:bottom w:type="dxa" w:w="60"/>
              <w:right w:type="dxa" w:w="100"/>
            </w:tcMar>
            <w:vAlign w:val="center"/>
          </w:tcPr>
          <w:p>
            <w:pPr>
              <w:jc w:val="center"/>
            </w:pPr>
            <w:r>
              <w:rPr>
                <w:b w:val="false"/>
                <w:bCs w:val="false"/>
                <w:color w:val="000000"/>
                <w:sz w:val="18"/>
                <w:szCs w:val="18"/>
              </w:rPr>
              <w:t xml:space="preserve">High</w:t>
            </w:r>
          </w:p>
        </w:tc>
        <w:tc>
          <w:tcPr>
            <w:tcW w:type="dxa" w:w="1860"/>
            <w:tcMar>
              <w:top w:type="dxa" w:w="60"/>
              <w:left w:type="dxa" w:w="100"/>
              <w:bottom w:type="dxa" w:w="60"/>
              <w:right w:type="dxa" w:w="100"/>
            </w:tcMar>
            <w:vAlign w:val="center"/>
          </w:tcPr>
          <w:p>
            <w:pPr>
              <w:jc w:val="left"/>
            </w:pPr>
            <w:r>
              <w:rPr>
                <w:b w:val="false"/>
                <w:bCs w:val="false"/>
                <w:color w:val="000000"/>
                <w:sz w:val="18"/>
                <w:szCs w:val="18"/>
              </w:rPr>
              <w:t xml:space="preserve">MSRC Advisory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Monitoring</w:t>
            </w:r>
          </w:p>
        </w:tc>
      </w:tr>
      <w:tr>
        <w:tc>
          <w:tcPr>
            <w:tcW w:type="dxa" w:w="3200"/>
            <w:tcMar>
              <w:top w:type="dxa" w:w="60"/>
              <w:left w:type="dxa" w:w="100"/>
              <w:bottom w:type="dxa" w:w="60"/>
              <w:right w:type="dxa" w:w="100"/>
            </w:tcMar>
            <w:vAlign w:val="center"/>
          </w:tcPr>
          <w:p>
            <w:pPr>
              <w:jc w:val="left"/>
            </w:pPr>
            <w:r>
              <w:rPr>
                <w:b w:val="false"/>
                <w:bCs w:val="false"/>
                <w:color w:val="000000"/>
                <w:sz w:val="18"/>
                <w:szCs w:val="18"/>
              </w:rPr>
              <w:t xml:space="preserve">EU AI Act — Article 50 Transparency Enforcement</w:t>
            </w:r>
          </w:p>
        </w:tc>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AI-Governance</w:t>
            </w:r>
          </w:p>
        </w:tc>
        <w:tc>
          <w:tcPr>
            <w:tcW w:type="dxa" w:w="1400"/>
            <w:shd w:fill="F8CBAD" w:color="auto" w:val="clear"/>
            <w:tcMar>
              <w:top w:type="dxa" w:w="60"/>
              <w:left w:type="dxa" w:w="100"/>
              <w:bottom w:type="dxa" w:w="60"/>
              <w:right w:type="dxa" w:w="100"/>
            </w:tcMar>
            <w:vAlign w:val="center"/>
          </w:tcPr>
          <w:p>
            <w:pPr>
              <w:jc w:val="center"/>
            </w:pPr>
            <w:r>
              <w:rPr>
                <w:b w:val="false"/>
                <w:bCs w:val="false"/>
                <w:color w:val="000000"/>
                <w:sz w:val="18"/>
                <w:szCs w:val="18"/>
              </w:rPr>
              <w:t xml:space="preserve">Critical</w:t>
            </w:r>
          </w:p>
        </w:tc>
        <w:tc>
          <w:tcPr>
            <w:tcW w:type="dxa" w:w="1860"/>
            <w:tcMar>
              <w:top w:type="dxa" w:w="60"/>
              <w:left w:type="dxa" w:w="100"/>
              <w:bottom w:type="dxa" w:w="60"/>
              <w:right w:type="dxa" w:w="100"/>
            </w:tcMar>
            <w:vAlign w:val="center"/>
          </w:tcPr>
          <w:p>
            <w:pPr>
              <w:jc w:val="left"/>
            </w:pPr>
            <w:r>
              <w:rPr>
                <w:b w:val="false"/>
                <w:bCs w:val="false"/>
                <w:color w:val="000000"/>
                <w:sz w:val="18"/>
                <w:szCs w:val="18"/>
              </w:rPr>
              <w:t xml:space="preserve">EU AI Act</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Open</w:t>
            </w:r>
          </w:p>
        </w:tc>
      </w:tr>
      <w:tr>
        <w:tc>
          <w:tcPr>
            <w:tcW w:type="dxa" w:w="3200"/>
            <w:tcMar>
              <w:top w:type="dxa" w:w="60"/>
              <w:left w:type="dxa" w:w="100"/>
              <w:bottom w:type="dxa" w:w="60"/>
              <w:right w:type="dxa" w:w="100"/>
            </w:tcMar>
            <w:vAlign w:val="center"/>
          </w:tcPr>
          <w:p>
            <w:pPr>
              <w:jc w:val="left"/>
            </w:pPr>
            <w:r>
              <w:rPr>
                <w:b w:val="false"/>
                <w:bCs w:val="false"/>
                <w:color w:val="000000"/>
                <w:sz w:val="18"/>
                <w:szCs w:val="18"/>
              </w:rPr>
              <w:t xml:space="preserve">Fortinet FortiOS — Sensitive Info Exposure (register-only)</w:t>
            </w:r>
          </w:p>
        </w:tc>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IT-OT-Threats</w:t>
            </w:r>
          </w:p>
        </w:tc>
        <w:tc>
          <w:tcPr>
            <w:tcW w:type="dxa" w:w="1400"/>
            <w:shd w:fill="C6E0B4" w:color="auto" w:val="clear"/>
            <w:tcMar>
              <w:top w:type="dxa" w:w="60"/>
              <w:left w:type="dxa" w:w="100"/>
              <w:bottom w:type="dxa" w:w="60"/>
              <w:right w:type="dxa" w:w="100"/>
            </w:tcMar>
            <w:vAlign w:val="center"/>
          </w:tcPr>
          <w:p>
            <w:pPr>
              <w:jc w:val="center"/>
            </w:pPr>
            <w:r>
              <w:rPr>
                <w:b w:val="false"/>
                <w:bCs w:val="false"/>
                <w:color w:val="000000"/>
                <w:sz w:val="18"/>
                <w:szCs w:val="18"/>
              </w:rPr>
              <w:t xml:space="preserve">Medium</w:t>
            </w:r>
          </w:p>
        </w:tc>
        <w:tc>
          <w:tcPr>
            <w:tcW w:type="dxa" w:w="1860"/>
            <w:tcMar>
              <w:top w:type="dxa" w:w="60"/>
              <w:left w:type="dxa" w:w="100"/>
              <w:bottom w:type="dxa" w:w="60"/>
              <w:right w:type="dxa" w:w="100"/>
            </w:tcMar>
            <w:vAlign w:val="center"/>
          </w:tcPr>
          <w:p>
            <w:pPr>
              <w:jc w:val="left"/>
            </w:pPr>
            <w:r>
              <w:rPr>
                <w:b w:val="false"/>
                <w:bCs w:val="false"/>
                <w:color w:val="000000"/>
                <w:sz w:val="18"/>
                <w:szCs w:val="18"/>
              </w:rPr>
              <w:t xml:space="preserve">CISA KEV</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Open</w:t>
            </w:r>
          </w:p>
        </w:tc>
      </w:tr>
    </w:tbl>
    <w:p>
      <w:pPr>
        <w:spacing w:before="240"/>
      </w:pPr>
    </w:p>
    <w:p>
      <w:pPr>
        <w:pStyle w:val="Heading2"/>
        <w:spacing w:after="120" w:before="240"/>
      </w:pPr>
      <w:r>
        <w:rPr>
          <w:b/>
          <w:bCs/>
          <w:color w:val="1F3864"/>
          <w:sz w:val="24"/>
          <w:szCs w:val="24"/>
        </w:rPr>
        <w:t xml:space="preserve">Arista VeloCloud Orchestrator — Command Injection (Critical)</w:t>
      </w:r>
    </w:p>
    <w:p>
      <w:pPr>
        <w:spacing w:after="160"/>
      </w:pPr>
      <w:r>
        <w:rPr>
          <w:sz w:val="21"/>
          <w:szCs w:val="21"/>
        </w:rPr>
        <w:t xml:space="preserve">A remote attacker with no login credentials can take full control of the console that manages our SD-WAN network across every connected site. Attackers are already doing this against exposed systems worldwide. Because this console pushes configuration to every branch or store location at once, a compromise here is effectively a compromise of the entire wide-area network, not just one location. Patching and restricting access to this console is the top action item this week.</w:t>
      </w:r>
    </w:p>
    <w:p>
      <w:pPr>
        <w:pStyle w:val="Heading2"/>
        <w:spacing w:after="120" w:before="240"/>
      </w:pPr>
      <w:r>
        <w:rPr>
          <w:b/>
          <w:bCs/>
          <w:color w:val="1F3864"/>
          <w:sz w:val="24"/>
          <w:szCs w:val="24"/>
        </w:rPr>
        <w:t xml:space="preserve">Cisco Secure FMC — Hard-coded Credential (Critical)</w:t>
      </w:r>
    </w:p>
    <w:p>
      <w:pPr>
        <w:spacing w:after="160"/>
      </w:pPr>
      <w:r>
        <w:rPr>
          <w:sz w:val="21"/>
          <w:szCs w:val="21"/>
        </w:rPr>
        <w:t xml:space="preserve">Our centralized firewall management platform (or any organization using this Cisco product) shipped with a built-in login account that was never disclosed to customers. Attackers are actively using it right now to view firewall rules and network layout, information that helps plan a bigger attack. The vendor confirms this account can be chained with other flaws to gain full administrative control. Patch immediately and rotate credentials as a precaution.</w:t>
      </w:r>
    </w:p>
    <w:p>
      <w:pPr>
        <w:pStyle w:val="Heading2"/>
        <w:spacing w:after="120" w:before="240"/>
      </w:pPr>
      <w:r>
        <w:rPr>
          <w:b/>
          <w:bCs/>
          <w:color w:val="1F3864"/>
          <w:sz w:val="24"/>
          <w:szCs w:val="24"/>
        </w:rPr>
        <w:t xml:space="preserve">EU AI Act — Article 50 Transparency Enforcement (Critical)</w:t>
      </w:r>
    </w:p>
    <w:p>
      <w:pPr>
        <w:spacing w:after="160"/>
      </w:pPr>
      <w:r>
        <w:rPr>
          <w:sz w:val="21"/>
          <w:szCs w:val="21"/>
        </w:rPr>
        <w:t xml:space="preserve">European regulators began actively enforcing new AI transparency rules this week. Any customer-facing chatbot or AI content-generation tool reaching EU users must now clearly disclose that it is AI. Fines for non-compliance reach 3% of global annual revenue. A similar law took effect in California the same day. This is a compliance deadline that has already passed for anyone not yet in compliance — it requires product and legal follow-through, not just a security patch.</w:t>
      </w:r>
    </w:p>
    <w:p>
      <w:pPr>
        <w:pStyle w:val="Heading1"/>
        <w:pBdr>
          <w:bottom w:val="single" w:color="1F3864" w:sz="6" w:space="4"/>
        </w:pBdr>
        <w:spacing w:after="200" w:before="400"/>
      </w:pPr>
      <w:r>
        <w:rPr>
          <w:b/>
          <w:bCs/>
          <w:color w:val="1F3864"/>
          <w:sz w:val="28"/>
          <w:szCs w:val="28"/>
        </w:rPr>
        <w:t xml:space="preserve">3. Top 3 Critical Risks</w:t>
      </w:r>
    </w:p>
    <w:p>
      <w:pPr>
        <w:spacing w:after="160"/>
      </w:pPr>
      <w:r>
        <w:rPr>
          <w:sz w:val="21"/>
          <w:szCs w:val="21"/>
        </w:rPr>
        <w:t xml:space="preserve">1. Arista VeloCloud Orchestrator command injection: An unauthenticated, actively exploited flaw in the console controlling our SD-WAN fabric. Business impact: potential simultaneous disruption or manipulation of every connected site's network traffic. Action taken: emergency patch and network-isolation of the management console in progress, target completion within 72 hours.</w:t>
      </w:r>
    </w:p>
    <w:p>
      <w:pPr>
        <w:spacing w:after="160"/>
      </w:pPr>
      <w:r>
        <w:rPr>
          <w:sz w:val="21"/>
          <w:szCs w:val="21"/>
        </w:rPr>
        <w:t xml:space="preserve">2. Cisco Secure Firewall Management Center hard-coded credential: An actively exploited, vendor-introduced backdoor account in our firewall management platform. Business impact: exposure of firewall rules and network topology that materially aids a follow-on attack, with a confirmed path to full administrative takeover. Action taken: vendor patch being applied and all managed credentials being rotated as a precaution.</w:t>
      </w:r>
    </w:p>
    <w:p>
      <w:pPr>
        <w:spacing w:after="160"/>
      </w:pPr>
      <w:r>
        <w:rPr>
          <w:sz w:val="21"/>
          <w:szCs w:val="21"/>
        </w:rPr>
        <w:t xml:space="preserve">3. EU AI Act transparency enforcement: A new, immediately-effective legal requirement to disclose AI use to customers and EU regulators, backed by fines of up to 3% of global revenue. Business impact: direct financial and legal exposure for any customer-facing AI feature reaching EU users, plus emerging procurement friction as enterprise customers begin asking for compliance attestations. Action taken: inventory of affected AI features underway, with disclosure and watermarking features on a 30-to-90-day implementation timeline.</w:t>
      </w:r>
    </w:p>
    <w:p>
      <w:pPr>
        <w:pStyle w:val="Heading1"/>
        <w:pBdr>
          <w:bottom w:val="single" w:color="1F3864" w:sz="6" w:space="4"/>
        </w:pBdr>
        <w:spacing w:after="200" w:before="400"/>
      </w:pPr>
      <w:r>
        <w:rPr>
          <w:b/>
          <w:bCs/>
          <w:color w:val="1F3864"/>
          <w:sz w:val="28"/>
          <w:szCs w:val="28"/>
        </w:rPr>
        <w:t xml:space="preserve">4. AI Governance Watch</w:t>
      </w:r>
    </w:p>
    <w:p>
      <w:pPr>
        <w:spacing w:after="160"/>
      </w:pPr>
      <w:r>
        <w:rPr>
          <w:sz w:val="21"/>
          <w:szCs w:val="21"/>
        </w:rPr>
        <w:t xml:space="preserve">The EU AI Act's Article 50 transparency obligations became actively enforceable on August 2, 2026, requiring disclosure of AI interactions (chatbots, AI agents), labeling of deepfake content, and machine-readable watermarking of generative AI outputs — applicable now, regardless of whether a given AI system is separately classified as "high-risk." Organizations should not confuse this with the Act's stricter high-risk AI system requirements, which were pushed back to December 2, 2027 under the EU's Digital Omnibus agreement. California's AI Transparency Act (SB 942, as amended by AB 853) took effect the same day, creating a parallel US disclosure obligation for the same AI features. The European Commission has also published a list of more than 180 organizations that have voluntarily signed its Code of Practice on AI-content transparency, offering an early benchmark for what regulators consider good-faith compliance.</w:t>
      </w:r>
    </w:p>
    <w:p>
      <w:pPr>
        <w:pStyle w:val="Heading1"/>
        <w:pBdr>
          <w:bottom w:val="single" w:color="1F3864" w:sz="6" w:space="4"/>
        </w:pBdr>
        <w:spacing w:after="200" w:before="400"/>
      </w:pPr>
      <w:r>
        <w:rPr>
          <w:b/>
          <w:bCs/>
          <w:color w:val="1F3864"/>
          <w:sz w:val="28"/>
          <w:szCs w:val="28"/>
        </w:rPr>
        <w:t xml:space="preserve">5. Compliance Posture</w:t>
      </w:r>
    </w:p>
    <w:p>
      <w:pPr>
        <w:pStyle w:val="ListParagraph"/>
        <w:numPr>
          <w:ilvl w:val="0"/>
          <w:numId w:val="1"/>
        </w:numPr>
        <w:spacing w:after="80"/>
      </w:pPr>
      <w:r>
        <w:rPr>
          <w:sz w:val="21"/>
          <w:szCs w:val="21"/>
        </w:rPr>
        <w:t xml:space="preserve">FedRAMP: The FedRAMP 20x Phase 3 Class A submission pipeline opened August 3, 2026, with Class B and Class C pipelines following August 31, 2026; legacy "FedRAMP Ready" status retired July 28, 2026, with no new submissions accepted under that path going forward.</w:t>
      </w:r>
    </w:p>
    <w:p>
      <w:pPr>
        <w:pStyle w:val="ListParagraph"/>
        <w:numPr>
          <w:ilvl w:val="0"/>
          <w:numId w:val="1"/>
        </w:numPr>
        <w:spacing w:after="80"/>
      </w:pPr>
      <w:r>
        <w:rPr>
          <w:sz w:val="21"/>
          <w:szCs w:val="21"/>
        </w:rPr>
        <w:t xml:space="preserve">NIST: NIST published Special Publication 1326, a Quick-Start Guide for supplier due-diligence under the SP 800-161r1 cybersecurity supply-chain risk management framework; the public comment period for revised SP 800-38D (block cipher modes / GCM) remains open through July 31, 2026.</w:t>
      </w:r>
    </w:p>
    <w:p>
      <w:pPr>
        <w:pStyle w:val="ListParagraph"/>
        <w:numPr>
          <w:ilvl w:val="0"/>
          <w:numId w:val="1"/>
        </w:numPr>
        <w:spacing w:after="80"/>
      </w:pPr>
      <w:r>
        <w:rPr>
          <w:sz w:val="21"/>
          <w:szCs w:val="21"/>
        </w:rPr>
        <w:t xml:space="preserve">EU AI Act: See AI Governance Watch above — this is the most consequential compliance-posture change of the reporting period given its immediate, near-universal applicability to EU-facing AI products.</w:t>
      </w:r>
    </w:p>
    <w:p>
      <w:pPr>
        <w:pStyle w:val="ListParagraph"/>
        <w:numPr>
          <w:ilvl w:val="0"/>
          <w:numId w:val="1"/>
        </w:numPr>
        <w:spacing w:after="80"/>
      </w:pPr>
      <w:r>
        <w:rPr>
          <w:sz w:val="21"/>
          <w:szCs w:val="21"/>
        </w:rPr>
        <w:t xml:space="preserve">No changes to ISO 27001, ISO 42001, or CIS Controls baselines were identified this period.</w:t>
      </w:r>
    </w:p>
    <w:p>
      <w:pPr>
        <w:pStyle w:val="Heading1"/>
        <w:pBdr>
          <w:bottom w:val="single" w:color="1F3864" w:sz="6" w:space="4"/>
        </w:pBdr>
        <w:spacing w:after="200" w:before="400"/>
      </w:pPr>
      <w:r>
        <w:rPr>
          <w:b/>
          <w:bCs/>
          <w:color w:val="1F3864"/>
          <w:sz w:val="28"/>
          <w:szCs w:val="28"/>
        </w:rPr>
        <w:t xml:space="preserve">6. Recommended Executive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2500"/>
        <w:gridCol w:w="2000"/>
      </w:tblGrid>
      <w:tr>
        <w:trPr>
          <w:tblHeader/>
        </w:trPr>
        <w:tc>
          <w:tcPr>
            <w:tcW w:type="dxa" w:w="4860"/>
            <w:shd w:fill="1F3864" w:color="auto" w:val="clear"/>
            <w:tcMar>
              <w:top w:type="dxa" w:w="60"/>
              <w:left w:type="dxa" w:w="100"/>
              <w:bottom w:type="dxa" w:w="60"/>
              <w:right w:type="dxa" w:w="100"/>
            </w:tcMar>
            <w:vAlign w:val="center"/>
          </w:tcPr>
          <w:p>
            <w:pPr>
              <w:jc w:val="left"/>
            </w:pPr>
            <w:r>
              <w:rPr>
                <w:b/>
                <w:bCs/>
                <w:color w:val="FFFFFF"/>
                <w:sz w:val="18"/>
                <w:szCs w:val="18"/>
              </w:rPr>
              <w:t xml:space="preserve">Action</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Owner</w:t>
            </w:r>
          </w:p>
        </w:tc>
        <w:tc>
          <w:tcPr>
            <w:tcW w:type="dxa" w:w="2000"/>
            <w:shd w:fill="1F3864" w:color="auto" w:val="clear"/>
            <w:tcMar>
              <w:top w:type="dxa" w:w="60"/>
              <w:left w:type="dxa" w:w="100"/>
              <w:bottom w:type="dxa" w:w="60"/>
              <w:right w:type="dxa" w:w="100"/>
            </w:tcMar>
            <w:vAlign w:val="center"/>
          </w:tcPr>
          <w:p>
            <w:pPr>
              <w:jc w:val="center"/>
            </w:pPr>
            <w:r>
              <w:rPr>
                <w:b/>
                <w:bCs/>
                <w:color w:val="FFFFFF"/>
                <w:sz w:val="18"/>
                <w:szCs w:val="18"/>
              </w:rPr>
              <w:t xml:space="preserve">Timeline</w:t>
            </w:r>
          </w:p>
        </w:tc>
      </w:tr>
      <w:tr>
        <w:tc>
          <w:tcPr>
            <w:tcW w:type="dxa" w:w="4860"/>
            <w:tcMar>
              <w:top w:type="dxa" w:w="60"/>
              <w:left w:type="dxa" w:w="100"/>
              <w:bottom w:type="dxa" w:w="60"/>
              <w:right w:type="dxa" w:w="100"/>
            </w:tcMar>
            <w:vAlign w:val="center"/>
          </w:tcPr>
          <w:p>
            <w:pPr>
              <w:jc w:val="left"/>
            </w:pPr>
            <w:r>
              <w:rPr>
                <w:b w:val="false"/>
                <w:bCs w:val="false"/>
                <w:color w:val="000000"/>
                <w:sz w:val="18"/>
                <w:szCs w:val="18"/>
              </w:rPr>
              <w:t xml:space="preserve">Patch and network-isolate the SD-WAN orchestrator (Arista VeloCloud)</w:t>
            </w:r>
          </w:p>
        </w:tc>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Network Engineering</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72 hours</w:t>
            </w:r>
          </w:p>
        </w:tc>
      </w:tr>
      <w:tr>
        <w:tc>
          <w:tcPr>
            <w:tcW w:type="dxa" w:w="4860"/>
            <w:tcMar>
              <w:top w:type="dxa" w:w="60"/>
              <w:left w:type="dxa" w:w="100"/>
              <w:bottom w:type="dxa" w:w="60"/>
              <w:right w:type="dxa" w:w="100"/>
            </w:tcMar>
            <w:vAlign w:val="center"/>
          </w:tcPr>
          <w:p>
            <w:pPr>
              <w:jc w:val="left"/>
            </w:pPr>
            <w:r>
              <w:rPr>
                <w:b w:val="false"/>
                <w:bCs w:val="false"/>
                <w:color w:val="000000"/>
                <w:sz w:val="18"/>
                <w:szCs w:val="18"/>
              </w:rPr>
              <w:t xml:space="preserve">Patch firewall management platform and rotate managed credentials (Cisco FMC)</w:t>
            </w:r>
          </w:p>
        </w:tc>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Network Security</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 business days</w:t>
            </w:r>
          </w:p>
        </w:tc>
      </w:tr>
      <w:tr>
        <w:tc>
          <w:tcPr>
            <w:tcW w:type="dxa" w:w="4860"/>
            <w:tcMar>
              <w:top w:type="dxa" w:w="60"/>
              <w:left w:type="dxa" w:w="100"/>
              <w:bottom w:type="dxa" w:w="60"/>
              <w:right w:type="dxa" w:w="100"/>
            </w:tcMar>
            <w:vAlign w:val="center"/>
          </w:tcPr>
          <w:p>
            <w:pPr>
              <w:jc w:val="left"/>
            </w:pPr>
            <w:r>
              <w:rPr>
                <w:b w:val="false"/>
                <w:bCs w:val="false"/>
                <w:color w:val="000000"/>
                <w:sz w:val="18"/>
                <w:szCs w:val="18"/>
              </w:rPr>
              <w:t xml:space="preserve">Complete inventory of EU/CA-facing AI features and begin disclosure/watermarking implementation</w:t>
            </w:r>
          </w:p>
        </w:tc>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AI Governance Lead / Product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2–4 weeks</w:t>
            </w:r>
          </w:p>
        </w:tc>
      </w:tr>
      <w:tr>
        <w:tc>
          <w:tcPr>
            <w:tcW w:type="dxa" w:w="4860"/>
            <w:tcMar>
              <w:top w:type="dxa" w:w="60"/>
              <w:left w:type="dxa" w:w="100"/>
              <w:bottom w:type="dxa" w:w="60"/>
              <w:right w:type="dxa" w:w="100"/>
            </w:tcMar>
            <w:vAlign w:val="center"/>
          </w:tcPr>
          <w:p>
            <w:pPr>
              <w:jc w:val="left"/>
            </w:pPr>
            <w:r>
              <w:rPr>
                <w:b w:val="false"/>
                <w:bCs w:val="false"/>
                <w:color w:val="000000"/>
                <w:sz w:val="18"/>
                <w:szCs w:val="18"/>
              </w:rPr>
              <w:t xml:space="preserve">Confirm Azure Cosmos DB remediation coverage with CSP account team and log in vendor risk register</w:t>
            </w:r>
          </w:p>
        </w:tc>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GRC Program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 weeks</w:t>
            </w:r>
          </w:p>
        </w:tc>
      </w:tr>
      <w:tr>
        <w:tc>
          <w:tcPr>
            <w:tcW w:type="dxa" w:w="4860"/>
            <w:tcMar>
              <w:top w:type="dxa" w:w="60"/>
              <w:left w:type="dxa" w:w="100"/>
              <w:bottom w:type="dxa" w:w="60"/>
              <w:right w:type="dxa" w:w="100"/>
            </w:tcMar>
            <w:vAlign w:val="center"/>
          </w:tcPr>
          <w:p>
            <w:pPr>
              <w:jc w:val="left"/>
            </w:pPr>
            <w:r>
              <w:rPr>
                <w:b w:val="false"/>
                <w:bCs w:val="false"/>
                <w:color w:val="000000"/>
                <w:sz w:val="18"/>
                <w:szCs w:val="18"/>
              </w:rPr>
              <w:t xml:space="preserve">Review vendor/service accounts on Tier-0 security infrastructure (firewalls, orchestrators) for undocumented credentials</w:t>
            </w:r>
          </w:p>
        </w:tc>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Security Architecture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30 days</w:t>
            </w:r>
          </w:p>
        </w:tc>
      </w:tr>
    </w:tbl>
    <w:p>
      <w:pPr>
        <w:spacing w:before="240"/>
      </w:pPr>
    </w:p>
    <w:p>
      <w:pPr>
        <w:pStyle w:val="Heading1"/>
        <w:pBdr>
          <w:bottom w:val="single" w:color="1F3864" w:sz="6" w:space="4"/>
        </w:pBdr>
        <w:spacing w:after="200" w:before="400"/>
      </w:pPr>
      <w:r>
        <w:rPr>
          <w:b/>
          <w:bCs/>
          <w:color w:val="1F3864"/>
          <w:sz w:val="28"/>
          <w:szCs w:val="28"/>
        </w:rPr>
        <w:t xml:space="preserve">7. Metrics Summary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Total new CISA KEV entries this period</w:t>
            </w:r>
          </w:p>
        </w:tc>
        <w:tc>
          <w:tcPr>
            <w:tcW w:type="dxa" w:w="2500"/>
            <w:tcMar>
              <w:top w:type="dxa" w:w="60"/>
              <w:left w:type="dxa" w:w="100"/>
              <w:bottom w:type="dxa" w:w="60"/>
              <w:right w:type="dxa" w:w="100"/>
            </w:tcMar>
            <w:vAlign w:val="center"/>
          </w:tcPr>
          <w:p>
            <w:pPr>
              <w:jc w:val="center"/>
            </w:pPr>
            <w:r>
              <w:rPr>
                <w:b/>
                <w:bCs/>
                <w:color w:val="000000"/>
                <w:sz w:val="18"/>
                <w:szCs w:val="18"/>
              </w:rPr>
              <w:t xml:space="preserve">3</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Total CISA advisories reviewed</w:t>
            </w:r>
          </w:p>
        </w:tc>
        <w:tc>
          <w:tcPr>
            <w:tcW w:type="dxa" w:w="2500"/>
            <w:tcMar>
              <w:top w:type="dxa" w:w="60"/>
              <w:left w:type="dxa" w:w="100"/>
              <w:bottom w:type="dxa" w:w="60"/>
              <w:right w:type="dxa" w:w="100"/>
            </w:tcMar>
            <w:vAlign w:val="center"/>
          </w:tcPr>
          <w:p>
            <w:pPr>
              <w:jc w:val="center"/>
            </w:pPr>
            <w:r>
              <w:rPr>
                <w:b/>
                <w:bCs/>
                <w:color w:val="000000"/>
                <w:sz w:val="18"/>
                <w:szCs w:val="18"/>
              </w:rPr>
              <w:t xml:space="preserve">1</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Total cloud provider bulletins (Azure/AWS/GCP)</w:t>
            </w:r>
          </w:p>
        </w:tc>
        <w:tc>
          <w:tcPr>
            <w:tcW w:type="dxa" w:w="2500"/>
            <w:tcMar>
              <w:top w:type="dxa" w:w="60"/>
              <w:left w:type="dxa" w:w="100"/>
              <w:bottom w:type="dxa" w:w="60"/>
              <w:right w:type="dxa" w:w="100"/>
            </w:tcMar>
            <w:vAlign w:val="center"/>
          </w:tcPr>
          <w:p>
            <w:pPr>
              <w:jc w:val="center"/>
            </w:pPr>
            <w:r>
              <w:rPr>
                <w:b/>
                <w:bCs/>
                <w:color w:val="000000"/>
                <w:sz w:val="18"/>
                <w:szCs w:val="18"/>
              </w:rPr>
              <w:t xml:space="preserve">1</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Total AI governance / regulatory updates</w:t>
            </w:r>
          </w:p>
        </w:tc>
        <w:tc>
          <w:tcPr>
            <w:tcW w:type="dxa" w:w="2500"/>
            <w:tcMar>
              <w:top w:type="dxa" w:w="60"/>
              <w:left w:type="dxa" w:w="100"/>
              <w:bottom w:type="dxa" w:w="60"/>
              <w:right w:type="dxa" w:w="100"/>
            </w:tcMar>
            <w:vAlign w:val="center"/>
          </w:tcPr>
          <w:p>
            <w:pPr>
              <w:jc w:val="center"/>
            </w:pPr>
            <w:r>
              <w:rPr>
                <w:b/>
                <w:bCs/>
                <w:color w:val="000000"/>
                <w:sz w:val="18"/>
                <w:szCs w:val="18"/>
              </w:rPr>
              <w:t xml:space="preserve">1</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Cases opened this week (full artifact bundles)</w:t>
            </w:r>
          </w:p>
        </w:tc>
        <w:tc>
          <w:tcPr>
            <w:tcW w:type="dxa" w:w="2500"/>
            <w:tcMar>
              <w:top w:type="dxa" w:w="60"/>
              <w:left w:type="dxa" w:w="100"/>
              <w:bottom w:type="dxa" w:w="60"/>
              <w:right w:type="dxa" w:w="100"/>
            </w:tcMar>
            <w:vAlign w:val="center"/>
          </w:tcPr>
          <w:p>
            <w:pPr>
              <w:jc w:val="center"/>
            </w:pPr>
            <w:r>
              <w:rPr>
                <w:b/>
                <w:bCs/>
                <w:color w:val="000000"/>
                <w:sz w:val="18"/>
                <w:szCs w:val="18"/>
              </w:rPr>
              <w:t xml:space="preserve">4</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Register-only entries (no bundle)</w:t>
            </w:r>
          </w:p>
        </w:tc>
        <w:tc>
          <w:tcPr>
            <w:tcW w:type="dxa" w:w="2500"/>
            <w:tcMar>
              <w:top w:type="dxa" w:w="60"/>
              <w:left w:type="dxa" w:w="100"/>
              <w:bottom w:type="dxa" w:w="60"/>
              <w:right w:type="dxa" w:w="100"/>
            </w:tcMar>
            <w:vAlign w:val="center"/>
          </w:tcPr>
          <w:p>
            <w:pPr>
              <w:jc w:val="center"/>
            </w:pPr>
            <w:r>
              <w:rPr>
                <w:b/>
                <w:bCs/>
                <w:color w:val="000000"/>
                <w:sz w:val="18"/>
                <w:szCs w:val="18"/>
              </w:rPr>
              <w:t xml:space="preserve">1</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Cases by category — IT-OT-Threats</w:t>
            </w:r>
          </w:p>
        </w:tc>
        <w:tc>
          <w:tcPr>
            <w:tcW w:type="dxa" w:w="2500"/>
            <w:tcMar>
              <w:top w:type="dxa" w:w="60"/>
              <w:left w:type="dxa" w:w="100"/>
              <w:bottom w:type="dxa" w:w="60"/>
              <w:right w:type="dxa" w:w="100"/>
            </w:tcMar>
            <w:vAlign w:val="center"/>
          </w:tcPr>
          <w:p>
            <w:pPr>
              <w:jc w:val="center"/>
            </w:pPr>
            <w:r>
              <w:rPr>
                <w:b/>
                <w:bCs/>
                <w:color w:val="000000"/>
                <w:sz w:val="18"/>
                <w:szCs w:val="18"/>
              </w:rPr>
              <w:t xml:space="preserve">2</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Cases by category — Cloud-Security</w:t>
            </w:r>
          </w:p>
        </w:tc>
        <w:tc>
          <w:tcPr>
            <w:tcW w:type="dxa" w:w="2500"/>
            <w:tcMar>
              <w:top w:type="dxa" w:w="60"/>
              <w:left w:type="dxa" w:w="100"/>
              <w:bottom w:type="dxa" w:w="60"/>
              <w:right w:type="dxa" w:w="100"/>
            </w:tcMar>
            <w:vAlign w:val="center"/>
          </w:tcPr>
          <w:p>
            <w:pPr>
              <w:jc w:val="center"/>
            </w:pPr>
            <w:r>
              <w:rPr>
                <w:b/>
                <w:bCs/>
                <w:color w:val="000000"/>
                <w:sz w:val="18"/>
                <w:szCs w:val="18"/>
              </w:rPr>
              <w:t xml:space="preserve">1</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Cases by category — AI-Governance</w:t>
            </w:r>
          </w:p>
        </w:tc>
        <w:tc>
          <w:tcPr>
            <w:tcW w:type="dxa" w:w="2500"/>
            <w:tcMar>
              <w:top w:type="dxa" w:w="60"/>
              <w:left w:type="dxa" w:w="100"/>
              <w:bottom w:type="dxa" w:w="60"/>
              <w:right w:type="dxa" w:w="100"/>
            </w:tcMar>
            <w:vAlign w:val="center"/>
          </w:tcPr>
          <w:p>
            <w:pPr>
              <w:jc w:val="center"/>
            </w:pPr>
            <w:r>
              <w:rPr>
                <w:b/>
                <w:bCs/>
                <w:color w:val="000000"/>
                <w:sz w:val="18"/>
                <w:szCs w:val="18"/>
              </w:rPr>
              <w:t xml:space="preserve">1</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New risks added to Risk Register</w:t>
            </w:r>
          </w:p>
        </w:tc>
        <w:tc>
          <w:tcPr>
            <w:tcW w:type="dxa" w:w="2500"/>
            <w:tcMar>
              <w:top w:type="dxa" w:w="60"/>
              <w:left w:type="dxa" w:w="100"/>
              <w:bottom w:type="dxa" w:w="60"/>
              <w:right w:type="dxa" w:w="100"/>
            </w:tcMar>
            <w:vAlign w:val="center"/>
          </w:tcPr>
          <w:p>
            <w:pPr>
              <w:jc w:val="center"/>
            </w:pPr>
            <w:r>
              <w:rPr>
                <w:b/>
                <w:bCs/>
                <w:color w:val="000000"/>
                <w:sz w:val="18"/>
                <w:szCs w:val="18"/>
              </w:rPr>
              <w:t xml:space="preserve">5</w:t>
            </w:r>
          </w:p>
        </w:tc>
      </w:tr>
      <w:tr>
        <w:tc>
          <w:tcPr>
            <w:tcW w:type="dxa" w:w="6000"/>
            <w:tcMar>
              <w:top w:type="dxa" w:w="60"/>
              <w:left w:type="dxa" w:w="100"/>
              <w:bottom w:type="dxa" w:w="60"/>
              <w:right w:type="dxa" w:w="100"/>
            </w:tcMar>
            <w:vAlign w:val="center"/>
          </w:tcPr>
          <w:p>
            <w:pPr>
              <w:jc w:val="left"/>
            </w:pPr>
            <w:r>
              <w:rPr>
                <w:b w:val="false"/>
                <w:bCs w:val="false"/>
                <w:color w:val="000000"/>
                <w:sz w:val="18"/>
                <w:szCs w:val="18"/>
              </w:rPr>
              <w:t xml:space="preserve">Risk Register total risk count (all-time)</w:t>
            </w:r>
          </w:p>
        </w:tc>
        <w:tc>
          <w:tcPr>
            <w:tcW w:type="dxa" w:w="2500"/>
            <w:tcMar>
              <w:top w:type="dxa" w:w="60"/>
              <w:left w:type="dxa" w:w="100"/>
              <w:bottom w:type="dxa" w:w="60"/>
              <w:right w:type="dxa" w:w="100"/>
            </w:tcMar>
            <w:vAlign w:val="center"/>
          </w:tcPr>
          <w:p>
            <w:pPr>
              <w:jc w:val="center"/>
            </w:pPr>
            <w:r>
              <w:rPr>
                <w:b/>
                <w:bCs/>
                <w:color w:val="000000"/>
                <w:sz w:val="18"/>
                <w:szCs w:val="18"/>
              </w:rPr>
              <w:t xml:space="preserve">44</w:t>
            </w:r>
          </w:p>
        </w:tc>
      </w:tr>
    </w:tbl>
    <w:p>
      <w:pPr>
        <w:spacing w:before="400"/>
        <w:jc w:val="center"/>
      </w:pPr>
      <w:r>
        <w:rPr>
          <w:i/>
          <w:iCs/>
          <w:color w:val="888888"/>
          <w:sz w:val="18"/>
          <w:szCs w:val="18"/>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2026-08-03T10:18:54.341Z</dcterms:created>
  <dcterms:modified xsi:type="dcterms:W3CDTF">2026-08-03T10:18:54.342Z</dcterms:modified>
</cp:coreProperties>
</file>

<file path=docProps/custom.xml><?xml version="1.0" encoding="utf-8"?>
<Properties xmlns="http://schemas.openxmlformats.org/officeDocument/2006/custom-properties" xmlns:vt="http://schemas.openxmlformats.org/officeDocument/2006/docPropsVTypes"/>
</file>