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9628" w14:textId="77777777" w:rsidR="00A64494" w:rsidRPr="00A64494" w:rsidRDefault="00A64494" w:rsidP="00A64494">
      <w:pPr>
        <w:rPr>
          <w:rFonts w:ascii="Times New Roman" w:hAnsi="Times New Roman" w:cs="Times New Roman"/>
          <w:b/>
          <w:bCs/>
          <w:i/>
          <w:iCs/>
        </w:rPr>
      </w:pPr>
      <w:r w:rsidRPr="00A64494">
        <w:rPr>
          <w:rFonts w:ascii="Times New Roman" w:hAnsi="Times New Roman" w:cs="Times New Roman"/>
          <w:b/>
          <w:bCs/>
          <w:i/>
          <w:iCs/>
        </w:rPr>
        <w:t>Background</w:t>
      </w:r>
    </w:p>
    <w:p w14:paraId="3EBD2F6C" w14:textId="634357EB" w:rsidR="00A64494" w:rsidRPr="00A64494" w:rsidRDefault="00A64494" w:rsidP="00A64494">
      <w:pPr>
        <w:rPr>
          <w:rFonts w:ascii="Times New Roman" w:hAnsi="Times New Roman" w:cs="Times New Roman"/>
        </w:rPr>
      </w:pPr>
      <w:proofErr w:type="spellStart"/>
      <w:r w:rsidRPr="00A64494">
        <w:rPr>
          <w:rFonts w:ascii="Times New Roman" w:hAnsi="Times New Roman" w:cs="Times New Roman"/>
        </w:rPr>
        <w:t>Arcartia</w:t>
      </w:r>
      <w:proofErr w:type="spellEnd"/>
      <w:r w:rsidRPr="00A64494">
        <w:rPr>
          <w:rFonts w:ascii="Times New Roman" w:hAnsi="Times New Roman" w:cs="Times New Roman"/>
        </w:rPr>
        <w:t xml:space="preserve"> </w:t>
      </w:r>
      <w:proofErr w:type="spellStart"/>
      <w:r w:rsidRPr="00A64494">
        <w:rPr>
          <w:rFonts w:ascii="Times New Roman" w:hAnsi="Times New Roman" w:cs="Times New Roman"/>
        </w:rPr>
        <w:t>tonsa</w:t>
      </w:r>
      <w:proofErr w:type="spellEnd"/>
      <w:r w:rsidRPr="00A64494">
        <w:rPr>
          <w:rFonts w:ascii="Times New Roman" w:hAnsi="Times New Roman" w:cs="Times New Roman"/>
        </w:rPr>
        <w:t xml:space="preserve"> is a marine copepod species with a global distribution</w:t>
      </w:r>
      <w:r>
        <w:rPr>
          <w:rFonts w:ascii="Times New Roman" w:hAnsi="Times New Roman" w:cs="Times New Roman"/>
        </w:rPr>
        <w:t xml:space="preserve"> and an</w:t>
      </w:r>
      <w:r w:rsidRPr="00A64494">
        <w:rPr>
          <w:rFonts w:ascii="Times New Roman" w:hAnsi="Times New Roman" w:cs="Times New Roman"/>
        </w:rPr>
        <w:t xml:space="preserve"> important members of marine </w:t>
      </w:r>
      <w:r>
        <w:rPr>
          <w:rFonts w:ascii="Times New Roman" w:hAnsi="Times New Roman" w:cs="Times New Roman"/>
        </w:rPr>
        <w:t>food chains.</w:t>
      </w:r>
      <w:r w:rsidRPr="00A64494">
        <w:rPr>
          <w:rFonts w:ascii="Times New Roman" w:hAnsi="Times New Roman" w:cs="Times New Roman"/>
        </w:rPr>
        <w:t xml:space="preserve"> As oceans warm, these marine copepods serve as indicators of overall ecosystem health and plasticity. The health of </w:t>
      </w:r>
      <w:proofErr w:type="spellStart"/>
      <w:r w:rsidRPr="00A64494">
        <w:rPr>
          <w:rFonts w:ascii="Times New Roman" w:hAnsi="Times New Roman" w:cs="Times New Roman"/>
        </w:rPr>
        <w:t>A.tonsa</w:t>
      </w:r>
      <w:proofErr w:type="spellEnd"/>
      <w:r w:rsidRPr="00A64494">
        <w:rPr>
          <w:rFonts w:ascii="Times New Roman" w:hAnsi="Times New Roman" w:cs="Times New Roman"/>
        </w:rPr>
        <w:t xml:space="preserve"> has implications for the economic viability of many fisheries, making it important to study how environmental changes</w:t>
      </w:r>
      <w:r>
        <w:rPr>
          <w:rFonts w:ascii="Times New Roman" w:hAnsi="Times New Roman" w:cs="Times New Roman"/>
        </w:rPr>
        <w:t xml:space="preserve"> impact the species</w:t>
      </w:r>
      <w:r w:rsidRPr="00A64494">
        <w:rPr>
          <w:rFonts w:ascii="Times New Roman" w:hAnsi="Times New Roman" w:cs="Times New Roman"/>
        </w:rPr>
        <w:t xml:space="preserve">. One thousand </w:t>
      </w:r>
      <w:proofErr w:type="spellStart"/>
      <w:r w:rsidRPr="00A64494">
        <w:rPr>
          <w:rFonts w:ascii="Times New Roman" w:hAnsi="Times New Roman" w:cs="Times New Roman"/>
        </w:rPr>
        <w:t>A.tonsa</w:t>
      </w:r>
      <w:proofErr w:type="spellEnd"/>
      <w:r w:rsidRPr="00A64494">
        <w:rPr>
          <w:rFonts w:ascii="Times New Roman" w:hAnsi="Times New Roman" w:cs="Times New Roman"/>
        </w:rPr>
        <w:t xml:space="preserve"> individuals were collected from a coastal ecosystem in Groton, CT and raised for three generations prior to exposure to treatments. Copepods were experimentally evolved for 20 generations in ambient environments (line - AA), or high temperature high CO2 environments (line - HH) with 4 replicates each. </w:t>
      </w:r>
      <w:r>
        <w:rPr>
          <w:rFonts w:ascii="Times New Roman" w:hAnsi="Times New Roman" w:cs="Times New Roman"/>
        </w:rPr>
        <w:t>C</w:t>
      </w:r>
      <w:r w:rsidRPr="00A64494">
        <w:rPr>
          <w:rFonts w:ascii="Times New Roman" w:hAnsi="Times New Roman" w:cs="Times New Roman"/>
        </w:rPr>
        <w:t xml:space="preserve">opepods were </w:t>
      </w:r>
      <w:r>
        <w:rPr>
          <w:rFonts w:ascii="Times New Roman" w:hAnsi="Times New Roman" w:cs="Times New Roman"/>
        </w:rPr>
        <w:t xml:space="preserve">then </w:t>
      </w:r>
      <w:r w:rsidRPr="00A64494">
        <w:rPr>
          <w:rFonts w:ascii="Times New Roman" w:hAnsi="Times New Roman" w:cs="Times New Roman"/>
        </w:rPr>
        <w:t xml:space="preserve">reciprocally transplanted to AA or HH conditions for 3 generations, resulting in 4 distinct treatments (AAHH, AAAA, HHHH,HHAA) with 4 replicates. After one (F1) and three (F3) generations, 20 individuals were collected from each replicate for all treatments and used to extract RNA. RNA was sequenced using 150 bp paired end reads on the Illumina </w:t>
      </w:r>
      <w:proofErr w:type="spellStart"/>
      <w:r w:rsidRPr="00A64494">
        <w:rPr>
          <w:rFonts w:ascii="Times New Roman" w:hAnsi="Times New Roman" w:cs="Times New Roman"/>
        </w:rPr>
        <w:t>NovaSeq</w:t>
      </w:r>
      <w:proofErr w:type="spellEnd"/>
      <w:r w:rsidRPr="00A64494">
        <w:rPr>
          <w:rFonts w:ascii="Times New Roman" w:hAnsi="Times New Roman" w:cs="Times New Roman"/>
        </w:rPr>
        <w:t xml:space="preserve"> 6000 platform for </w:t>
      </w:r>
      <w:proofErr w:type="spellStart"/>
      <w:r w:rsidRPr="00A64494">
        <w:rPr>
          <w:rFonts w:ascii="Times New Roman" w:hAnsi="Times New Roman" w:cs="Times New Roman"/>
        </w:rPr>
        <w:t>RNAseq</w:t>
      </w:r>
      <w:proofErr w:type="spellEnd"/>
      <w:r w:rsidRPr="00A64494">
        <w:rPr>
          <w:rFonts w:ascii="Times New Roman" w:hAnsi="Times New Roman" w:cs="Times New Roman"/>
        </w:rPr>
        <w:t xml:space="preserve">. Sequencing was conducted by </w:t>
      </w:r>
      <w:proofErr w:type="spellStart"/>
      <w:r w:rsidRPr="00A64494">
        <w:rPr>
          <w:rFonts w:ascii="Times New Roman" w:hAnsi="Times New Roman" w:cs="Times New Roman"/>
        </w:rPr>
        <w:t>Novogene</w:t>
      </w:r>
      <w:proofErr w:type="spellEnd"/>
      <w:r w:rsidRPr="00A64494">
        <w:rPr>
          <w:rFonts w:ascii="Times New Roman" w:hAnsi="Times New Roman" w:cs="Times New Roman"/>
        </w:rPr>
        <w:t xml:space="preserve"> who also handled the library preparation.</w:t>
      </w:r>
      <w:r w:rsidR="0037382C">
        <w:rPr>
          <w:rFonts w:ascii="Times New Roman" w:hAnsi="Times New Roman" w:cs="Times New Roman"/>
        </w:rPr>
        <w:t xml:space="preserve"> </w:t>
      </w:r>
      <w:r w:rsidRPr="00A64494">
        <w:rPr>
          <w:rFonts w:ascii="Times New Roman" w:hAnsi="Times New Roman" w:cs="Times New Roman"/>
        </w:rPr>
        <w:t>The goal of the experiment was to understand how a) both evolved and transplant environment impact gene expression and b) time in transplant environment impacts gene expression. I hypothesize that copepods’ evolved environment (“line”) will have a greater impact on gene expression, but that this will degrade with time in the transplant environment (“environment”).</w:t>
      </w:r>
    </w:p>
    <w:p w14:paraId="7AD112B4" w14:textId="77777777" w:rsidR="00A64494" w:rsidRPr="00A64494" w:rsidRDefault="00A64494" w:rsidP="00A64494">
      <w:pPr>
        <w:rPr>
          <w:rFonts w:ascii="Times New Roman" w:hAnsi="Times New Roman" w:cs="Times New Roman"/>
          <w:b/>
          <w:bCs/>
          <w:i/>
          <w:iCs/>
        </w:rPr>
      </w:pPr>
      <w:r w:rsidRPr="00A64494">
        <w:rPr>
          <w:rFonts w:ascii="Times New Roman" w:hAnsi="Times New Roman" w:cs="Times New Roman"/>
          <w:b/>
          <w:bCs/>
          <w:i/>
          <w:iCs/>
        </w:rPr>
        <w:t xml:space="preserve">Bioinformatics </w:t>
      </w:r>
      <w:proofErr w:type="spellStart"/>
      <w:r w:rsidRPr="00A64494">
        <w:rPr>
          <w:rFonts w:ascii="Times New Roman" w:hAnsi="Times New Roman" w:cs="Times New Roman"/>
          <w:b/>
          <w:bCs/>
          <w:i/>
          <w:iCs/>
        </w:rPr>
        <w:t>Pipline</w:t>
      </w:r>
      <w:proofErr w:type="spellEnd"/>
    </w:p>
    <w:p w14:paraId="41C786BD" w14:textId="2F15614E" w:rsidR="00A64494" w:rsidRPr="00A64494" w:rsidRDefault="00A64494" w:rsidP="00A64494">
      <w:pPr>
        <w:rPr>
          <w:rFonts w:ascii="Times New Roman" w:hAnsi="Times New Roman" w:cs="Times New Roman"/>
        </w:rPr>
      </w:pPr>
      <w:r w:rsidRPr="00A64494">
        <w:rPr>
          <w:rFonts w:ascii="Times New Roman" w:hAnsi="Times New Roman" w:cs="Times New Roman"/>
        </w:rPr>
        <w:t>Sequence data was received as a .</w:t>
      </w:r>
      <w:proofErr w:type="spellStart"/>
      <w:r w:rsidRPr="00A64494">
        <w:rPr>
          <w:rFonts w:ascii="Times New Roman" w:hAnsi="Times New Roman" w:cs="Times New Roman"/>
        </w:rPr>
        <w:t>fastq</w:t>
      </w:r>
      <w:proofErr w:type="spellEnd"/>
      <w:r w:rsidRPr="00A64494">
        <w:rPr>
          <w:rFonts w:ascii="Times New Roman" w:hAnsi="Times New Roman" w:cs="Times New Roman"/>
        </w:rPr>
        <w:t xml:space="preserve"> file of reads and quality scores. </w:t>
      </w:r>
      <w:r>
        <w:rPr>
          <w:rFonts w:ascii="Times New Roman" w:hAnsi="Times New Roman" w:cs="Times New Roman"/>
        </w:rPr>
        <w:t xml:space="preserve">Files were viewed in </w:t>
      </w:r>
      <w:proofErr w:type="spellStart"/>
      <w:r w:rsidRPr="00A64494">
        <w:rPr>
          <w:rFonts w:ascii="Times New Roman" w:hAnsi="Times New Roman" w:cs="Times New Roman"/>
        </w:rPr>
        <w:t>FastQC</w:t>
      </w:r>
      <w:proofErr w:type="spellEnd"/>
      <w:r w:rsidRPr="00A64494">
        <w:rPr>
          <w:rFonts w:ascii="Times New Roman" w:hAnsi="Times New Roman" w:cs="Times New Roman"/>
        </w:rPr>
        <w:t xml:space="preserve"> </w:t>
      </w:r>
      <w:r>
        <w:rPr>
          <w:rFonts w:ascii="Times New Roman" w:hAnsi="Times New Roman" w:cs="Times New Roman"/>
        </w:rPr>
        <w:t xml:space="preserve">then </w:t>
      </w:r>
      <w:r w:rsidRPr="00A64494">
        <w:rPr>
          <w:rFonts w:ascii="Times New Roman" w:hAnsi="Times New Roman" w:cs="Times New Roman"/>
        </w:rPr>
        <w:t xml:space="preserve">trimmed using </w:t>
      </w:r>
      <w:proofErr w:type="spellStart"/>
      <w:r w:rsidRPr="00A64494">
        <w:rPr>
          <w:rFonts w:ascii="Times New Roman" w:hAnsi="Times New Roman" w:cs="Times New Roman"/>
        </w:rPr>
        <w:t>trimmomatic</w:t>
      </w:r>
      <w:proofErr w:type="spellEnd"/>
      <w:r w:rsidRPr="00A64494">
        <w:rPr>
          <w:rFonts w:ascii="Times New Roman" w:hAnsi="Times New Roman" w:cs="Times New Roman"/>
        </w:rPr>
        <w:t xml:space="preserve"> which paired </w:t>
      </w:r>
      <w:r>
        <w:rPr>
          <w:rFonts w:ascii="Times New Roman" w:hAnsi="Times New Roman" w:cs="Times New Roman"/>
        </w:rPr>
        <w:t>and</w:t>
      </w:r>
      <w:r w:rsidRPr="00A64494">
        <w:rPr>
          <w:rFonts w:ascii="Times New Roman" w:hAnsi="Times New Roman" w:cs="Times New Roman"/>
        </w:rPr>
        <w:t xml:space="preserve"> removed </w:t>
      </w:r>
      <w:r w:rsidRPr="00A64494">
        <w:rPr>
          <w:rFonts w:ascii="Times New Roman" w:hAnsi="Times New Roman" w:cs="Times New Roman"/>
        </w:rPr>
        <w:t>adapters and</w:t>
      </w:r>
      <w:r w:rsidRPr="00A64494">
        <w:rPr>
          <w:rFonts w:ascii="Times New Roman" w:hAnsi="Times New Roman" w:cs="Times New Roman"/>
        </w:rPr>
        <w:t xml:space="preserve"> filtered sequences for minimum quality and length. Data was visualized with </w:t>
      </w:r>
      <w:proofErr w:type="spellStart"/>
      <w:r w:rsidRPr="00A64494">
        <w:rPr>
          <w:rFonts w:ascii="Times New Roman" w:hAnsi="Times New Roman" w:cs="Times New Roman"/>
        </w:rPr>
        <w:t>FastQC</w:t>
      </w:r>
      <w:proofErr w:type="spellEnd"/>
      <w:r w:rsidRPr="00A64494">
        <w:rPr>
          <w:rFonts w:ascii="Times New Roman" w:hAnsi="Times New Roman" w:cs="Times New Roman"/>
        </w:rPr>
        <w:t xml:space="preserve"> to confirm improvement, after which the transcriptome was assembled using Trinity. </w:t>
      </w:r>
      <w:r>
        <w:rPr>
          <w:rFonts w:ascii="Times New Roman" w:hAnsi="Times New Roman" w:cs="Times New Roman"/>
        </w:rPr>
        <w:t xml:space="preserve">Reads </w:t>
      </w:r>
      <w:r w:rsidRPr="00A64494">
        <w:rPr>
          <w:rFonts w:ascii="Times New Roman" w:hAnsi="Times New Roman" w:cs="Times New Roman"/>
        </w:rPr>
        <w:t xml:space="preserve">were mapped </w:t>
      </w:r>
      <w:r>
        <w:rPr>
          <w:rFonts w:ascii="Times New Roman" w:hAnsi="Times New Roman" w:cs="Times New Roman"/>
        </w:rPr>
        <w:t>to the transcriptome then</w:t>
      </w:r>
      <w:r w:rsidRPr="00A64494">
        <w:rPr>
          <w:rFonts w:ascii="Times New Roman" w:hAnsi="Times New Roman" w:cs="Times New Roman"/>
        </w:rPr>
        <w:t xml:space="preserve"> </w:t>
      </w:r>
      <w:r w:rsidRPr="00A64494">
        <w:rPr>
          <w:rFonts w:ascii="Times New Roman" w:hAnsi="Times New Roman" w:cs="Times New Roman"/>
        </w:rPr>
        <w:t>transcripts</w:t>
      </w:r>
      <w:r w:rsidRPr="00A64494">
        <w:rPr>
          <w:rFonts w:ascii="Times New Roman" w:hAnsi="Times New Roman" w:cs="Times New Roman"/>
        </w:rPr>
        <w:t xml:space="preserve"> were quantified using Salmon</w:t>
      </w:r>
      <w:r>
        <w:rPr>
          <w:rFonts w:ascii="Times New Roman" w:hAnsi="Times New Roman" w:cs="Times New Roman"/>
        </w:rPr>
        <w:t xml:space="preserve"> to generate a</w:t>
      </w:r>
      <w:r w:rsidRPr="00A64494">
        <w:rPr>
          <w:rFonts w:ascii="Times New Roman" w:hAnsi="Times New Roman" w:cs="Times New Roman"/>
        </w:rPr>
        <w:t xml:space="preserve"> count </w:t>
      </w:r>
      <w:r>
        <w:rPr>
          <w:rFonts w:ascii="Times New Roman" w:hAnsi="Times New Roman" w:cs="Times New Roman"/>
        </w:rPr>
        <w:t>file with counts</w:t>
      </w:r>
      <w:r w:rsidRPr="00A64494">
        <w:rPr>
          <w:rFonts w:ascii="Times New Roman" w:hAnsi="Times New Roman" w:cs="Times New Roman"/>
        </w:rPr>
        <w:t xml:space="preserve"> for each transcript in all samples.</w:t>
      </w:r>
    </w:p>
    <w:p w14:paraId="1E88EA89" w14:textId="2DB824F3" w:rsidR="00A64494" w:rsidRPr="00A64494" w:rsidRDefault="00A64494" w:rsidP="00A64494">
      <w:pPr>
        <w:rPr>
          <w:rFonts w:ascii="Times New Roman" w:hAnsi="Times New Roman" w:cs="Times New Roman"/>
        </w:rPr>
      </w:pPr>
      <w:r w:rsidRPr="00A64494">
        <w:rPr>
          <w:rFonts w:ascii="Times New Roman" w:hAnsi="Times New Roman" w:cs="Times New Roman"/>
        </w:rPr>
        <w:t xml:space="preserve">The count file and metadata were imported into R and counts per transcript were rounded then analyzed using the DESeq2 package. A </w:t>
      </w:r>
      <w:proofErr w:type="spellStart"/>
      <w:r w:rsidRPr="00A64494">
        <w:rPr>
          <w:rFonts w:ascii="Times New Roman" w:hAnsi="Times New Roman" w:cs="Times New Roman"/>
        </w:rPr>
        <w:t>DESeq</w:t>
      </w:r>
      <w:proofErr w:type="spellEnd"/>
      <w:r w:rsidRPr="00A64494">
        <w:rPr>
          <w:rFonts w:ascii="Times New Roman" w:hAnsi="Times New Roman" w:cs="Times New Roman"/>
        </w:rPr>
        <w:t xml:space="preserve"> object was created with the model: design = ~line + environment + </w:t>
      </w:r>
      <w:proofErr w:type="spellStart"/>
      <w:r w:rsidRPr="00A64494">
        <w:rPr>
          <w:rFonts w:ascii="Times New Roman" w:hAnsi="Times New Roman" w:cs="Times New Roman"/>
        </w:rPr>
        <w:t>line:environment</w:t>
      </w:r>
      <w:proofErr w:type="spellEnd"/>
      <w:r w:rsidRPr="00A64494">
        <w:rPr>
          <w:rFonts w:ascii="Times New Roman" w:hAnsi="Times New Roman" w:cs="Times New Roman"/>
        </w:rPr>
        <w:t xml:space="preserve"> to capture the impact of line, environment, and the</w:t>
      </w:r>
      <w:r>
        <w:rPr>
          <w:rFonts w:ascii="Times New Roman" w:hAnsi="Times New Roman" w:cs="Times New Roman"/>
        </w:rPr>
        <w:t>ir</w:t>
      </w:r>
      <w:r w:rsidRPr="00A64494">
        <w:rPr>
          <w:rFonts w:ascii="Times New Roman" w:hAnsi="Times New Roman" w:cs="Times New Roman"/>
        </w:rPr>
        <w:t xml:space="preserve"> interaction on gene expression. Genes with less than 10 reads per sample were filtered out to omit those with low expression. The </w:t>
      </w:r>
      <w:proofErr w:type="spellStart"/>
      <w:r w:rsidRPr="00A64494">
        <w:rPr>
          <w:rFonts w:ascii="Times New Roman" w:hAnsi="Times New Roman" w:cs="Times New Roman"/>
        </w:rPr>
        <w:t>DESeq</w:t>
      </w:r>
      <w:proofErr w:type="spellEnd"/>
      <w:r w:rsidRPr="00A64494">
        <w:rPr>
          <w:rFonts w:ascii="Times New Roman" w:hAnsi="Times New Roman" w:cs="Times New Roman"/>
        </w:rPr>
        <w:t xml:space="preserve"> model was ran using the </w:t>
      </w:r>
      <w:proofErr w:type="spellStart"/>
      <w:r w:rsidRPr="00A64494">
        <w:rPr>
          <w:rFonts w:ascii="Times New Roman" w:hAnsi="Times New Roman" w:cs="Times New Roman"/>
        </w:rPr>
        <w:t>DESeq</w:t>
      </w:r>
      <w:proofErr w:type="spellEnd"/>
      <w:r w:rsidRPr="00A64494">
        <w:rPr>
          <w:rFonts w:ascii="Times New Roman" w:hAnsi="Times New Roman" w:cs="Times New Roman"/>
        </w:rPr>
        <w:t xml:space="preserve"> function and was used to plot a principal component analysis. Two additional models were created to test for the impact of each </w:t>
      </w:r>
      <w:r>
        <w:rPr>
          <w:rFonts w:ascii="Times New Roman" w:hAnsi="Times New Roman" w:cs="Times New Roman"/>
        </w:rPr>
        <w:t>model term</w:t>
      </w:r>
      <w:r w:rsidRPr="00A64494">
        <w:rPr>
          <w:rFonts w:ascii="Times New Roman" w:hAnsi="Times New Roman" w:cs="Times New Roman"/>
        </w:rPr>
        <w:t xml:space="preserve"> on gene expression using the likelihood ratio test (LRT). Specifically</w:t>
      </w:r>
      <w:r>
        <w:rPr>
          <w:rFonts w:ascii="Times New Roman" w:hAnsi="Times New Roman" w:cs="Times New Roman"/>
        </w:rPr>
        <w:t>,</w:t>
      </w:r>
      <w:r w:rsidRPr="00A64494">
        <w:rPr>
          <w:rFonts w:ascii="Times New Roman" w:hAnsi="Times New Roman" w:cs="Times New Roman"/>
        </w:rPr>
        <w:t xml:space="preserve"> the models were design = ~ environment + line and design = ~ line + environment. These models were then used to determine which genes were impacted </w:t>
      </w:r>
      <w:r>
        <w:rPr>
          <w:rFonts w:ascii="Times New Roman" w:hAnsi="Times New Roman" w:cs="Times New Roman"/>
        </w:rPr>
        <w:t xml:space="preserve">by </w:t>
      </w:r>
      <w:r w:rsidRPr="00A64494">
        <w:rPr>
          <w:rFonts w:ascii="Times New Roman" w:hAnsi="Times New Roman" w:cs="Times New Roman"/>
        </w:rPr>
        <w:t xml:space="preserve">line, environment, and their interaction. Genes IDs were extracted with the results function, ordered by adjusted </w:t>
      </w:r>
      <w:proofErr w:type="spellStart"/>
      <w:r w:rsidRPr="00A64494">
        <w:rPr>
          <w:rFonts w:ascii="Times New Roman" w:hAnsi="Times New Roman" w:cs="Times New Roman"/>
        </w:rPr>
        <w:t>pvalue</w:t>
      </w:r>
      <w:proofErr w:type="spellEnd"/>
      <w:r w:rsidRPr="00A64494">
        <w:rPr>
          <w:rFonts w:ascii="Times New Roman" w:hAnsi="Times New Roman" w:cs="Times New Roman"/>
        </w:rPr>
        <w:t xml:space="preserve"> and filtered to contain only significant genes. Overlap in significant genes was determined and plotted as a Venn diagram of genes unique and shared among model terms.</w:t>
      </w:r>
    </w:p>
    <w:p w14:paraId="059A5680" w14:textId="7DEF8BEC" w:rsidR="00A64494" w:rsidRPr="00A64494" w:rsidRDefault="00A64494" w:rsidP="00A64494">
      <w:pPr>
        <w:rPr>
          <w:rFonts w:ascii="Times New Roman" w:hAnsi="Times New Roman" w:cs="Times New Roman"/>
          <w:b/>
          <w:bCs/>
          <w:i/>
          <w:iCs/>
        </w:rPr>
      </w:pPr>
      <w:r w:rsidRPr="00A64494">
        <w:rPr>
          <w:rFonts w:ascii="Times New Roman" w:hAnsi="Times New Roman" w:cs="Times New Roman"/>
          <w:b/>
          <w:bCs/>
          <w:i/>
          <w:iCs/>
        </w:rPr>
        <w:t>Results</w:t>
      </w:r>
    </w:p>
    <w:p w14:paraId="287BFA5E" w14:textId="212F739D" w:rsidR="00A64494" w:rsidRPr="00A64494" w:rsidRDefault="00A64494" w:rsidP="00A64494">
      <w:pPr>
        <w:rPr>
          <w:rFonts w:ascii="Times New Roman" w:hAnsi="Times New Roman" w:cs="Times New Roman"/>
        </w:rPr>
      </w:pPr>
      <w:r w:rsidRPr="00A64494">
        <w:rPr>
          <w:rFonts w:ascii="Times New Roman" w:hAnsi="Times New Roman" w:cs="Times New Roman"/>
        </w:rPr>
        <w:t xml:space="preserve">The average number of reads per gene and sample were 11931 and 18166143 respectively for F1 and 11221 and 17727744 respectively for F3. When comparing PCAs, F3 shows more clustering by environment whereas the F1 shows more clustering by line (fig. 1). </w:t>
      </w:r>
      <w:r w:rsidR="0037382C">
        <w:rPr>
          <w:rFonts w:ascii="Times New Roman" w:hAnsi="Times New Roman" w:cs="Times New Roman"/>
        </w:rPr>
        <w:t>Further,</w:t>
      </w:r>
      <w:r w:rsidRPr="00A64494">
        <w:rPr>
          <w:rFonts w:ascii="Times New Roman" w:hAnsi="Times New Roman" w:cs="Times New Roman"/>
        </w:rPr>
        <w:t xml:space="preserve"> in the F3 generation there is a strong impact of the environment in which copepods were evolved (line) on </w:t>
      </w:r>
      <w:r w:rsidR="0037382C" w:rsidRPr="00A64494">
        <w:rPr>
          <w:rFonts w:ascii="Times New Roman" w:hAnsi="Times New Roman" w:cs="Times New Roman"/>
        </w:rPr>
        <w:t>differential expressed genes (DEGs)</w:t>
      </w:r>
      <w:r w:rsidR="0037382C" w:rsidRPr="00A64494">
        <w:rPr>
          <w:rFonts w:ascii="Times New Roman" w:hAnsi="Times New Roman" w:cs="Times New Roman"/>
        </w:rPr>
        <w:t xml:space="preserve"> </w:t>
      </w:r>
      <w:r w:rsidRPr="00A64494">
        <w:rPr>
          <w:rFonts w:ascii="Times New Roman" w:hAnsi="Times New Roman" w:cs="Times New Roman"/>
        </w:rPr>
        <w:t>(fig. 2</w:t>
      </w:r>
      <w:r w:rsidR="0037382C">
        <w:rPr>
          <w:rFonts w:ascii="Times New Roman" w:hAnsi="Times New Roman" w:cs="Times New Roman"/>
        </w:rPr>
        <w:t>a</w:t>
      </w:r>
      <w:r w:rsidRPr="00A64494">
        <w:rPr>
          <w:rFonts w:ascii="Times New Roman" w:hAnsi="Times New Roman" w:cs="Times New Roman"/>
        </w:rPr>
        <w:t xml:space="preserve">), with 1465 unique DEGs. This is nearly a this is nearly a 10-fold increase from the F1 generation (fig. </w:t>
      </w:r>
      <w:r w:rsidR="0037382C">
        <w:rPr>
          <w:rFonts w:ascii="Times New Roman" w:hAnsi="Times New Roman" w:cs="Times New Roman"/>
        </w:rPr>
        <w:t>2b</w:t>
      </w:r>
      <w:r w:rsidRPr="00A64494">
        <w:rPr>
          <w:rFonts w:ascii="Times New Roman" w:hAnsi="Times New Roman" w:cs="Times New Roman"/>
        </w:rPr>
        <w:t>).  There is also a nearly 2-fold increase from F1 to F3 in DEGs due environment (fig. 2</w:t>
      </w:r>
      <w:r w:rsidR="0037382C">
        <w:rPr>
          <w:rFonts w:ascii="Times New Roman" w:hAnsi="Times New Roman" w:cs="Times New Roman"/>
        </w:rPr>
        <w:t>a,b</w:t>
      </w:r>
      <w:r w:rsidRPr="00A64494">
        <w:rPr>
          <w:rFonts w:ascii="Times New Roman" w:hAnsi="Times New Roman" w:cs="Times New Roman"/>
        </w:rPr>
        <w:t>). Further, we see a strong decline in genes attributed to the interaction of line and environment from F1 to F3 (fig.2</w:t>
      </w:r>
      <w:r w:rsidR="0037382C">
        <w:rPr>
          <w:rFonts w:ascii="Times New Roman" w:hAnsi="Times New Roman" w:cs="Times New Roman"/>
        </w:rPr>
        <w:t>a,b</w:t>
      </w:r>
      <w:r w:rsidRPr="00A64494">
        <w:rPr>
          <w:rFonts w:ascii="Times New Roman" w:hAnsi="Times New Roman" w:cs="Times New Roman"/>
        </w:rPr>
        <w:t xml:space="preserve">) Importantly, 49, 54, and 105 DEGs are consistently attributed to the copepods’ line, </w:t>
      </w:r>
      <w:r w:rsidR="003A7B14" w:rsidRPr="00A64494">
        <w:rPr>
          <w:rFonts w:ascii="Times New Roman" w:hAnsi="Times New Roman" w:cs="Times New Roman"/>
        </w:rPr>
        <w:t>environment,</w:t>
      </w:r>
      <w:r w:rsidRPr="00A64494">
        <w:rPr>
          <w:rFonts w:ascii="Times New Roman" w:hAnsi="Times New Roman" w:cs="Times New Roman"/>
        </w:rPr>
        <w:t xml:space="preserve"> or their interaction from F1 and F</w:t>
      </w:r>
      <w:r w:rsidR="003A7B14">
        <w:rPr>
          <w:rFonts w:ascii="Times New Roman" w:hAnsi="Times New Roman" w:cs="Times New Roman"/>
        </w:rPr>
        <w:t xml:space="preserve">3, however the polarity and magnitude of these DEGs </w:t>
      </w:r>
      <w:r w:rsidRPr="00A64494">
        <w:rPr>
          <w:rFonts w:ascii="Times New Roman" w:hAnsi="Times New Roman" w:cs="Times New Roman"/>
        </w:rPr>
        <w:t xml:space="preserve">vary </w:t>
      </w:r>
      <w:r w:rsidRPr="00A64494">
        <w:rPr>
          <w:rFonts w:ascii="Times New Roman" w:hAnsi="Times New Roman" w:cs="Times New Roman"/>
        </w:rPr>
        <w:lastRenderedPageBreak/>
        <w:t xml:space="preserve">between F1 and F3. The significant increases in gene expression both as a result of </w:t>
      </w:r>
      <w:r w:rsidR="0037382C">
        <w:rPr>
          <w:rFonts w:ascii="Times New Roman" w:hAnsi="Times New Roman" w:cs="Times New Roman"/>
        </w:rPr>
        <w:t xml:space="preserve">line and environment </w:t>
      </w:r>
      <w:r w:rsidR="003A7B1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60D074A" wp14:editId="64D9A5B4">
                <wp:simplePos x="0" y="0"/>
                <wp:positionH relativeFrom="margin">
                  <wp:posOffset>3409633</wp:posOffset>
                </wp:positionH>
                <wp:positionV relativeFrom="paragraph">
                  <wp:posOffset>3148965</wp:posOffset>
                </wp:positionV>
                <wp:extent cx="309563" cy="290512"/>
                <wp:effectExtent l="0" t="0" r="0" b="0"/>
                <wp:wrapNone/>
                <wp:docPr id="7" name="Text Box 7"/>
                <wp:cNvGraphicFramePr/>
                <a:graphic xmlns:a="http://schemas.openxmlformats.org/drawingml/2006/main">
                  <a:graphicData uri="http://schemas.microsoft.com/office/word/2010/wordprocessingShape">
                    <wps:wsp>
                      <wps:cNvSpPr txBox="1"/>
                      <wps:spPr>
                        <a:xfrm>
                          <a:off x="0" y="0"/>
                          <a:ext cx="309563" cy="290512"/>
                        </a:xfrm>
                        <a:prstGeom prst="rect">
                          <a:avLst/>
                        </a:prstGeom>
                        <a:noFill/>
                        <a:ln w="6350">
                          <a:noFill/>
                        </a:ln>
                      </wps:spPr>
                      <wps:txbx>
                        <w:txbxContent>
                          <w:p w14:paraId="10E620B1" w14:textId="2D1B6398" w:rsidR="0037382C" w:rsidRPr="00A64494" w:rsidRDefault="0037382C" w:rsidP="0037382C">
                            <w:pPr>
                              <w:rPr>
                                <w:b/>
                                <w:bCs/>
                              </w:rPr>
                            </w:pPr>
                            <w:r>
                              <w:rPr>
                                <w:b/>
                                <w:bCs/>
                              </w:rPr>
                              <w:t>b</w:t>
                            </w: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D074A" id="_x0000_t202" coordsize="21600,21600" o:spt="202" path="m,l,21600r21600,l21600,xe">
                <v:stroke joinstyle="miter"/>
                <v:path gradientshapeok="t" o:connecttype="rect"/>
              </v:shapetype>
              <v:shape id="Text Box 7" o:spid="_x0000_s1026" type="#_x0000_t202" style="position:absolute;margin-left:268.5pt;margin-top:247.95pt;width:24.4pt;height:22.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3MLQIAAFAEAAAOAAAAZHJzL2Uyb0RvYy54bWysVE1v2zAMvQ/YfxB0X+x8tjHiFFmLDAOC&#10;tkAy9KzIUmxAFjVJiZ39+lGykwbdTsMuCkXSpPjeYxYPba3ISVhXgc7pcJBSIjSHotKHnP7Yrb/c&#10;U+I80wVToEVOz8LRh+XnT4vGZGIEJahCWIJFtMsak9PSe5MlieOlqJkbgBEagxJszTxe7SEpLGuw&#10;eq2SUZrOkgZsYSxw4Rx6n7ogXcb6UgruX6R0whOVU3ybj6eN5z6cyXLBsoNlpqx4/wz2D6+oWaWx&#10;6bXUE/OMHG31R6m64hYcSD/gUCcgZcVFnAGnGaYfptmWzIg4C4LjzBUm9//K8ufTqyVVkdM7SjSr&#10;kaKdaD35Ci25C+g0xmWYtDWY5lt0I8sXv0NnGLqVtg6/OA7BOOJ8vmIbinF0jtP5dDamhGNoNE+n&#10;w1Gokrx/bKzz3wTUJBg5tUhdRJSdNs53qZeU0EvDulIq0qc0aXI6G0/T+ME1gsWVxh5hhO6pwfLt&#10;vu3n2kNxxrEsdLJwhq8rbL5hzr8yizrASVDb/gUPqQCbQG9RUoL99Td/yEd6MEpJg7rKqft5ZFZQ&#10;or5rJG4+nEyCEONlMr0b4cXeRva3EX2sHwGlO8QtMjyaId+riykt1G+4AqvQFUNMc+ydU38xH32n&#10;dlwhLlarmITSM8xv9NbwUDrAGaDdtW/Mmh5/j8Q9w0WBLPtAQ5fbEbE6epBV5CgA3KHa446yjSz3&#10;Kxb24vYes97/CJa/AQAA//8DAFBLAwQUAAYACAAAACEAsE1pp+MAAAALAQAADwAAAGRycy9kb3du&#10;cmV2LnhtbEyPTU/CQBCG7yb+h82YeJMtyGKp3RLShJgYPYBcvG27Q9u4H7W7QOXXO5z0NpN5887z&#10;5KvRGnbCIXTeSZhOEmDoaq8710jYf2weUmAhKqeV8Q4l/GCAVXF7k6tM+7Pb4mkXG0YlLmRKQhtj&#10;n3Ee6hatChPfo6PbwQ9WRVqHhutBnancGj5LkgW3qnP0oVU9li3WX7ujlfBabt7VtprZ9GLKl7fD&#10;uv/efwop7+/G9TOwiGP8C8MVn9ChIKbKH50OzEgQj0/kEiXMl2IJjBIiFSRT0TCfLoAXOf/vUPwC&#10;AAD//wMAUEsBAi0AFAAGAAgAAAAhALaDOJL+AAAA4QEAABMAAAAAAAAAAAAAAAAAAAAAAFtDb250&#10;ZW50X1R5cGVzXS54bWxQSwECLQAUAAYACAAAACEAOP0h/9YAAACUAQAACwAAAAAAAAAAAAAAAAAv&#10;AQAAX3JlbHMvLnJlbHNQSwECLQAUAAYACAAAACEAimUNzC0CAABQBAAADgAAAAAAAAAAAAAAAAAu&#10;AgAAZHJzL2Uyb0RvYy54bWxQSwECLQAUAAYACAAAACEAsE1pp+MAAAALAQAADwAAAAAAAAAAAAAA&#10;AACHBAAAZHJzL2Rvd25yZXYueG1sUEsFBgAAAAAEAAQA8wAAAJcFAAAAAA==&#10;" filled="f" stroked="f" strokeweight=".5pt">
                <v:textbox>
                  <w:txbxContent>
                    <w:p w14:paraId="10E620B1" w14:textId="2D1B6398" w:rsidR="0037382C" w:rsidRPr="00A64494" w:rsidRDefault="0037382C" w:rsidP="0037382C">
                      <w:pPr>
                        <w:rPr>
                          <w:b/>
                          <w:bCs/>
                        </w:rPr>
                      </w:pPr>
                      <w:r>
                        <w:rPr>
                          <w:b/>
                          <w:bCs/>
                        </w:rPr>
                        <w:t>b</w:t>
                      </w:r>
                      <w:r>
                        <w:rPr>
                          <w:b/>
                          <w:bCs/>
                        </w:rPr>
                        <w:t>.</w:t>
                      </w:r>
                    </w:p>
                  </w:txbxContent>
                </v:textbox>
                <w10:wrap anchorx="margin"/>
              </v:shape>
            </w:pict>
          </mc:Fallback>
        </mc:AlternateContent>
      </w:r>
      <w:r w:rsidR="003A7B1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FE610AC" wp14:editId="0E5EB4CC">
                <wp:simplePos x="0" y="0"/>
                <wp:positionH relativeFrom="margin">
                  <wp:posOffset>561657</wp:posOffset>
                </wp:positionH>
                <wp:positionV relativeFrom="paragraph">
                  <wp:posOffset>3094990</wp:posOffset>
                </wp:positionV>
                <wp:extent cx="309245" cy="2901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09245" cy="290195"/>
                        </a:xfrm>
                        <a:prstGeom prst="rect">
                          <a:avLst/>
                        </a:prstGeom>
                        <a:noFill/>
                        <a:ln w="6350">
                          <a:noFill/>
                        </a:ln>
                      </wps:spPr>
                      <wps:txbx>
                        <w:txbxContent>
                          <w:p w14:paraId="486D17C8" w14:textId="298BF826" w:rsidR="0037382C" w:rsidRPr="00A64494" w:rsidRDefault="0037382C" w:rsidP="0037382C">
                            <w:pPr>
                              <w:rPr>
                                <w:b/>
                                <w:bCs/>
                              </w:rPr>
                            </w:pPr>
                            <w:r>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610AC" id="Text Box 6" o:spid="_x0000_s1027" type="#_x0000_t202" style="position:absolute;margin-left:44.2pt;margin-top:243.7pt;width:24.35pt;height:2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Q5LgIAAFcEAAAOAAAAZHJzL2Uyb0RvYy54bWysVMGO2jAQvVfqP1i+lwQWaIkIK7orqkpo&#10;dyWo9mwcm0SyPa5tSOjXd+wAi7Y9Vb2Y8cxkZt57Y+b3nVbkKJxvwJR0OMgpEYZD1Zh9SX9sV5++&#10;UOIDMxVTYERJT8LT+8XHD/PWFmIENahKOIJFjC9aW9I6BFtkmee10MwPwAqDQQlOs4BXt88qx1qs&#10;rlU2yvNp1oKrrAMuvEfvYx+ki1RfSsHDs5ReBKJKirOFdLp07uKZLeas2Dtm64afx2D/MIVmjcGm&#10;11KPLDBycM0fpXTDHXiQYcBBZyBlw0XCgGiG+Ts0m5pZkbAgOd5eafL/ryx/Or440lQlnVJimEaJ&#10;tqIL5Ct0ZBrZaa0vMGljMS106EaVL36Pzgi6k07HX4RDMI48n67cxmIcnXf5bDSeUMIxNJrlw9kk&#10;VsnePrbOh28CNIlGSR1Klxhlx7UPfeolJfYysGqUSvIpQ1qc/26Spw+uESyuDPaIEPpRoxW6XZcA&#10;X2HsoDohOgf9dnjLVw3OsGY+vDCH64CAcMXDMx5SAfaCs0VJDe7X3/wxH1XCKCUtrldJ/c8Dc4IS&#10;9d2gfrPheBz3MV3Gk88jvLjbyO42Yg76AXCDh/iYLE9mzA/qYkoH+hVfwjJ2xRAzHHuXNFzMh9Av&#10;Pb4kLpbLlIQbaFlYm43lsXRkNTK87V6Zs2cZAur3BJdFZMU7NfrcXo/lIYBsklSR557VM/24vUns&#10;80uLz+P2nrLe/g8WvwEAAP//AwBQSwMEFAAGAAgAAAAhAE0jjm7iAAAACgEAAA8AAABkcnMvZG93&#10;bnJldi54bWxMj01Lw0AQhu+C/2EZwZvdpGntEjMpJVAE0UNrL9422WkS3I+Y3bbRX+/2pLcZ5uGd&#10;5y3Wk9HsTKPvnUVIZwkwso1TvW0RDu/bBwHMB2mV1M4Swjd5WJe3N4XMlbvYHZ33oWUxxPpcInQh&#10;DDnnvunISD9zA9l4O7rRyBDXseVqlJcYbjSfJ8kjN7K38UMnB6o6aj73J4PwUm3f5K6eG/Gjq+fX&#10;42b4OnwsEe/vps0TsEBT+IPhqh/VoYxOtTtZ5ZlGEGIRSYSFWMXhCmSrFFiNsMyyFHhZ8P8Vyl8A&#10;AAD//wMAUEsBAi0AFAAGAAgAAAAhALaDOJL+AAAA4QEAABMAAAAAAAAAAAAAAAAAAAAAAFtDb250&#10;ZW50X1R5cGVzXS54bWxQSwECLQAUAAYACAAAACEAOP0h/9YAAACUAQAACwAAAAAAAAAAAAAAAAAv&#10;AQAAX3JlbHMvLnJlbHNQSwECLQAUAAYACAAAACEAWM7UOS4CAABXBAAADgAAAAAAAAAAAAAAAAAu&#10;AgAAZHJzL2Uyb0RvYy54bWxQSwECLQAUAAYACAAAACEATSOObuIAAAAKAQAADwAAAAAAAAAAAAAA&#10;AACIBAAAZHJzL2Rvd25yZXYueG1sUEsFBgAAAAAEAAQA8wAAAJcFAAAAAA==&#10;" filled="f" stroked="f" strokeweight=".5pt">
                <v:textbox>
                  <w:txbxContent>
                    <w:p w14:paraId="486D17C8" w14:textId="298BF826" w:rsidR="0037382C" w:rsidRPr="00A64494" w:rsidRDefault="0037382C" w:rsidP="0037382C">
                      <w:pPr>
                        <w:rPr>
                          <w:b/>
                          <w:bCs/>
                        </w:rPr>
                      </w:pPr>
                      <w:r>
                        <w:rPr>
                          <w:b/>
                          <w:bCs/>
                        </w:rPr>
                        <w:t>a.</w:t>
                      </w:r>
                    </w:p>
                  </w:txbxContent>
                </v:textbox>
                <w10:wrap anchorx="margin"/>
              </v:shape>
            </w:pict>
          </mc:Fallback>
        </mc:AlternateContent>
      </w:r>
      <w:r w:rsidR="003A7B14">
        <w:rPr>
          <w:noProof/>
        </w:rPr>
        <mc:AlternateContent>
          <mc:Choice Requires="wps">
            <w:drawing>
              <wp:anchor distT="0" distB="0" distL="114300" distR="114300" simplePos="0" relativeHeight="251670528" behindDoc="0" locked="0" layoutInCell="1" allowOverlap="1" wp14:anchorId="6A1DA1AB" wp14:editId="52F4B14B">
                <wp:simplePos x="0" y="0"/>
                <wp:positionH relativeFrom="margin">
                  <wp:align>right</wp:align>
                </wp:positionH>
                <wp:positionV relativeFrom="paragraph">
                  <wp:posOffset>2694940</wp:posOffset>
                </wp:positionV>
                <wp:extent cx="5490845" cy="280670"/>
                <wp:effectExtent l="0" t="0" r="0" b="5080"/>
                <wp:wrapTopAndBottom/>
                <wp:docPr id="8" name="Text Box 8"/>
                <wp:cNvGraphicFramePr/>
                <a:graphic xmlns:a="http://schemas.openxmlformats.org/drawingml/2006/main">
                  <a:graphicData uri="http://schemas.microsoft.com/office/word/2010/wordprocessingShape">
                    <wps:wsp>
                      <wps:cNvSpPr txBox="1"/>
                      <wps:spPr>
                        <a:xfrm>
                          <a:off x="0" y="0"/>
                          <a:ext cx="5490845" cy="280670"/>
                        </a:xfrm>
                        <a:prstGeom prst="rect">
                          <a:avLst/>
                        </a:prstGeom>
                        <a:solidFill>
                          <a:prstClr val="white"/>
                        </a:solidFill>
                        <a:ln>
                          <a:noFill/>
                        </a:ln>
                      </wps:spPr>
                      <wps:txbx>
                        <w:txbxContent>
                          <w:p w14:paraId="0D7B347F" w14:textId="084D104D" w:rsidR="0037382C" w:rsidRPr="00DE74F2" w:rsidRDefault="0037382C" w:rsidP="0037382C">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Principe component analysis (PCA) for generations F1 and F3. Over 50% of variance is explained by PC1 + PC2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DA1AB" id="Text Box 8" o:spid="_x0000_s1028" type="#_x0000_t202" style="position:absolute;margin-left:381.15pt;margin-top:212.2pt;width:432.35pt;height:22.1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L4MgIAAGcEAAAOAAAAZHJzL2Uyb0RvYy54bWysVFFv2yAQfp+0/4B4X+xEbZdFcaosVaZJ&#10;UVspmfpMMMRIwDEgsbNfvwPH6dbtadoLPu6Og+/77jy/74wmJ+GDAlvR8aikRFgOtbKHin7brT9M&#10;KQmR2ZppsKKiZxHo/eL9u3nrZmICDehaeIJFbJi1rqJNjG5WFIE3wrAwAicsBiV4wyJu/aGoPWux&#10;utHFpCzvihZ87TxwEQJ6H/ogXeT6Ugoen6QMIhJdUXxbzKvP6z6txWLOZgfPXKP45RnsH15hmLJ4&#10;6bXUA4uMHL36o5RR3EMAGUccTAFSKi4yBkQzLt+g2TbMiYwFyQnuSlP4f2X54+nZE1VXFIWyzKBE&#10;O9FF8hk6Mk3stC7MMGnrMC126EaVB39AZwLdSW/SF+EQjCPP5yu3qRhH5+3Np3J6c0sJx9hkWt59&#10;zOQXr6edD/GLAEOSUVGP2mVK2WkTIr4EU4eUdFkAreq10jptUmClPTkx1LltVBTpjXjityxtU66F&#10;dKoPJ0+RIPZQkhW7fZcJmQww91CfEb2HvnuC42uF921YiM/MY7sgYByB+ISL1NBWFC4WJQ34H3/z&#10;p3xUEaOUtNh+FQ3fj8wLSvRXi/qmXh0MPxj7wbBHswJEOsbhcjybeMBHPZjSg3nByVimWzDELMe7&#10;KhoHcxX7IcDJ4mK5zEnYkY7Fjd06nkoPvO66F+bdRZWIej7C0Jhs9kacPrdneXmMIFVWLvHas3ih&#10;G7s5y3OZvDQuv+5z1uv/YfETAAD//wMAUEsDBBQABgAIAAAAIQAl0kJy3gAAAAgBAAAPAAAAZHJz&#10;L2Rvd25yZXYueG1sTI/BTsMwEETvSPyDtUhcEHWIIhOFOBW0cINDS9XzNjZJRLyOYqdJ/57lBMfZ&#10;Wc28KdeL68XZjqHzpOFhlYCwVHvTUaPh8Pl2n4MIEclg78lquNgA6+r6qsTC+Jl29ryPjeAQCgVq&#10;aGMcCilD3VqHYeUHS+x9+dFhZDk20ow4c7jrZZokSjrsiBtaHOymtfX3fnIa1Hac5h1t7raH13f8&#10;GJr0+HI5an17szw/gYh2iX/P8IvP6FAx08lPZILoNfCQqCFLswwE27nKHkGc+KJyBbIq5f8B1Q8A&#10;AAD//wMAUEsBAi0AFAAGAAgAAAAhALaDOJL+AAAA4QEAABMAAAAAAAAAAAAAAAAAAAAAAFtDb250&#10;ZW50X1R5cGVzXS54bWxQSwECLQAUAAYACAAAACEAOP0h/9YAAACUAQAACwAAAAAAAAAAAAAAAAAv&#10;AQAAX3JlbHMvLnJlbHNQSwECLQAUAAYACAAAACEAcMwC+DICAABnBAAADgAAAAAAAAAAAAAAAAAu&#10;AgAAZHJzL2Uyb0RvYy54bWxQSwECLQAUAAYACAAAACEAJdJCct4AAAAIAQAADwAAAAAAAAAAAAAA&#10;AACMBAAAZHJzL2Rvd25yZXYueG1sUEsFBgAAAAAEAAQA8wAAAJcFAAAAAA==&#10;" stroked="f">
                <v:textbox inset="0,0,0,0">
                  <w:txbxContent>
                    <w:p w14:paraId="0D7B347F" w14:textId="084D104D" w:rsidR="0037382C" w:rsidRPr="00DE74F2" w:rsidRDefault="0037382C" w:rsidP="0037382C">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Principe component analysis (PCA) for generations F1 and F3. Over 50% of variance is explained by PC1 + PC2</w:t>
                      </w:r>
                    </w:p>
                  </w:txbxContent>
                </v:textbox>
                <w10:wrap type="topAndBottom" anchorx="margin"/>
              </v:shape>
            </w:pict>
          </mc:Fallback>
        </mc:AlternateContent>
      </w:r>
      <w:r w:rsidR="003A7B14" w:rsidRPr="00A64494">
        <w:rPr>
          <w:rFonts w:ascii="Times New Roman" w:hAnsi="Times New Roman" w:cs="Times New Roman"/>
        </w:rPr>
        <w:drawing>
          <wp:anchor distT="0" distB="0" distL="114300" distR="114300" simplePos="0" relativeHeight="251661312" behindDoc="0" locked="0" layoutInCell="1" allowOverlap="1" wp14:anchorId="18EED26B" wp14:editId="5D53D216">
            <wp:simplePos x="0" y="0"/>
            <wp:positionH relativeFrom="margin">
              <wp:align>center</wp:align>
            </wp:positionH>
            <wp:positionV relativeFrom="paragraph">
              <wp:posOffset>389255</wp:posOffset>
            </wp:positionV>
            <wp:extent cx="2755900" cy="2314575"/>
            <wp:effectExtent l="0" t="0" r="6350" b="9525"/>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55900" cy="2314575"/>
                    </a:xfrm>
                    <a:prstGeom prst="rect">
                      <a:avLst/>
                    </a:prstGeom>
                  </pic:spPr>
                </pic:pic>
              </a:graphicData>
            </a:graphic>
            <wp14:sizeRelH relativeFrom="margin">
              <wp14:pctWidth>0</wp14:pctWidth>
            </wp14:sizeRelH>
            <wp14:sizeRelV relativeFrom="margin">
              <wp14:pctHeight>0</wp14:pctHeight>
            </wp14:sizeRelV>
          </wp:anchor>
        </w:drawing>
      </w:r>
      <w:r w:rsidR="0037382C">
        <w:rPr>
          <w:rFonts w:ascii="Times New Roman" w:hAnsi="Times New Roman" w:cs="Times New Roman"/>
        </w:rPr>
        <w:t>i</w:t>
      </w:r>
      <w:r w:rsidRPr="00A64494">
        <w:rPr>
          <w:rFonts w:ascii="Times New Roman" w:hAnsi="Times New Roman" w:cs="Times New Roman"/>
        </w:rPr>
        <w:t xml:space="preserve">ndicate an ability to adapt to new environments, but also </w:t>
      </w:r>
      <w:r w:rsidR="003A7B14">
        <w:rPr>
          <w:rFonts w:ascii="Times New Roman" w:hAnsi="Times New Roman" w:cs="Times New Roman"/>
        </w:rPr>
        <w:t>a legacy effect of evolved environments</w:t>
      </w:r>
      <w:r w:rsidRPr="00A64494">
        <w:rPr>
          <w:rFonts w:ascii="Times New Roman" w:hAnsi="Times New Roman" w:cs="Times New Roman"/>
        </w:rPr>
        <w:t>.</w:t>
      </w:r>
    </w:p>
    <w:p w14:paraId="32D88B7E" w14:textId="700DE8E6" w:rsidR="00A64494" w:rsidRPr="00A64494" w:rsidRDefault="003A7B14" w:rsidP="00A64494">
      <w:pPr>
        <w:rPr>
          <w:rFonts w:ascii="Times New Roman" w:hAnsi="Times New Roman" w:cs="Times New Roman"/>
          <w:b/>
          <w:bCs/>
          <w:i/>
          <w:iCs/>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8DB7450" wp14:editId="192527AC">
                <wp:simplePos x="0" y="0"/>
                <wp:positionH relativeFrom="margin">
                  <wp:posOffset>1252220</wp:posOffset>
                </wp:positionH>
                <wp:positionV relativeFrom="paragraph">
                  <wp:posOffset>2444115</wp:posOffset>
                </wp:positionV>
                <wp:extent cx="3295650" cy="2806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3295650" cy="280670"/>
                        </a:xfrm>
                        <a:prstGeom prst="rect">
                          <a:avLst/>
                        </a:prstGeom>
                        <a:noFill/>
                        <a:ln w="6350">
                          <a:noFill/>
                        </a:ln>
                      </wps:spPr>
                      <wps:txbx>
                        <w:txbxContent>
                          <w:p w14:paraId="1B15DD33" w14:textId="6EE95FAD" w:rsidR="00A64494" w:rsidRPr="00A64494" w:rsidRDefault="00A64494">
                            <w:pPr>
                              <w:rPr>
                                <w:b/>
                                <w:bCs/>
                              </w:rPr>
                            </w:pPr>
                            <w:r w:rsidRPr="00A64494">
                              <w:rPr>
                                <w:b/>
                                <w:bCs/>
                              </w:rPr>
                              <w:t>Venn Diagram of DEGs</w:t>
                            </w:r>
                            <w:r>
                              <w:rPr>
                                <w:b/>
                                <w:bCs/>
                              </w:rPr>
                              <w:t xml:space="preserve"> attributed to each model term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B7450" id="Text Box 1" o:spid="_x0000_s1029" type="#_x0000_t202" style="position:absolute;margin-left:98.6pt;margin-top:192.45pt;width:259.5pt;height:2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N4LQIAAFgEAAAOAAAAZHJzL2Uyb0RvYy54bWysVE1vGjEQvVfqf7B8L8t3EsQS0URUlVAS&#10;CaqcjdcLK+16XNuwS399n71ASNpT1YsZz8zOx3vPTO+bqmQHZV1BOuW9TpczpSVlhd6m/Md68eWW&#10;M+eFzkRJWqX8qBy/n33+NK3NRPVpR2WmLEMR7Sa1SfnOezNJEid3qhKuQ0ZpBHOylfC42m2SWVGj&#10;elUm/W53nNRkM2NJKufgfWyDfBbr57mS/jnPnfKsTDlm8/G08dyEM5lNxWRrhdkV8jSG+IcpKlFo&#10;NL2UehResL0t/ihVFdKSo9x3JFUJ5XkhVdwB2/S6H7ZZ7YRRcReA48wFJvf/ysqnw4tlRQbuONOi&#10;AkVr1Xj2lRrWC+jUxk2QtDJI8w3cIfPkd3CGpZvcVuEX6zDEgfPxgm0oJuEc9O9G4xFCErH+bXd8&#10;E8FP3r421vlviioWjJRbcBchFYel8+iI1HNKaKZpUZRl5K/UrE75eIDy7yL4otT4MOzQzhos32ya&#10;uPHgvMeGsiPWs9TKwxm5KDDDUjj/Iiz0gLGhcf+MIy8JvehkcbYj++tv/pAPmhDlrIa+Uu5+7oVV&#10;nJXfNQi86w2HQZDxMhzd9HGx15HNdUTvqweChEESpotmyPfl2cwtVa94CvPQFSGhJXqn3J/NB9+q&#10;Hk9Jqvk8JkGCRvilXhkZSgfsAsLr5lVYc6LBg8AnOitRTD6w0ea2qM/3nvIiUhVwblE9wQ/5RgZP&#10;Ty28j+t7zHr7Q5j9BgAA//8DAFBLAwQUAAYACAAAACEA9hlN+OIAAAALAQAADwAAAGRycy9kb3du&#10;cmV2LnhtbEyPwU7DMAyG70i8Q+RJ3FjaMra2NJ2mShMSgsPGLtzSJmurJU5psq3w9JgTHH/70+/P&#10;xXqyhl306HuHAuJ5BExj41SPrYDD+/Y+BeaDRCWNQy3gS3tYl7c3hcyVu+JOX/ahZVSCPpcCuhCG&#10;nHPfdNpKP3eDRtod3WhloDi2XI3ySuXW8CSKltzKHulCJwdddbo57c9WwEu1fZO7OrHpt6meX4+b&#10;4fPw8SjE3WzaPAELegp/MPzqkzqU5FS7MyrPDOVslRAq4CFdZMCIWMVLmtQCFkkWAy8L/v+H8gcA&#10;AP//AwBQSwECLQAUAAYACAAAACEAtoM4kv4AAADhAQAAEwAAAAAAAAAAAAAAAAAAAAAAW0NvbnRl&#10;bnRfVHlwZXNdLnhtbFBLAQItABQABgAIAAAAIQA4/SH/1gAAAJQBAAALAAAAAAAAAAAAAAAAAC8B&#10;AABfcmVscy8ucmVsc1BLAQItABQABgAIAAAAIQBRNNN4LQIAAFgEAAAOAAAAAAAAAAAAAAAAAC4C&#10;AABkcnMvZTJvRG9jLnhtbFBLAQItABQABgAIAAAAIQD2GU344gAAAAsBAAAPAAAAAAAAAAAAAAAA&#10;AIcEAABkcnMvZG93bnJldi54bWxQSwUGAAAAAAQABADzAAAAlgUAAAAA&#10;" filled="f" stroked="f" strokeweight=".5pt">
                <v:textbox>
                  <w:txbxContent>
                    <w:p w14:paraId="1B15DD33" w14:textId="6EE95FAD" w:rsidR="00A64494" w:rsidRPr="00A64494" w:rsidRDefault="00A64494">
                      <w:pPr>
                        <w:rPr>
                          <w:b/>
                          <w:bCs/>
                        </w:rPr>
                      </w:pPr>
                      <w:r w:rsidRPr="00A64494">
                        <w:rPr>
                          <w:b/>
                          <w:bCs/>
                        </w:rPr>
                        <w:t>Venn Diagram of DEGs</w:t>
                      </w:r>
                      <w:r>
                        <w:rPr>
                          <w:b/>
                          <w:bCs/>
                        </w:rPr>
                        <w:t xml:space="preserve"> attributed to each model term</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BCCC040" wp14:editId="48CA6F85">
                <wp:simplePos x="0" y="0"/>
                <wp:positionH relativeFrom="margin">
                  <wp:posOffset>0</wp:posOffset>
                </wp:positionH>
                <wp:positionV relativeFrom="paragraph">
                  <wp:posOffset>4937125</wp:posOffset>
                </wp:positionV>
                <wp:extent cx="5871845" cy="223520"/>
                <wp:effectExtent l="0" t="0" r="0" b="5080"/>
                <wp:wrapTopAndBottom/>
                <wp:docPr id="5" name="Text Box 5"/>
                <wp:cNvGraphicFramePr/>
                <a:graphic xmlns:a="http://schemas.openxmlformats.org/drawingml/2006/main">
                  <a:graphicData uri="http://schemas.microsoft.com/office/word/2010/wordprocessingShape">
                    <wps:wsp>
                      <wps:cNvSpPr txBox="1"/>
                      <wps:spPr>
                        <a:xfrm>
                          <a:off x="0" y="0"/>
                          <a:ext cx="5871845" cy="223520"/>
                        </a:xfrm>
                        <a:prstGeom prst="rect">
                          <a:avLst/>
                        </a:prstGeom>
                        <a:solidFill>
                          <a:prstClr val="white"/>
                        </a:solidFill>
                        <a:ln>
                          <a:noFill/>
                        </a:ln>
                      </wps:spPr>
                      <wps:txbx>
                        <w:txbxContent>
                          <w:p w14:paraId="0DA3A488" w14:textId="7AE3ACB4" w:rsidR="0037382C" w:rsidRPr="006B4939" w:rsidRDefault="0037382C" w:rsidP="0037382C">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Venn diagram showing DEGs attributed to line, environment, or their interaction in the a) F1 and b) F3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CC040" id="Text Box 5" o:spid="_x0000_s1030" type="#_x0000_t202" style="position:absolute;margin-left:0;margin-top:388.75pt;width:462.35pt;height:1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5HMgIAAGcEAAAOAAAAZHJzL2Uyb0RvYy54bWysVMFuGjEQvVfqP1i+lwUaWrRiiSgRVaUo&#10;iQRVzsZrs5Zsj2sbdunXd+xlSZr2VPViZmfGM37vzbC47YwmJ+GDAlvRyWhMibAcamUPFf2+23yY&#10;UxIiszXTYEVFzyLQ2+X7d4vWlWIKDehaeIJFbChbV9EmRlcWReCNMCyMwAmLQQnesIif/lDUnrVY&#10;3ehiOh5/KlrwtfPARQjoveuDdJnrSyl4fJQyiEh0RfFtMZ8+n/t0FssFKw+euUbxyzPYP7zCMGWx&#10;6bXUHYuMHL36o5RR3EMAGUccTAFSKi4yBkQzGb9Bs22YExkLkhPclabw/8ryh9OTJ6qu6IwSywxK&#10;tBNdJF+gI7PETutCiUlbh2mxQzeqPPgDOhPoTnqTfhEOwTjyfL5ym4pxdM7mnyfzG2zCMTadfpxN&#10;M/nFy23nQ/wqwJBkVNSjdplSdroPEV+CqUNKahZAq3qjtE4fKbDWnpwY6tw2Kor0RrzxW5a2KddC&#10;utWHk6dIEHsoyYrdvsuE3Aww91CfEb2HfnqC4xuF/e5ZiE/M47ggYFyB+IiH1NBWFC4WJQ34n3/z&#10;p3xUEaOUtDh+FQ0/jswLSvQ3i/qmWR0MPxj7wbBHswZEOsHlcjybeMFHPZjSg3nGzVilLhhilmOv&#10;isbBXMd+CXCzuFitchJOpGPx3m4dT6UHXnfdM/PuokpEPR9gGExWvhGnz+1ZXh0jSJWVS7z2LF7o&#10;xmnO8lw2L63L6++c9fL/sPwFAAD//wMAUEsDBBQABgAIAAAAIQBWIazJ3wAAAAgBAAAPAAAAZHJz&#10;L2Rvd25yZXYueG1sTI/BTsMwEETvSPyDtUhcEHUaQV1CNhW0cCuHlqrnbWySiHgdxU6T/j3mBMfR&#10;jGbe5KvJtuJset84RpjPEhCGS6cbrhAOn+/3SxA+EGtqHRuEi/GwKq6vcsq0G3lnzvtQiVjCPiOE&#10;OoQuk9KXtbHkZ64zHL0v11sKUfaV1D2Nsdy2Mk2ShbTUcFyoqTPr2pTf+8EiLDb9MO54fbc5vG3p&#10;o6vS4+vliHh7M708gwhmCn9h+MWP6FBEppMbWHvRIsQjAUEp9Qgi2k/pgwJxQljOUwWyyOX/A8UP&#10;AAAA//8DAFBLAQItABQABgAIAAAAIQC2gziS/gAAAOEBAAATAAAAAAAAAAAAAAAAAAAAAABbQ29u&#10;dGVudF9UeXBlc10ueG1sUEsBAi0AFAAGAAgAAAAhADj9If/WAAAAlAEAAAsAAAAAAAAAAAAAAAAA&#10;LwEAAF9yZWxzLy5yZWxzUEsBAi0AFAAGAAgAAAAhAPSETkcyAgAAZwQAAA4AAAAAAAAAAAAAAAAA&#10;LgIAAGRycy9lMm9Eb2MueG1sUEsBAi0AFAAGAAgAAAAhAFYhrMnfAAAACAEAAA8AAAAAAAAAAAAA&#10;AAAAjAQAAGRycy9kb3ducmV2LnhtbFBLBQYAAAAABAAEAPMAAACYBQAAAAA=&#10;" stroked="f">
                <v:textbox inset="0,0,0,0">
                  <w:txbxContent>
                    <w:p w14:paraId="0DA3A488" w14:textId="7AE3ACB4" w:rsidR="0037382C" w:rsidRPr="006B4939" w:rsidRDefault="0037382C" w:rsidP="0037382C">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Venn diagram showing DEGs attributed to line, environment, or their interaction in the a) F1 and b) F3 generations</w:t>
                      </w:r>
                    </w:p>
                  </w:txbxContent>
                </v:textbox>
                <w10:wrap type="topAndBottom" anchorx="margin"/>
              </v:shape>
            </w:pict>
          </mc:Fallback>
        </mc:AlternateContent>
      </w:r>
      <w:r w:rsidRPr="00A64494">
        <w:rPr>
          <w:rFonts w:ascii="Times New Roman" w:hAnsi="Times New Roman" w:cs="Times New Roman"/>
        </w:rPr>
        <w:drawing>
          <wp:anchor distT="0" distB="0" distL="114300" distR="114300" simplePos="0" relativeHeight="251659264" behindDoc="0" locked="0" layoutInCell="1" allowOverlap="1" wp14:anchorId="4A5918D7" wp14:editId="51CD372C">
            <wp:simplePos x="0" y="0"/>
            <wp:positionH relativeFrom="column">
              <wp:posOffset>3060700</wp:posOffset>
            </wp:positionH>
            <wp:positionV relativeFrom="paragraph">
              <wp:posOffset>2646045</wp:posOffset>
            </wp:positionV>
            <wp:extent cx="2680970" cy="2251710"/>
            <wp:effectExtent l="0" t="0" r="5080" b="0"/>
            <wp:wrapTopAndBottom/>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0970" cy="2251710"/>
                    </a:xfrm>
                    <a:prstGeom prst="rect">
                      <a:avLst/>
                    </a:prstGeom>
                  </pic:spPr>
                </pic:pic>
              </a:graphicData>
            </a:graphic>
            <wp14:sizeRelH relativeFrom="margin">
              <wp14:pctWidth>0</wp14:pctWidth>
            </wp14:sizeRelH>
            <wp14:sizeRelV relativeFrom="margin">
              <wp14:pctHeight>0</wp14:pctHeight>
            </wp14:sizeRelV>
          </wp:anchor>
        </w:drawing>
      </w:r>
      <w:r w:rsidRPr="00A64494">
        <w:rPr>
          <w:rFonts w:ascii="Times New Roman" w:hAnsi="Times New Roman" w:cs="Times New Roman"/>
        </w:rPr>
        <w:drawing>
          <wp:anchor distT="0" distB="0" distL="114300" distR="114300" simplePos="0" relativeHeight="251660288" behindDoc="0" locked="0" layoutInCell="1" allowOverlap="1" wp14:anchorId="3AED0D23" wp14:editId="78222AB4">
            <wp:simplePos x="0" y="0"/>
            <wp:positionH relativeFrom="margin">
              <wp:posOffset>241300</wp:posOffset>
            </wp:positionH>
            <wp:positionV relativeFrom="paragraph">
              <wp:posOffset>2669540</wp:posOffset>
            </wp:positionV>
            <wp:extent cx="2628265" cy="2207895"/>
            <wp:effectExtent l="0" t="0" r="635" b="190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28265" cy="2207895"/>
                    </a:xfrm>
                    <a:prstGeom prst="rect">
                      <a:avLst/>
                    </a:prstGeom>
                  </pic:spPr>
                </pic:pic>
              </a:graphicData>
            </a:graphic>
            <wp14:sizeRelH relativeFrom="margin">
              <wp14:pctWidth>0</wp14:pctWidth>
            </wp14:sizeRelH>
            <wp14:sizeRelV relativeFrom="margin">
              <wp14:pctHeight>0</wp14:pctHeight>
            </wp14:sizeRelV>
          </wp:anchor>
        </w:drawing>
      </w:r>
      <w:r w:rsidR="00A64494" w:rsidRPr="00A64494">
        <w:rPr>
          <w:rFonts w:ascii="Times New Roman" w:hAnsi="Times New Roman" w:cs="Times New Roman"/>
          <w:b/>
          <w:bCs/>
          <w:i/>
          <w:iCs/>
        </w:rPr>
        <w:t>Conclusion</w:t>
      </w:r>
    </w:p>
    <w:p w14:paraId="426CF3D4" w14:textId="68D2E567" w:rsidR="003A7B14" w:rsidRPr="0037382C" w:rsidRDefault="0037382C" w:rsidP="00A64494">
      <w:pPr>
        <w:rPr>
          <w:rFonts w:ascii="Times New Roman" w:hAnsi="Times New Roman" w:cs="Times New Roman"/>
        </w:rPr>
      </w:pPr>
      <w:proofErr w:type="spellStart"/>
      <w:r>
        <w:rPr>
          <w:rFonts w:ascii="Times New Roman" w:hAnsi="Times New Roman" w:cs="Times New Roman"/>
          <w:i/>
          <w:iCs/>
        </w:rPr>
        <w:t>A.tonsa</w:t>
      </w:r>
      <w:proofErr w:type="spellEnd"/>
      <w:r>
        <w:rPr>
          <w:rFonts w:ascii="Times New Roman" w:hAnsi="Times New Roman" w:cs="Times New Roman"/>
          <w:i/>
          <w:iCs/>
        </w:rPr>
        <w:t xml:space="preserve"> </w:t>
      </w:r>
      <w:r>
        <w:rPr>
          <w:rFonts w:ascii="Times New Roman" w:hAnsi="Times New Roman" w:cs="Times New Roman"/>
        </w:rPr>
        <w:t>copepods appear</w:t>
      </w:r>
      <w:r w:rsidR="00A64494" w:rsidRPr="00A64494">
        <w:rPr>
          <w:rFonts w:ascii="Times New Roman" w:hAnsi="Times New Roman" w:cs="Times New Roman"/>
        </w:rPr>
        <w:t xml:space="preserve"> capable of adapting to sudden warming events, as indicated by changes in DEGs attributed to environment from F1 to F3. Additionally, there is some legacy effect of line as indicate by the large number of line attributed DEGs in the F3 generation. The impact of the line on gene expression indicated that 20 generations of experimental evolution does significantly alter gene expression even after transplanting. Further as the model showed significant differences in gene expression between both line and environment, we know that HH environments do alter the physiology of copepods. </w:t>
      </w:r>
      <w:proofErr w:type="spellStart"/>
      <w:r w:rsidR="00A64494" w:rsidRPr="00A64494">
        <w:rPr>
          <w:rFonts w:ascii="Times New Roman" w:hAnsi="Times New Roman" w:cs="Times New Roman"/>
        </w:rPr>
        <w:t>Initally</w:t>
      </w:r>
      <w:proofErr w:type="spellEnd"/>
      <w:r w:rsidR="00A64494" w:rsidRPr="00A64494">
        <w:rPr>
          <w:rFonts w:ascii="Times New Roman" w:hAnsi="Times New Roman" w:cs="Times New Roman"/>
        </w:rPr>
        <w:t xml:space="preserve"> we see strong indication of interaction in the F1 generation, however interaction associated DEGs are less prevalent in F3. All these results combined could indicate adaptive capacity in the expression of some genes, while others are less flexible. It is apparent that time in a given environment has an impact on gene expression; in the future it would be useful to understand the expression levels in the generations leading up to transplant as well as in more generations post</w:t>
      </w:r>
      <w:r>
        <w:rPr>
          <w:rFonts w:ascii="Times New Roman" w:hAnsi="Times New Roman" w:cs="Times New Roman"/>
        </w:rPr>
        <w:t>-</w:t>
      </w:r>
      <w:r w:rsidR="00A64494" w:rsidRPr="00A64494">
        <w:rPr>
          <w:rFonts w:ascii="Times New Roman" w:hAnsi="Times New Roman" w:cs="Times New Roman"/>
        </w:rPr>
        <w:t>transplant (</w:t>
      </w:r>
      <w:proofErr w:type="gramStart"/>
      <w:r w:rsidR="00A64494" w:rsidRPr="00A64494">
        <w:rPr>
          <w:rFonts w:ascii="Times New Roman" w:hAnsi="Times New Roman" w:cs="Times New Roman"/>
        </w:rPr>
        <w:t>e.g.</w:t>
      </w:r>
      <w:proofErr w:type="gramEnd"/>
      <w:r w:rsidR="00A64494" w:rsidRPr="00A64494">
        <w:rPr>
          <w:rFonts w:ascii="Times New Roman" w:hAnsi="Times New Roman" w:cs="Times New Roman"/>
        </w:rPr>
        <w:t xml:space="preserve"> up to F10). It would also be useful to understand how environment is impacting phenotypic traits of copepods like body size (per Rice et.al. 2014), to connect gene expression with the physical nature of the organism.</w:t>
      </w:r>
    </w:p>
    <w:sectPr w:rsidR="003A7B14" w:rsidRPr="0037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94"/>
    <w:rsid w:val="00142241"/>
    <w:rsid w:val="0037382C"/>
    <w:rsid w:val="003A7B14"/>
    <w:rsid w:val="00A64494"/>
    <w:rsid w:val="00C8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104E"/>
  <w15:chartTrackingRefBased/>
  <w15:docId w15:val="{2415565E-3688-4F06-9D5F-59F9C19B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38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Kretzler</dc:creator>
  <cp:keywords/>
  <dc:description/>
  <cp:lastModifiedBy>Bailey Kretzler</cp:lastModifiedBy>
  <cp:revision>1</cp:revision>
  <dcterms:created xsi:type="dcterms:W3CDTF">2021-10-25T22:37:00Z</dcterms:created>
  <dcterms:modified xsi:type="dcterms:W3CDTF">2021-10-25T23:08:00Z</dcterms:modified>
</cp:coreProperties>
</file>