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PRD - YieldField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Site Vitrine Finance de Marché × IA — v1.1</w:t>
      </w:r>
    </w:p>
    <w:p>
      <w:pPr>
        <w:spacing w:after="240"/>
        <w:jc w:val="center"/>
      </w:pPr>
      <w:r>
        <w:rPr>
          <w:color w:val="2E75B6"/>
          <w:sz w:val="18"/>
          <w:szCs w:val="18"/>
        </w:rPr>
        <w:t xml:space="preserve">Recommandations de Bryan intégrées</w:t>
      </w:r>
    </w:p>
    <w:p>
      <w:pPr>
        <w:spacing w:after="120"/>
      </w:pPr>
      <w:r>
        <w:rPr>
          <w:b/>
          <w:bCs/>
          <w:color w:val="1F4E78"/>
          <w:sz w:val="28"/>
          <w:szCs w:val="28"/>
        </w:rPr>
        <w:t xml:space="preserve">SECTION 1: KPIs ENRICHIS</w:t>
      </w:r>
    </w:p>
    <w:p>
      <w:pPr>
        <w:spacing w:after="100"/>
      </w:pPr>
      <w:r>
        <w:t xml:space="preserve">Dashboard enrichi avec 6-8 KPIs (au lieu de 3):</w:t>
      </w:r>
    </w:p>
    <w:p>
      <w:pPr>
        <w:pStyle w:val="ListParagraph"/>
        <w:numPr>
          <w:ilvl w:val="0"/>
          <w:numId w:val="2"/>
        </w:numPr>
      </w:pPr>
      <w:r>
        <w:t xml:space="preserve">Courbe des taux: OAT 2Y, 5Y, 10Y, 30Y</w:t>
      </w:r>
    </w:p>
    <w:p>
      <w:pPr>
        <w:pStyle w:val="ListParagraph"/>
        <w:numPr>
          <w:ilvl w:val="0"/>
          <w:numId w:val="2"/>
        </w:numPr>
      </w:pPr>
      <w:r>
        <w:t xml:space="preserve">Spreads: OAT-Bund, Bund-US</w:t>
      </w:r>
    </w:p>
    <w:p>
      <w:pPr>
        <w:pStyle w:val="ListParagraph"/>
        <w:numPr>
          <w:ilvl w:val="0"/>
          <w:numId w:val="2"/>
        </w:numPr>
      </w:pPr>
      <w:r>
        <w:t xml:space="preserve">Indices: CAC 40, Euro Stoxx 50, S&amp;P 500, Nikkei</w:t>
      </w:r>
    </w:p>
    <w:p>
      <w:pPr>
        <w:pStyle w:val="ListParagraph"/>
        <w:numPr>
          <w:ilvl w:val="0"/>
          <w:numId w:val="2"/>
        </w:numPr>
      </w:pPr>
      <w:r>
        <w:t xml:space="preserve">Volatilité: VIX, VSTOXX</w:t>
      </w:r>
    </w:p>
    <w:p>
      <w:pPr>
        <w:pStyle w:val="ListParagraph"/>
        <w:numPr>
          <w:ilvl w:val="0"/>
          <w:numId w:val="2"/>
        </w:numPr>
      </w:pPr>
      <w:r>
        <w:t xml:space="preserve">Macro: Dollar Index, rendements EUR/USD</w:t>
      </w:r>
    </w:p>
    <w:p>
      <w:r>
        <w:br w:type="page"/>
      </w:r>
    </w:p>
    <w:p>
      <w:pPr>
        <w:spacing w:after="120"/>
      </w:pPr>
      <w:r>
        <w:rPr>
          <w:b/>
          <w:bCs/>
          <w:color w:val="1F4E78"/>
          <w:sz w:val="28"/>
          <w:szCs w:val="28"/>
        </w:rPr>
        <w:t xml:space="preserve">SECTION 2: BRIEFING MACRO - CONTEXTE RICHE</w:t>
      </w:r>
    </w:p>
    <w:p>
      <w:pPr>
        <w:spacing w:after="100"/>
      </w:pPr>
      <w:r>
        <w:t xml:space="preserve">Améliorer le briefing IA avec:</w:t>
      </w:r>
    </w:p>
    <w:p>
      <w:pPr>
        <w:pStyle w:val="ListParagraph"/>
        <w:numPr>
          <w:ilvl w:val="0"/>
          <w:numId w:val="2"/>
        </w:numPr>
      </w:pPr>
      <w:r>
        <w:t xml:space="preserve">Thème du jour (ex: 'Inflation US en focus')</w:t>
      </w:r>
    </w:p>
    <w:p>
      <w:pPr>
        <w:pStyle w:val="ListParagraph"/>
        <w:numPr>
          <w:ilvl w:val="0"/>
          <w:numId w:val="2"/>
        </w:numPr>
      </w:pPr>
      <w:r>
        <w:t xml:space="preserve">Niveau de certitude (préliminaire vs définitif)</w:t>
      </w:r>
    </w:p>
    <w:p>
      <w:pPr>
        <w:pStyle w:val="ListParagraph"/>
        <w:numPr>
          <w:ilvl w:val="0"/>
          <w:numId w:val="2"/>
        </w:numPr>
      </w:pPr>
      <w:r>
        <w:t xml:space="preserve">Événement clé attendu (jobs, BCE, résultats)</w:t>
      </w:r>
    </w:p>
    <w:p>
      <w:pPr>
        <w:pStyle w:val="ListParagraph"/>
        <w:numPr>
          <w:ilvl w:val="0"/>
          <w:numId w:val="2"/>
        </w:numPr>
      </w:pPr>
      <w:r>
        <w:t xml:space="preserve">Niveau de risque pour les positions</w:t>
      </w:r>
    </w:p>
    <w:p>
      <w:pPr>
        <w:spacing w:after="100" w:before="120"/>
      </w:pPr>
      <w:r>
        <w:rPr>
          <w:b/>
          <w:bCs/>
        </w:rPr>
        <w:t xml:space="preserve">Tone à adopter: </w:t>
      </w:r>
      <w:r>
        <w:t xml:space="preserve">Trader senior qui ne pédagogue pas.</w:t>
      </w:r>
    </w:p>
    <w:p>
      <w:pPr>
        <w:spacing w:after="60"/>
      </w:pPr>
      <w:r>
        <w:rPr>
          <w:b/>
          <w:bCs/>
          <w:color w:val="C00000"/>
        </w:rPr>
        <w:t xml:space="preserve">✗ Mauvais: </w:t>
      </w:r>
      <w:r>
        <w:t xml:space="preserve">'La BCE a augmenté les taux'</w:t>
      </w:r>
    </w:p>
    <w:p>
      <w:r>
        <w:rPr>
          <w:b/>
          <w:bCs/>
          <w:color w:val="00B050"/>
        </w:rPr>
        <w:t xml:space="preserve">✓ Bon: </w:t>
      </w:r>
      <w:r>
        <w:t xml:space="preserve">'La BCE resserre. OAT-Bund s'élargit. Crédit EU en alerte jaune.'</w:t>
      </w:r>
    </w:p>
    <w:p>
      <w:r>
        <w:br w:type="page"/>
      </w:r>
    </w:p>
    <w:p>
      <w:pPr>
        <w:spacing w:after="120"/>
      </w:pPr>
      <w:r>
        <w:rPr>
          <w:b/>
          <w:bCs/>
          <w:color w:val="1F4E78"/>
          <w:sz w:val="28"/>
          <w:szCs w:val="28"/>
        </w:rPr>
        <w:t xml:space="preserve">SECTION 3: SOURCES DE DONNÉES</w:t>
      </w:r>
    </w:p>
    <w:p>
      <w:pPr>
        <w:pStyle w:val="Heading2"/>
      </w:pPr>
      <w:r>
        <w:t xml:space="preserve">Taux (BCE + Banque de France)</w:t>
      </w:r>
    </w:p>
    <w:p>
      <w:pPr>
        <w:pStyle w:val="ListParagraph"/>
        <w:numPr>
          <w:ilvl w:val="0"/>
          <w:numId w:val="2"/>
        </w:numPr>
      </w:pPr>
      <w:r>
        <w:t xml:space="preserve">OAT 2Y, 5Y, 10Y, 30Y — BCE API / Euribot</w:t>
      </w:r>
    </w:p>
    <w:p>
      <w:pPr>
        <w:pStyle w:val="ListParagraph"/>
        <w:numPr>
          <w:ilvl w:val="0"/>
          <w:numId w:val="2"/>
        </w:numPr>
      </w:pPr>
      <w:r>
        <w:t xml:space="preserve">Spreads OAT-Bund (calcul local: OAT - Bund)</w:t>
      </w:r>
    </w:p>
    <w:p>
      <w:pPr>
        <w:pStyle w:val="ListParagraph"/>
        <w:numPr>
          <w:ilvl w:val="0"/>
          <w:numId w:val="2"/>
        </w:numPr>
      </w:pPr>
      <w:r>
        <w:t xml:space="preserve">Rendement temps réel</w:t>
      </w:r>
    </w:p>
    <w:p>
      <w:pPr>
        <w:pStyle w:val="Heading2"/>
      </w:pPr>
      <w:r>
        <w:t xml:space="preserve">Indices Boursiers</w:t>
      </w:r>
    </w:p>
    <w:p>
      <w:pPr>
        <w:pStyle w:val="ListParagraph"/>
        <w:numPr>
          <w:ilvl w:val="0"/>
          <w:numId w:val="2"/>
        </w:numPr>
      </w:pPr>
      <w:r>
        <w:t xml:space="preserve">CAC 40, Euro Stoxx 50 — Finnhub / Twelvedata</w:t>
      </w:r>
    </w:p>
    <w:p>
      <w:pPr>
        <w:pStyle w:val="ListParagraph"/>
        <w:numPr>
          <w:ilvl w:val="0"/>
          <w:numId w:val="2"/>
        </w:numPr>
      </w:pPr>
      <w:r>
        <w:t xml:space="preserve">S&amp;P 500, Nasdaq — Alpha Vantage</w:t>
      </w:r>
    </w:p>
    <w:p>
      <w:pPr>
        <w:pStyle w:val="ListParagraph"/>
        <w:numPr>
          <w:ilvl w:val="0"/>
          <w:numId w:val="2"/>
        </w:numPr>
      </w:pPr>
      <w:r>
        <w:t xml:space="preserve">Nikkei — Clé pour Asia risk-on/off</w:t>
      </w:r>
    </w:p>
    <w:p>
      <w:pPr>
        <w:pStyle w:val="Heading2"/>
      </w:pPr>
      <w:r>
        <w:t xml:space="preserve">Volatilité</w:t>
      </w:r>
    </w:p>
    <w:p>
      <w:pPr>
        <w:pStyle w:val="ListParagraph"/>
        <w:numPr>
          <w:ilvl w:val="0"/>
          <w:numId w:val="2"/>
        </w:numPr>
      </w:pPr>
      <w:r>
        <w:t xml:space="preserve">VIX — US equity fear gauge (CBOE)</w:t>
      </w:r>
    </w:p>
    <w:p>
      <w:pPr>
        <w:pStyle w:val="ListParagraph"/>
        <w:numPr>
          <w:ilvl w:val="0"/>
          <w:numId w:val="2"/>
        </w:numPr>
      </w:pPr>
      <w:r>
        <w:t xml:space="preserve">VSTOXX — EU equity volatility (Eurex)</w:t>
      </w:r>
    </w:p>
    <w:p>
      <w:pPr>
        <w:pStyle w:val="Heading2"/>
      </w:pPr>
      <w:r>
        <w:t xml:space="preserve">Macro Complémentaire</w:t>
      </w:r>
    </w:p>
    <w:p>
      <w:pPr>
        <w:pStyle w:val="ListParagraph"/>
        <w:numPr>
          <w:ilvl w:val="0"/>
          <w:numId w:val="2"/>
        </w:numPr>
      </w:pPr>
      <w:r>
        <w:t xml:space="preserve">Dollar Index (DXY) — ICE</w:t>
      </w:r>
    </w:p>
    <w:p>
      <w:pPr>
        <w:pStyle w:val="ListParagraph"/>
        <w:numPr>
          <w:ilvl w:val="0"/>
          <w:numId w:val="2"/>
        </w:numPr>
      </w:pPr>
      <w:r>
        <w:t xml:space="preserve">Commodités: WTI (pétrole), Gold (or)</w:t>
      </w:r>
    </w:p>
    <w:p>
      <w:pPr>
        <w:pStyle w:val="Heading2"/>
      </w:pPr>
      <w:r>
        <w:t xml:space="preserve">Fallback Strategy</w:t>
      </w:r>
    </w:p>
    <w:p>
      <w:r>
        <w:t xml:space="preserve">Si une API échoue, afficher dernière donnée valide + timestamp 'donnée &gt; 12h'.</w:t>
      </w:r>
    </w:p>
    <w:p>
      <w:r>
        <w:br w:type="page"/>
      </w:r>
    </w:p>
    <w:p>
      <w:pPr>
        <w:spacing w:after="120"/>
      </w:pPr>
      <w:r>
        <w:rPr>
          <w:b/>
          <w:bCs/>
          <w:color w:val="1F4E78"/>
          <w:sz w:val="28"/>
          <w:szCs w:val="28"/>
        </w:rPr>
        <w:t xml:space="preserve">SECTION 4: EDGE CASES FINANCE</w:t>
      </w:r>
    </w:p>
    <w:p>
      <w:pPr>
        <w:pStyle w:val="ListParagraph"/>
        <w:numPr>
          <w:ilvl w:val="0"/>
          <w:numId w:val="2"/>
        </w:numPr>
      </w:pPr>
      <w:r>
        <w:t xml:space="preserve">Marché fermé → afficher veille + 'dernier jour ouvré'</w:t>
      </w:r>
    </w:p>
    <w:p>
      <w:pPr>
        <w:pStyle w:val="ListParagraph"/>
        <w:numPr>
          <w:ilvl w:val="0"/>
          <w:numId w:val="2"/>
        </w:numPr>
      </w:pPr>
      <w:r>
        <w:t xml:space="preserve">Données manquantes → dernière valeur + 'donnée &gt; 12h'</w:t>
      </w:r>
    </w:p>
    <w:p>
      <w:pPr>
        <w:pStyle w:val="ListParagraph"/>
        <w:numPr>
          <w:ilvl w:val="0"/>
          <w:numId w:val="2"/>
        </w:numPr>
      </w:pPr>
      <w:r>
        <w:t xml:space="preserve">Crise/spike volatilité → tone change, alerte risque</w:t>
      </w:r>
    </w:p>
    <w:p>
      <w:pPr>
        <w:pStyle w:val="ListParagraph"/>
        <w:numPr>
          <w:ilvl w:val="0"/>
          <w:numId w:val="2"/>
        </w:numPr>
      </w:pPr>
      <w:r>
        <w:t xml:space="preserve">Erreur API → fallback gracieux + historique 7j</w:t>
      </w:r>
    </w:p>
    <w:p>
      <w:r>
        <w:br w:type="page"/>
      </w:r>
    </w:p>
    <w:p>
      <w:pPr>
        <w:spacing w:after="120"/>
      </w:pPr>
      <w:r>
        <w:rPr>
          <w:b/>
          <w:bCs/>
          <w:color w:val="1F4E78"/>
          <w:sz w:val="28"/>
          <w:szCs w:val="28"/>
        </w:rPr>
        <w:t xml:space="preserve">SECTION 5: PAGE COULISSES - TRANSPARENCE</w:t>
      </w:r>
    </w:p>
    <w:p>
      <w:r>
        <w:t xml:space="preserve">Montrer la mécanique IA derrière le site:</w:t>
      </w:r>
    </w:p>
    <w:p>
      <w:pPr>
        <w:pStyle w:val="ListParagraph"/>
        <w:numPr>
          <w:ilvl w:val="0"/>
          <w:numId w:val="2"/>
        </w:numPr>
      </w:pPr>
      <w:r>
        <w:t xml:space="preserve">Historique courbe des taux (1M/3M/1Y/5Y/10Y animée)</w:t>
      </w:r>
    </w:p>
    <w:p>
      <w:pPr>
        <w:pStyle w:val="ListParagraph"/>
        <w:numPr>
          <w:ilvl w:val="0"/>
          <w:numId w:val="2"/>
        </w:numPr>
      </w:pPr>
      <w:r>
        <w:t xml:space="preserve">Logs appels API (timestamps, latence)</w:t>
      </w:r>
    </w:p>
    <w:p>
      <w:pPr>
        <w:pStyle w:val="ListParagraph"/>
        <w:numPr>
          <w:ilvl w:val="0"/>
          <w:numId w:val="2"/>
        </w:numPr>
      </w:pPr>
      <w:r>
        <w:t xml:space="preserve">Prompts d'analyse (v03→v06, évolution du tone)</w:t>
      </w:r>
    </w:p>
    <w:p>
      <w:pPr>
        <w:pStyle w:val="ListParagraph"/>
        <w:numPr>
          <w:ilvl w:val="0"/>
          <w:numId w:val="2"/>
        </w:numPr>
      </w:pPr>
      <w:r>
        <w:t xml:space="preserve">Exemples: données brutes → briefing généré</w:t>
      </w:r>
    </w:p>
    <w:p>
      <w:r>
        <w:br w:type="page"/>
      </w:r>
    </w:p>
    <w:p>
      <w:pPr>
        <w:spacing w:after="120"/>
      </w:pPr>
      <w:r>
        <w:rPr>
          <w:b/>
          <w:bCs/>
          <w:color w:val="1F4E78"/>
          <w:sz w:val="28"/>
          <w:szCs w:val="28"/>
        </w:rPr>
        <w:t xml:space="preserve">SECTION 6: CRITÈRES DE SUCCÈS (DoD)</w:t>
      </w:r>
    </w:p>
    <w:p>
      <w:r>
        <w:t xml:space="preserve">Valider AVANT de considérer 'Done':</w:t>
      </w:r>
    </w:p>
    <w:p>
      <w:pPr>
        <w:pStyle w:val="ListParagraph"/>
        <w:numPr>
          <w:ilvl w:val="0"/>
          <w:numId w:val="2"/>
        </w:numPr>
      </w:pPr>
      <w:r>
        <w:t xml:space="preserve">✅ Courbe des taux visible et mise à jour quotidienne</w:t>
      </w:r>
    </w:p>
    <w:p>
      <w:pPr>
        <w:pStyle w:val="ListParagraph"/>
        <w:numPr>
          <w:ilvl w:val="0"/>
          <w:numId w:val="2"/>
        </w:numPr>
      </w:pPr>
      <w:r>
        <w:t xml:space="preserve">✅ Spread OAT-Bund calculé et affiché</w:t>
      </w:r>
    </w:p>
    <w:p>
      <w:pPr>
        <w:pStyle w:val="ListParagraph"/>
        <w:numPr>
          <w:ilvl w:val="0"/>
          <w:numId w:val="2"/>
        </w:numPr>
      </w:pPr>
      <w:r>
        <w:t xml:space="preserve">✅ Briefing mentionne ≥2 spreads/volatilité</w:t>
      </w:r>
    </w:p>
    <w:p>
      <w:pPr>
        <w:pStyle w:val="ListParagraph"/>
        <w:numPr>
          <w:ilvl w:val="0"/>
          <w:numId w:val="2"/>
        </w:numPr>
      </w:pPr>
      <w:r>
        <w:t xml:space="preserve">✅ Page Coulisses montre évolutions prompts</w:t>
      </w:r>
    </w:p>
    <w:p>
      <w:pPr>
        <w:pStyle w:val="ListParagraph"/>
        <w:numPr>
          <w:ilvl w:val="0"/>
          <w:numId w:val="2"/>
        </w:numPr>
      </w:pPr>
      <w:r>
        <w:t xml:space="preserve">✅ Edge case test: fallback gracieux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2026-04-11T11:19:05.409Z</dcterms:created>
  <dcterms:modified xsi:type="dcterms:W3CDTF">2026-04-11T11:19:05.410Z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