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80EAB">
      <w:pPr>
        <w:spacing w:before="240" w:after="240"/>
      </w:pPr>
    </w:p>
    <w:p w14:paraId="0C861394">
      <w:pPr>
        <w:spacing w:before="200" w:after="160"/>
        <w:jc w:val="center"/>
      </w:pPr>
      <w:r>
        <w:rPr>
          <w:rFonts w:ascii="Arial" w:hAnsi="Arial" w:eastAsia="Arial" w:cs="Arial"/>
          <w:b/>
          <w:bCs/>
          <w:color w:val="1A3A5C"/>
          <w:sz w:val="56"/>
          <w:szCs w:val="56"/>
        </w:rPr>
        <w:t>政通推演坊</w:t>
      </w:r>
    </w:p>
    <w:p w14:paraId="5915815A">
      <w:pPr>
        <w:spacing w:before="0" w:after="120"/>
        <w:jc w:val="center"/>
      </w:pPr>
      <w:r>
        <w:rPr>
          <w:rFonts w:ascii="Arial" w:hAnsi="Arial" w:eastAsia="Arial" w:cs="Arial"/>
          <w:b/>
          <w:bCs/>
          <w:color w:val="2469A0"/>
          <w:sz w:val="36"/>
          <w:szCs w:val="36"/>
        </w:rPr>
        <w:t>GovSim Studio</w:t>
      </w:r>
    </w:p>
    <w:p w14:paraId="2CD37D40">
      <w:pPr>
        <w:spacing w:before="0" w:after="200"/>
        <w:jc w:val="center"/>
      </w:pPr>
      <w:r>
        <w:rPr>
          <w:rFonts w:ascii="Arial" w:hAnsi="Arial" w:eastAsia="Arial" w:cs="Arial"/>
          <w:color w:val="334455"/>
          <w:sz w:val="26"/>
          <w:szCs w:val="26"/>
        </w:rPr>
        <w:t>基于知识库循证驱动的国家治理多人可配置严肃游戏平台</w:t>
      </w:r>
    </w:p>
    <w:p w14:paraId="2317F232">
      <w:pPr>
        <w:spacing w:before="0" w:after="600"/>
        <w:jc w:val="center"/>
      </w:pPr>
      <w:r>
        <w:rPr>
          <w:rFonts w:ascii="Arial" w:hAnsi="Arial" w:eastAsia="Arial" w:cs="Arial"/>
          <w:color w:val="446688"/>
          <w:sz w:val="22"/>
          <w:szCs w:val="22"/>
        </w:rPr>
        <w:t>——让每一个决策选项，都有文献可溯；让每一场博弈，都在制度之内</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CE5D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641C3759">
            <w:r>
              <w:rPr>
                <w:rFonts w:ascii="Arial" w:hAnsi="Arial" w:eastAsia="Arial" w:cs="Arial"/>
                <w:b/>
                <w:bCs/>
                <w:color w:val="1A3A5C"/>
                <w:sz w:val="20"/>
                <w:szCs w:val="20"/>
              </w:rPr>
              <w:t>项目中文名</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0E04CC9D">
            <w:pPr>
              <w:spacing w:before="28" w:after="28"/>
            </w:pPr>
            <w:r>
              <w:rPr>
                <w:rFonts w:ascii="Arial" w:hAnsi="Arial" w:eastAsia="Arial" w:cs="Arial"/>
                <w:color w:val="222222"/>
                <w:sz w:val="20"/>
                <w:szCs w:val="20"/>
              </w:rPr>
              <w:t>政通推演坊</w:t>
            </w:r>
          </w:p>
        </w:tc>
      </w:tr>
      <w:tr w14:paraId="68D38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09D9636B">
            <w:r>
              <w:rPr>
                <w:rFonts w:ascii="Arial" w:hAnsi="Arial" w:eastAsia="Arial" w:cs="Arial"/>
                <w:b/>
                <w:bCs/>
                <w:color w:val="1A3A5C"/>
                <w:sz w:val="20"/>
                <w:szCs w:val="20"/>
              </w:rPr>
              <w:t>项目英文名</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33C27F68">
            <w:pPr>
              <w:spacing w:before="28" w:after="28"/>
            </w:pPr>
            <w:r>
              <w:rPr>
                <w:rFonts w:ascii="Arial" w:hAnsi="Arial" w:eastAsia="Arial" w:cs="Arial"/>
                <w:color w:val="222222"/>
                <w:sz w:val="20"/>
                <w:szCs w:val="20"/>
              </w:rPr>
              <w:t>GovSim Studio</w:t>
            </w:r>
          </w:p>
        </w:tc>
      </w:tr>
      <w:tr w14:paraId="05EFE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30BC4D8B">
            <w:r>
              <w:rPr>
                <w:rFonts w:ascii="Arial" w:hAnsi="Arial" w:eastAsia="Arial" w:cs="Arial"/>
                <w:b/>
                <w:bCs/>
                <w:color w:val="1A3A5C"/>
                <w:sz w:val="20"/>
                <w:szCs w:val="20"/>
              </w:rPr>
              <w:t>知识库联动平台</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26013119">
            <w:pPr>
              <w:spacing w:before="28" w:after="28"/>
            </w:pPr>
            <w:r>
              <w:rPr>
                <w:rFonts w:ascii="Arial" w:hAnsi="Arial" w:eastAsia="Arial" w:cs="Arial"/>
                <w:color w:val="222222"/>
                <w:sz w:val="20"/>
                <w:szCs w:val="20"/>
              </w:rPr>
              <w:t>公共管理百晓生（Baixiao AI）</w:t>
            </w:r>
          </w:p>
        </w:tc>
      </w:tr>
      <w:tr w14:paraId="71AD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3F2E4A19">
            <w:r>
              <w:rPr>
                <w:rFonts w:ascii="Arial" w:hAnsi="Arial" w:eastAsia="Arial" w:cs="Arial"/>
                <w:b/>
                <w:bCs/>
                <w:color w:val="1A3A5C"/>
                <w:sz w:val="20"/>
                <w:szCs w:val="20"/>
              </w:rPr>
              <w:t>核心创新</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00D72582">
            <w:pPr>
              <w:spacing w:before="28" w:after="28"/>
            </w:pPr>
            <w:r>
              <w:rPr>
                <w:rFonts w:ascii="Arial" w:hAnsi="Arial" w:eastAsia="Arial" w:cs="Arial"/>
                <w:color w:val="222222"/>
                <w:sz w:val="20"/>
                <w:szCs w:val="20"/>
              </w:rPr>
              <w:t>知识库RAG循证决策选项动态提炼 × 国家治理制度框架底座 × 全参数可配置推演引擎</w:t>
            </w:r>
          </w:p>
        </w:tc>
      </w:tr>
      <w:tr w14:paraId="1F868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394C0A40">
            <w:r>
              <w:rPr>
                <w:rFonts w:ascii="Arial" w:hAnsi="Arial" w:eastAsia="Arial" w:cs="Arial"/>
                <w:b/>
                <w:bCs/>
                <w:color w:val="1A3A5C"/>
                <w:sz w:val="20"/>
                <w:szCs w:val="20"/>
              </w:rPr>
              <w:t>平台三重定位</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2D260A13">
            <w:pPr>
              <w:spacing w:before="28" w:after="28"/>
            </w:pPr>
            <w:r>
              <w:rPr>
                <w:rFonts w:ascii="Arial" w:hAnsi="Arial" w:eastAsia="Arial" w:cs="Arial"/>
                <w:color w:val="222222"/>
                <w:sz w:val="20"/>
                <w:szCs w:val="20"/>
              </w:rPr>
              <w:t>教学工具 / 研究工具 / 政策压力测试工具</w:t>
            </w:r>
          </w:p>
        </w:tc>
      </w:tr>
      <w:tr w14:paraId="6045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0EA5BB8B">
            <w:r>
              <w:rPr>
                <w:rFonts w:ascii="Arial" w:hAnsi="Arial" w:eastAsia="Arial" w:cs="Arial"/>
                <w:b/>
                <w:bCs/>
                <w:color w:val="1A3A5C"/>
                <w:sz w:val="20"/>
                <w:szCs w:val="20"/>
              </w:rPr>
              <w:t>覆盖学科</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07C2FA80">
            <w:pPr>
              <w:spacing w:before="28" w:after="28"/>
            </w:pPr>
            <w:r>
              <w:rPr>
                <w:rFonts w:ascii="Arial" w:hAnsi="Arial" w:eastAsia="Arial" w:cs="Arial"/>
                <w:color w:val="222222"/>
                <w:sz w:val="20"/>
                <w:szCs w:val="20"/>
              </w:rPr>
              <w:t>公共管理 × 政治学 × 计算社会科学 × 教育技术</w:t>
            </w:r>
          </w:p>
        </w:tc>
      </w:tr>
      <w:tr w14:paraId="4EC1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40D2E386">
            <w:r>
              <w:rPr>
                <w:rFonts w:ascii="Arial" w:hAnsi="Arial" w:eastAsia="Arial" w:cs="Arial"/>
                <w:b/>
                <w:bCs/>
                <w:color w:val="1A3A5C"/>
                <w:sz w:val="20"/>
                <w:szCs w:val="20"/>
              </w:rPr>
              <w:t>项目性质</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7907395A">
            <w:pPr>
              <w:spacing w:before="28" w:after="28"/>
            </w:pPr>
            <w:r>
              <w:rPr>
                <w:rFonts w:ascii="Arial" w:hAnsi="Arial" w:eastAsia="Arial" w:cs="Arial"/>
                <w:color w:val="222222"/>
                <w:sz w:val="20"/>
                <w:szCs w:val="20"/>
              </w:rPr>
              <w:t>计算社会科学研究项目 · 2026年度</w:t>
            </w:r>
          </w:p>
        </w:tc>
      </w:tr>
    </w:tbl>
    <w:p w14:paraId="1449E87F">
      <w:r>
        <w:br w:type="page"/>
      </w:r>
    </w:p>
    <w:p w14:paraId="487D55FB">
      <w:pPr>
        <w:pStyle w:val="2"/>
        <w:pBdr>
          <w:bottom w:val="single" w:color="1A3A5C" w:sz="8" w:space="2"/>
        </w:pBdr>
        <w:spacing w:before="440" w:after="200"/>
      </w:pPr>
      <w:r>
        <w:rPr>
          <w:rFonts w:ascii="Arial" w:hAnsi="Arial" w:eastAsia="Arial" w:cs="Arial"/>
          <w:b/>
          <w:bCs/>
          <w:color w:val="1A3A5C"/>
          <w:sz w:val="30"/>
          <w:szCs w:val="30"/>
        </w:rPr>
        <w:t>一、执行摘要</w:t>
      </w:r>
    </w:p>
    <w:p w14:paraId="2B615857">
      <w:pPr>
        <w:spacing w:before="80" w:after="80"/>
        <w:jc w:val="both"/>
      </w:pPr>
      <w:r>
        <w:rPr>
          <w:rFonts w:ascii="Arial" w:hAnsi="Arial" w:eastAsia="Arial" w:cs="Arial"/>
          <w:b w:val="0"/>
          <w:bCs w:val="0"/>
          <w:color w:val="111111"/>
          <w:sz w:val="22"/>
          <w:szCs w:val="22"/>
        </w:rPr>
        <w:t>政通推演坊（GovSim Studio）是以中国国家治理制度结构为框架底座、以公共管理百晓生知识库为循证引擎、以严肃游戏为交互载体的可配置多人治理推演平台。平台的设计哲学建立在一个核心判断之上：当前公共管理学科的教学与研究存在三重结构性缺口，而这三重缺口既不能靠单独改进教学方法解决，也不能靠引入新的理论框架解决，只能通过构建一个将制度真实性、知识库循证性、工程可配置性、研究可测量性四个维度同时整合的基础设施平台来解决。</w:t>
      </w:r>
    </w:p>
    <w:p w14:paraId="02443CE9">
      <w:pPr>
        <w:spacing w:before="80" w:after="80"/>
        <w:jc w:val="both"/>
      </w:pPr>
      <w:r>
        <w:rPr>
          <w:rFonts w:ascii="Arial" w:hAnsi="Arial" w:eastAsia="Arial" w:cs="Arial"/>
          <w:b w:val="0"/>
          <w:bCs w:val="0"/>
          <w:color w:val="111111"/>
          <w:sz w:val="22"/>
          <w:szCs w:val="22"/>
        </w:rPr>
        <w:t>平台的核心逻辑链如下：首先，中国国家治理的制度结构——党政体制、央地关系、府际关系、政策过程、问责督察、政社关系——被编码为不可绕过的制度框架底座，确保所有推演都在真实制度约束中发生，杜绝脱离中国治理实情的虚构博弈。其次，场景主题、角色设置、博弈规则、参数配置全部由用户（教师或研究者）自由定义，平台只提供引擎和模板参考，不强制任何内容选择，实现一次引擎开发、无限场景复用。第三，也是最核心的创新——每一个决策选项由公共管理百晓生的RAG检索算法从学术文献中动态提炼并附文献来源标注，彻底解决了传统游戏设计中靠经验拍脑袋写选项的根本缺陷，实现了循证决策教育的技术化落地。第四，全程行为日志（七类数据流）支持随机对照实验设计和混合方法研究，使平台同时成为公共管理行为研究的数据生产基础设施。</w:t>
      </w:r>
    </w:p>
    <w:p w14:paraId="62FD5EB3">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8F5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469A0" w:sz="6" w:space="0"/>
              <w:left w:val="single" w:color="2469A0" w:sz="8" w:space="0"/>
              <w:bottom w:val="single" w:color="2469A0" w:sz="6" w:space="0"/>
              <w:right w:val="single" w:color="2469A0" w:sz="4" w:space="0"/>
            </w:tcBorders>
            <w:shd w:val="clear" w:color="auto" w:fill="EAF3FB"/>
            <w:tcMar>
              <w:top w:w="140" w:type="dxa"/>
              <w:left w:w="240" w:type="dxa"/>
              <w:bottom w:w="140" w:type="dxa"/>
              <w:right w:w="240" w:type="dxa"/>
            </w:tcMar>
          </w:tcPr>
          <w:p w14:paraId="3D40E4DC">
            <w:pPr>
              <w:spacing w:before="48" w:after="48"/>
            </w:pPr>
            <w:r>
              <w:rPr>
                <w:rFonts w:ascii="Arial" w:hAnsi="Arial" w:eastAsia="Arial" w:cs="Arial"/>
                <w:color w:val="222222"/>
                <w:sz w:val="21"/>
                <w:szCs w:val="21"/>
              </w:rPr>
              <w:t>【平台四项核心创新】</w:t>
            </w:r>
          </w:p>
          <w:p w14:paraId="25482743">
            <w:pPr>
              <w:spacing w:before="48" w:after="48"/>
            </w:pPr>
          </w:p>
          <w:p w14:paraId="71CC1C50">
            <w:pPr>
              <w:spacing w:before="48" w:after="48"/>
            </w:pPr>
            <w:r>
              <w:rPr>
                <w:rFonts w:ascii="Arial" w:hAnsi="Arial" w:eastAsia="Arial" w:cs="Arial"/>
                <w:color w:val="222222"/>
                <w:sz w:val="21"/>
                <w:szCs w:val="21"/>
              </w:rPr>
              <w:t>① 循证决策选项动态提炼机制（RAG Pipeline）</w:t>
            </w:r>
          </w:p>
          <w:p w14:paraId="294B3269">
            <w:pPr>
              <w:spacing w:before="48" w:after="48"/>
            </w:pPr>
            <w:r>
              <w:rPr>
                <w:rFonts w:ascii="Arial" w:hAnsi="Arial" w:eastAsia="Arial" w:cs="Arial"/>
                <w:color w:val="222222"/>
                <w:sz w:val="21"/>
                <w:szCs w:val="21"/>
              </w:rPr>
              <w:t xml:space="preserve">   每个决策节点的选项由百晓生知识库的RAG算法实时从学术文献中提炼，每个选项附带文献来源（DOI可查），</w:t>
            </w:r>
          </w:p>
          <w:p w14:paraId="6EBD72F8">
            <w:pPr>
              <w:spacing w:before="48" w:after="48"/>
            </w:pPr>
            <w:r>
              <w:rPr>
                <w:rFonts w:ascii="Arial" w:hAnsi="Arial" w:eastAsia="Arial" w:cs="Arial"/>
                <w:color w:val="222222"/>
                <w:sz w:val="21"/>
                <w:szCs w:val="21"/>
              </w:rPr>
              <w:t xml:space="preserve">   彻底改变了依赖设计者经验拍脑袋写选项的传统做法。</w:t>
            </w:r>
          </w:p>
          <w:p w14:paraId="7CD3C465">
            <w:pPr>
              <w:spacing w:before="48" w:after="48"/>
            </w:pPr>
          </w:p>
          <w:p w14:paraId="4C1F220D">
            <w:pPr>
              <w:spacing w:before="48" w:after="48"/>
            </w:pPr>
            <w:r>
              <w:rPr>
                <w:rFonts w:ascii="Arial" w:hAnsi="Arial" w:eastAsia="Arial" w:cs="Arial"/>
                <w:color w:val="222222"/>
                <w:sz w:val="21"/>
                <w:szCs w:val="21"/>
              </w:rPr>
              <w:t>② 国家治理制度框架底座（六大制度模块）</w:t>
            </w:r>
          </w:p>
          <w:p w14:paraId="37308D1A">
            <w:pPr>
              <w:spacing w:before="48" w:after="48"/>
            </w:pPr>
            <w:r>
              <w:rPr>
                <w:rFonts w:ascii="Arial" w:hAnsi="Arial" w:eastAsia="Arial" w:cs="Arial"/>
                <w:color w:val="222222"/>
                <w:sz w:val="21"/>
                <w:szCs w:val="21"/>
              </w:rPr>
              <w:t xml:space="preserve">   党政体制/央地关系/府际关系/政策过程/问责督察/政社关系六大模块被编码为制度合规验证层，</w:t>
            </w:r>
          </w:p>
          <w:p w14:paraId="5EBE1A5A">
            <w:pPr>
              <w:spacing w:before="48" w:after="48"/>
            </w:pPr>
            <w:r>
              <w:rPr>
                <w:rFonts w:ascii="Arial" w:hAnsi="Arial" w:eastAsia="Arial" w:cs="Arial"/>
                <w:color w:val="222222"/>
                <w:sz w:val="21"/>
                <w:szCs w:val="21"/>
              </w:rPr>
              <w:t xml:space="preserve">   所有推演行动须通过制度合规检查，确保仿真的制度真实性。</w:t>
            </w:r>
          </w:p>
          <w:p w14:paraId="6196BE96">
            <w:pPr>
              <w:spacing w:before="48" w:after="48"/>
            </w:pPr>
          </w:p>
          <w:p w14:paraId="26A3C5F9">
            <w:pPr>
              <w:spacing w:before="48" w:after="48"/>
            </w:pPr>
            <w:r>
              <w:rPr>
                <w:rFonts w:ascii="Arial" w:hAnsi="Arial" w:eastAsia="Arial" w:cs="Arial"/>
                <w:color w:val="222222"/>
                <w:sz w:val="21"/>
                <w:szCs w:val="21"/>
              </w:rPr>
              <w:t>③ 全参数可配置推演引擎（24参数 + 用户自定义内容）</w:t>
            </w:r>
          </w:p>
          <w:p w14:paraId="783DD9A5">
            <w:pPr>
              <w:spacing w:before="48" w:after="48"/>
            </w:pPr>
            <w:r>
              <w:rPr>
                <w:rFonts w:ascii="Arial" w:hAnsi="Arial" w:eastAsia="Arial" w:cs="Arial"/>
                <w:color w:val="222222"/>
                <w:sz w:val="21"/>
                <w:szCs w:val="21"/>
              </w:rPr>
              <w:t xml:space="preserve">   从场景背景到角色权限、从时间结构到博弈规则，全部参数向用户开放配置；</w:t>
            </w:r>
          </w:p>
          <w:p w14:paraId="4B50E117">
            <w:pPr>
              <w:spacing w:before="48" w:after="48"/>
            </w:pPr>
            <w:r>
              <w:rPr>
                <w:rFonts w:ascii="Arial" w:hAnsi="Arial" w:eastAsia="Arial" w:cs="Arial"/>
                <w:color w:val="222222"/>
                <w:sz w:val="21"/>
                <w:szCs w:val="21"/>
              </w:rPr>
              <w:t xml:space="preserve">   平台提供8个种子场景和模板系统，但不强制使用，用户可完全自主设计。</w:t>
            </w:r>
          </w:p>
          <w:p w14:paraId="08AD1320">
            <w:pPr>
              <w:spacing w:before="48" w:after="48"/>
            </w:pPr>
          </w:p>
          <w:p w14:paraId="4AADA7C1">
            <w:pPr>
              <w:spacing w:before="48" w:after="48"/>
            </w:pPr>
            <w:r>
              <w:rPr>
                <w:rFonts w:ascii="Arial" w:hAnsi="Arial" w:eastAsia="Arial" w:cs="Arial"/>
                <w:color w:val="222222"/>
                <w:sz w:val="21"/>
                <w:szCs w:val="21"/>
              </w:rPr>
              <w:t>④ 研究级行为数据基础设施（七类数据流 + RCT支持）</w:t>
            </w:r>
          </w:p>
          <w:p w14:paraId="01C3FC48">
            <w:pPr>
              <w:spacing w:before="48" w:after="48"/>
            </w:pPr>
            <w:r>
              <w:rPr>
                <w:rFonts w:ascii="Arial" w:hAnsi="Arial" w:eastAsia="Arial" w:cs="Arial"/>
                <w:color w:val="222222"/>
                <w:sz w:val="21"/>
                <w:szCs w:val="21"/>
              </w:rPr>
              <w:t xml:space="preserve">   七类全程行为日志（决策序列/通信网络/指标轨迹/文献互动/情境响应/元数据/制度违规）</w:t>
            </w:r>
          </w:p>
          <w:p w14:paraId="1F03C162">
            <w:pPr>
              <w:spacing w:before="48" w:after="48"/>
            </w:pPr>
            <w:r>
              <w:rPr>
                <w:rFonts w:ascii="Arial" w:hAnsi="Arial" w:eastAsia="Arial" w:cs="Arial"/>
                <w:color w:val="222222"/>
                <w:sz w:val="21"/>
                <w:szCs w:val="21"/>
              </w:rPr>
              <w:t xml:space="preserve">   支持因果推断实验设计，使平台成为计算社会科学行为研究的数据生产平台。</w:t>
            </w:r>
          </w:p>
        </w:tc>
      </w:tr>
    </w:tbl>
    <w:p w14:paraId="378DEF5F">
      <w:pPr>
        <w:spacing w:before="120" w:after="12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F146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549EDB32">
            <w:pPr>
              <w:spacing w:before="36" w:after="36"/>
              <w:jc w:val="center"/>
            </w:pPr>
            <w:r>
              <w:rPr>
                <w:rFonts w:ascii="Arial" w:hAnsi="Arial" w:eastAsia="Arial" w:cs="Arial"/>
                <w:b/>
                <w:bCs/>
                <w:color w:val="FFFFFF"/>
                <w:sz w:val="19"/>
                <w:szCs w:val="19"/>
              </w:rPr>
              <w:t>核心问题</w:t>
            </w:r>
          </w:p>
        </w:tc>
        <w:tc>
          <w:tcPr>
            <w:tcW w:w="63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F6E37FD">
            <w:pPr>
              <w:spacing w:before="36" w:after="36"/>
              <w:jc w:val="center"/>
            </w:pPr>
            <w:r>
              <w:rPr>
                <w:rFonts w:ascii="Arial" w:hAnsi="Arial" w:eastAsia="Arial" w:cs="Arial"/>
                <w:b/>
                <w:bCs/>
                <w:color w:val="FFFFFF"/>
                <w:sz w:val="19"/>
                <w:szCs w:val="19"/>
              </w:rPr>
              <w:t>政通推演坊的解决方案</w:t>
            </w:r>
          </w:p>
        </w:tc>
      </w:tr>
      <w:tr w14:paraId="509BF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7E0F8D0">
            <w:pPr>
              <w:spacing w:before="36" w:after="36"/>
              <w:jc w:val="left"/>
            </w:pPr>
            <w:r>
              <w:rPr>
                <w:rFonts w:ascii="Arial" w:hAnsi="Arial" w:eastAsia="Arial" w:cs="Arial"/>
                <w:color w:val="222222"/>
                <w:sz w:val="20"/>
                <w:szCs w:val="20"/>
              </w:rPr>
              <w:t>决策选项从何而来？</w:t>
            </w:r>
          </w:p>
        </w:tc>
        <w:tc>
          <w:tcPr>
            <w:tcW w:w="6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500D1D7">
            <w:pPr>
              <w:spacing w:before="36" w:after="36"/>
              <w:jc w:val="left"/>
            </w:pPr>
            <w:r>
              <w:rPr>
                <w:rFonts w:ascii="Arial" w:hAnsi="Arial" w:eastAsia="Arial" w:cs="Arial"/>
                <w:color w:val="222222"/>
                <w:sz w:val="20"/>
                <w:szCs w:val="20"/>
              </w:rPr>
              <w:t>知识库RAG动态提炼（百晓生L1公共大库/L2主题专库/L3用户私有库三层并行），每个选项有完整文献来源可溯；用户可手动增补自定义选项</w:t>
            </w:r>
          </w:p>
        </w:tc>
      </w:tr>
      <w:tr w14:paraId="5663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8B4FE6E">
            <w:pPr>
              <w:spacing w:before="36" w:after="36"/>
              <w:jc w:val="left"/>
            </w:pPr>
            <w:r>
              <w:rPr>
                <w:rFonts w:ascii="Arial" w:hAnsi="Arial" w:eastAsia="Arial" w:cs="Arial"/>
                <w:color w:val="222222"/>
                <w:sz w:val="20"/>
                <w:szCs w:val="20"/>
              </w:rPr>
              <w:t>场景内容由谁设计？</w:t>
            </w:r>
          </w:p>
        </w:tc>
        <w:tc>
          <w:tcPr>
            <w:tcW w:w="6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443487E">
            <w:pPr>
              <w:spacing w:before="36" w:after="36"/>
              <w:jc w:val="left"/>
            </w:pPr>
            <w:r>
              <w:rPr>
                <w:rFonts w:ascii="Arial" w:hAnsi="Arial" w:eastAsia="Arial" w:cs="Arial"/>
                <w:color w:val="222222"/>
                <w:sz w:val="20"/>
                <w:szCs w:val="20"/>
              </w:rPr>
              <w:t>教师/研究者通过9步图形化配置工作流完全自主设计，平台只提供引擎和可选模板，不固定任何场景内容</w:t>
            </w:r>
          </w:p>
        </w:tc>
      </w:tr>
      <w:tr w14:paraId="1B99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3415223">
            <w:pPr>
              <w:spacing w:before="36" w:after="36"/>
              <w:jc w:val="left"/>
            </w:pPr>
            <w:r>
              <w:rPr>
                <w:rFonts w:ascii="Arial" w:hAnsi="Arial" w:eastAsia="Arial" w:cs="Arial"/>
                <w:color w:val="222222"/>
                <w:sz w:val="20"/>
                <w:szCs w:val="20"/>
              </w:rPr>
              <w:t>制度真实性如何保证？</w:t>
            </w:r>
          </w:p>
        </w:tc>
        <w:tc>
          <w:tcPr>
            <w:tcW w:w="6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8F5095A">
            <w:pPr>
              <w:spacing w:before="36" w:after="36"/>
              <w:jc w:val="left"/>
            </w:pPr>
            <w:r>
              <w:rPr>
                <w:rFonts w:ascii="Arial" w:hAnsi="Arial" w:eastAsia="Arial" w:cs="Arial"/>
                <w:color w:val="222222"/>
                <w:sz w:val="20"/>
                <w:szCs w:val="20"/>
              </w:rPr>
              <w:t>六大制度模块被编码为不可修改的框架底座，所有角色行动须通过制度合规验证器，越权行为自动触发惩罚机制</w:t>
            </w:r>
          </w:p>
        </w:tc>
      </w:tr>
      <w:tr w14:paraId="461F3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66AA76A">
            <w:pPr>
              <w:spacing w:before="36" w:after="36"/>
              <w:jc w:val="left"/>
            </w:pPr>
            <w:r>
              <w:rPr>
                <w:rFonts w:ascii="Arial" w:hAnsi="Arial" w:eastAsia="Arial" w:cs="Arial"/>
                <w:color w:val="222222"/>
                <w:sz w:val="20"/>
                <w:szCs w:val="20"/>
              </w:rPr>
              <w:t>如何支持科学研究？</w:t>
            </w:r>
          </w:p>
        </w:tc>
        <w:tc>
          <w:tcPr>
            <w:tcW w:w="6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2D1032C">
            <w:pPr>
              <w:spacing w:before="36" w:after="36"/>
              <w:jc w:val="left"/>
            </w:pPr>
            <w:r>
              <w:rPr>
                <w:rFonts w:ascii="Arial" w:hAnsi="Arial" w:eastAsia="Arial" w:cs="Arial"/>
                <w:color w:val="222222"/>
                <w:sz w:val="20"/>
                <w:szCs w:val="20"/>
              </w:rPr>
              <w:t>七类行为数据流全程采集，支持RCT随机化设计、知识库版本快照锁定、跨批次数据管理，满足因果推断的方法论规范</w:t>
            </w:r>
          </w:p>
        </w:tc>
      </w:tr>
      <w:tr w14:paraId="508F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F239D17">
            <w:pPr>
              <w:spacing w:before="36" w:after="36"/>
              <w:jc w:val="left"/>
            </w:pPr>
            <w:r>
              <w:rPr>
                <w:rFonts w:ascii="Arial" w:hAnsi="Arial" w:eastAsia="Arial" w:cs="Arial"/>
                <w:color w:val="222222"/>
                <w:sz w:val="20"/>
                <w:szCs w:val="20"/>
              </w:rPr>
              <w:t>三类用户各得什么？</w:t>
            </w:r>
          </w:p>
        </w:tc>
        <w:tc>
          <w:tcPr>
            <w:tcW w:w="6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39B3E61">
            <w:pPr>
              <w:spacing w:before="36" w:after="36"/>
              <w:jc w:val="left"/>
            </w:pPr>
            <w:r>
              <w:rPr>
                <w:rFonts w:ascii="Arial" w:hAnsi="Arial" w:eastAsia="Arial" w:cs="Arial"/>
                <w:color w:val="222222"/>
                <w:sz w:val="20"/>
                <w:szCs w:val="20"/>
              </w:rPr>
              <w:t>MPA学员/干部：高仿真情境学习与理论内化；研究者：大规模真实决策行为数据；实践者：政策方案压力测试</w:t>
            </w:r>
          </w:p>
        </w:tc>
      </w:tr>
    </w:tbl>
    <w:p w14:paraId="5326235C">
      <w:r>
        <w:br w:type="page"/>
      </w:r>
    </w:p>
    <w:p w14:paraId="7ACBC957">
      <w:pPr>
        <w:pStyle w:val="2"/>
        <w:pBdr>
          <w:bottom w:val="single" w:color="1A3A5C" w:sz="8" w:space="2"/>
        </w:pBdr>
        <w:spacing w:before="440" w:after="200"/>
      </w:pPr>
      <w:r>
        <w:rPr>
          <w:rFonts w:ascii="Arial" w:hAnsi="Arial" w:eastAsia="Arial" w:cs="Arial"/>
          <w:b/>
          <w:bCs/>
          <w:color w:val="1A3A5C"/>
          <w:sz w:val="30"/>
          <w:szCs w:val="30"/>
        </w:rPr>
        <w:t>二、研究背景与问题提出</w:t>
      </w:r>
    </w:p>
    <w:p w14:paraId="08E372D1">
      <w:pPr>
        <w:pStyle w:val="3"/>
        <w:spacing w:before="320" w:after="140"/>
      </w:pPr>
      <w:r>
        <w:rPr>
          <w:rFonts w:ascii="Arial" w:hAnsi="Arial" w:eastAsia="Arial" w:cs="Arial"/>
          <w:b/>
          <w:bCs/>
          <w:color w:val="174A7E"/>
          <w:sz w:val="25"/>
          <w:szCs w:val="25"/>
        </w:rPr>
        <w:t>2.1 公共管理教学与研究的三重结构性缺口</w:t>
      </w:r>
    </w:p>
    <w:p w14:paraId="1A00FB2D">
      <w:pPr>
        <w:spacing w:before="80" w:after="80"/>
        <w:jc w:val="both"/>
      </w:pPr>
      <w:r>
        <w:rPr>
          <w:rFonts w:ascii="Arial" w:hAnsi="Arial" w:eastAsia="Arial" w:cs="Arial"/>
          <w:b w:val="0"/>
          <w:bCs w:val="0"/>
          <w:color w:val="111111"/>
          <w:sz w:val="22"/>
          <w:szCs w:val="22"/>
        </w:rPr>
        <w:t>要理解政通推演坊的建设必要性，需要先诚实地审视当前公共管理学科在教学和研究两个维度上同时面临的三重结构性缺口。这三重缺口并非个别院校或研究者的特殊困境，而是整个学科在制度层面的系统性挑战。正是这三重缺口的并存与叠加，使得单一的教学改革或方法论创新都难以从根本上解决问题，只有从基础设施层面进行整合性突破才能打开局面。</w:t>
      </w:r>
    </w:p>
    <w:p w14:paraId="02545A70">
      <w:pPr>
        <w:pStyle w:val="4"/>
        <w:spacing w:before="220" w:after="100"/>
      </w:pPr>
      <w:r>
        <w:rPr>
          <w:rFonts w:ascii="Arial" w:hAnsi="Arial" w:eastAsia="Arial" w:cs="Arial"/>
          <w:b/>
          <w:bCs/>
          <w:color w:val="1B5E96"/>
          <w:sz w:val="22"/>
          <w:szCs w:val="22"/>
        </w:rPr>
        <w:t>缺口一：理论讲授与实践决策之间的"翻译失败"</w:t>
      </w:r>
    </w:p>
    <w:p w14:paraId="3587DB1D">
      <w:pPr>
        <w:spacing w:before="80" w:after="80"/>
        <w:jc w:val="both"/>
      </w:pPr>
      <w:r>
        <w:rPr>
          <w:rFonts w:ascii="Arial" w:hAnsi="Arial" w:eastAsia="Arial" w:cs="Arial"/>
          <w:b w:val="0"/>
          <w:bCs w:val="0"/>
          <w:color w:val="111111"/>
          <w:sz w:val="22"/>
          <w:szCs w:val="22"/>
        </w:rPr>
        <w:t>公共管理学科有一个持久而深刻的悖论：学科中最有价值的学习——如何在真实制度约束和多方博弈压力下做出有效决策——恰恰是最难在课堂中实现的学习。Walker等（2019，PAR）通过对PAR和PA Times共3796篇文章的主题建模分析，发现学者与实践者之间约50%的关注议题存在系统性分歧，且学术语言与实践话语之间存在难以逾越的不可通约性。Caplan（1979）提出的"两个社群"理论更深刻地揭示了这一鸿沟的制度根源：学者与政策制定者生活在具有根本不同文化、激励和语言的两个世界中，知识的单向传递无法从结构上解决这一问题。</w:t>
      </w:r>
    </w:p>
    <w:p w14:paraId="69051F14">
      <w:pPr>
        <w:spacing w:before="80" w:after="80"/>
        <w:jc w:val="both"/>
      </w:pPr>
      <w:r>
        <w:rPr>
          <w:rFonts w:ascii="Arial" w:hAnsi="Arial" w:eastAsia="Arial" w:cs="Arial"/>
          <w:b w:val="0"/>
          <w:bCs w:val="0"/>
          <w:color w:val="111111"/>
          <w:sz w:val="22"/>
          <w:szCs w:val="22"/>
        </w:rPr>
        <w:t>更深层的困难在于"知识转化"的系统性失败。协同治理理论告诉MPA学员信息共享能降低协调成本（Ansell &amp; Gash, 2008，JPART）；委托代理理论揭示激励不相容导致政策扭曲（Jensen &amp; Meckling, 1976）；周黎安（2007）的晋升锦标赛理论揭示了地方官员行为的深层激励逻辑。但当这些学员面对真实的跨域污染事件或群体性事件时，这些理论往往无法被调用。不是因为他们没学过这些理论，而是因为他们从未经历过在真实制度约束、多方博弈、信息不完整和时间压力并存条件下运用理论做决策的完整过程。陈振明（2020）将这一问题纳入第三代政策科学框架，明确指出：循证决策能力的培育需要行为层面的介入，单靠知识传授不够，必须让学习者在高仿真情境中真正做出决策、承担后果、反思理论。</w:t>
      </w:r>
    </w:p>
    <w:p w14:paraId="28A047B0">
      <w:pPr>
        <w:spacing w:before="80" w:after="80"/>
        <w:jc w:val="both"/>
      </w:pPr>
      <w:r>
        <w:rPr>
          <w:rFonts w:ascii="Arial" w:hAnsi="Arial" w:eastAsia="Arial" w:cs="Arial"/>
          <w:b w:val="0"/>
          <w:bCs w:val="0"/>
          <w:color w:val="111111"/>
          <w:sz w:val="22"/>
          <w:szCs w:val="22"/>
        </w:rPr>
        <w:t>传统的改进路径——案例教学（Harvard Case Method）——在一定程度上试图弥合这一鸿沟，但面临三个难以克服的结构性局限：案例讨论是事后分析，学员在没有时间压力和后果承担的情境下做出判断，与真实决策情境相去甚远；案例中的决策选项是开放的，难以系统覆盖文献所揭示的策略空间；案例讨论缺乏多角色互动，无法还原真实治理中博弈论意义上的战略互动（Garris et al., 2002）。</w:t>
      </w:r>
    </w:p>
    <w:p w14:paraId="5A98733E">
      <w:pPr>
        <w:pStyle w:val="4"/>
        <w:spacing w:before="220" w:after="100"/>
      </w:pPr>
      <w:r>
        <w:rPr>
          <w:rFonts w:ascii="Arial" w:hAnsi="Arial" w:eastAsia="Arial" w:cs="Arial"/>
          <w:b/>
          <w:bCs/>
          <w:color w:val="1B5E96"/>
          <w:sz w:val="22"/>
          <w:szCs w:val="22"/>
        </w:rPr>
        <w:t>缺口二：研究数据获取的结构性壁垒</w:t>
      </w:r>
    </w:p>
    <w:p w14:paraId="481B0B3F">
      <w:pPr>
        <w:spacing w:before="80" w:after="80"/>
        <w:jc w:val="both"/>
      </w:pPr>
      <w:r>
        <w:rPr>
          <w:rFonts w:ascii="Arial" w:hAnsi="Arial" w:eastAsia="Arial" w:cs="Arial"/>
          <w:b w:val="0"/>
          <w:bCs w:val="0"/>
          <w:color w:val="111111"/>
          <w:sz w:val="22"/>
          <w:szCs w:val="22"/>
        </w:rPr>
        <w:t>理解中国治理运作面临根本性的数据困境：档案不公开、官员访谈样本有限且可能存在社会期许偏差、直接观察研究的成本极高且不可复制。这迫使研究者在方法上依赖各种替代方案，但每种方案都有结构性盲区。</w:t>
      </w:r>
    </w:p>
    <w:p w14:paraId="308E2B44">
      <w:pPr>
        <w:spacing w:before="80" w:after="80"/>
        <w:jc w:val="both"/>
      </w:pPr>
      <w:r>
        <w:rPr>
          <w:rFonts w:ascii="Arial" w:hAnsi="Arial" w:eastAsia="Arial" w:cs="Arial"/>
          <w:b w:val="0"/>
          <w:bCs w:val="0"/>
          <w:color w:val="111111"/>
          <w:sz w:val="22"/>
          <w:szCs w:val="22"/>
        </w:rPr>
        <w:t>传统问卷调查测量的是陈述偏好而非显示偏好——被试描述他们会怎么做，而非在博弈压力下实际怎么做。Tourangeau &amp; Yan（2007）的研究表明，敏感性越高的政治议题，调查数据与真实行为之间的偏差就越大。情景实验（Vignette Experiments）虽然能控制外部效度，但Hainmueller等（2015, POQ）和de Quidt等（2018, AER）均指出其核心缺陷：被试在完全静态的情境下独立做出判断，剥离了真实决策中最关键的三个要素——时间压力、博弈互动和后果反馈。代理人基础模型（ABM）仿真（Axelrod, 1997）虽然可以大规模运行场景，但全程无真人参与，无法捕捉真实决策者在复杂制度约束下的认知偏差和策略创新。Generative Agents（Park et al., 2023, UIST）等AI社会仿真平台同样以AI完全替代真人，其研究目标是LLM的行为能力，而非人类的决策行为，产出的是AI行为数据而非人类行为数据。</w:t>
      </w:r>
    </w:p>
    <w:p w14:paraId="1AC633B4">
      <w:pPr>
        <w:spacing w:before="80" w:after="80"/>
        <w:jc w:val="both"/>
      </w:pPr>
      <w:r>
        <w:rPr>
          <w:rFonts w:ascii="Arial" w:hAnsi="Arial" w:eastAsia="Arial" w:cs="Arial"/>
          <w:b w:val="0"/>
          <w:bCs w:val="0"/>
          <w:color w:val="111111"/>
          <w:sz w:val="22"/>
          <w:szCs w:val="22"/>
        </w:rPr>
        <w:t>政通推演坊试图在方法论谱系中开辟一个新的位置：受控博弈实验（Controlled Game Experiments）。这一方法比实验室博弈实验更接近真实制度情境，比田野实验更易于控制和观察，比调查实验增加了时间压力和博弈互动，比ABM和AI仿真保留了真实决策者的行为数据。这一方法论定位的详细论证见第十二节。</w:t>
      </w:r>
    </w:p>
    <w:p w14:paraId="10B5A3DD">
      <w:pPr>
        <w:pStyle w:val="4"/>
        <w:spacing w:before="220" w:after="100"/>
      </w:pPr>
      <w:r>
        <w:rPr>
          <w:rFonts w:ascii="Arial" w:hAnsi="Arial" w:eastAsia="Arial" w:cs="Arial"/>
          <w:b/>
          <w:bCs/>
          <w:color w:val="1B5E96"/>
          <w:sz w:val="22"/>
          <w:szCs w:val="22"/>
        </w:rPr>
        <w:t>缺口三：决策选项设计的"专家经验依赖"困境</w:t>
      </w:r>
    </w:p>
    <w:p w14:paraId="49B4F309">
      <w:pPr>
        <w:spacing w:before="80" w:after="80"/>
        <w:jc w:val="both"/>
      </w:pPr>
      <w:r>
        <w:rPr>
          <w:rFonts w:ascii="Arial" w:hAnsi="Arial" w:eastAsia="Arial" w:cs="Arial"/>
          <w:b w:val="0"/>
          <w:bCs w:val="0"/>
          <w:color w:val="111111"/>
          <w:sz w:val="22"/>
          <w:szCs w:val="22"/>
        </w:rPr>
        <w:t>即便有团队愿意为公共管理教学开发角色扮演类游戏，他们面临的核心技术难题始终是：每个决策节点的选项从哪里来？依赖开发者经验的传统做法面临两个相互叠加的结构性缺陷。其一，由于学术文献的积累规模远超任何个人的阅读能力，经验驱动的选项设计必然遗漏文献中已验证的关键策略类型，导致游戏无法覆盖理论应有的完整策略空间。其二，经验和直觉驱动的选项设计还可能引入在真实制度情境中不可行或已被文献证明低效的"虚假选项"，损害游戏的理论效度（Construct Validity）。</w:t>
      </w:r>
    </w:p>
    <w:p w14:paraId="4EF57835">
      <w:pPr>
        <w:spacing w:before="80" w:after="80"/>
        <w:jc w:val="both"/>
      </w:pPr>
      <w:r>
        <w:rPr>
          <w:rFonts w:ascii="Arial" w:hAnsi="Arial" w:eastAsia="Arial" w:cs="Arial"/>
          <w:b w:val="0"/>
          <w:bCs w:val="0"/>
          <w:color w:val="111111"/>
          <w:sz w:val="22"/>
          <w:szCs w:val="22"/>
        </w:rPr>
        <w:t>这一问题在现有公共管理类严肃游戏中从未得到系统性解决，根本原因是技术门槛：在平台开发时期，将学术文献大规模向量化并进行语义检索在工程上成本极高，在商业上缺乏激励。大模型和RAG技术的成熟改变了这一条件。政通推演坊的核心技术创新——循证决策选项动态提炼机制——正是对这第三重缺口的原创性解答，详见第三节。</w:t>
      </w:r>
    </w:p>
    <w:p w14:paraId="653762E9">
      <w:pPr>
        <w:spacing w:before="60" w:after="60"/>
      </w:pPr>
    </w:p>
    <w:p w14:paraId="0D8AAD24">
      <w:pPr>
        <w:pStyle w:val="3"/>
        <w:spacing w:before="320" w:after="140"/>
      </w:pPr>
      <w:r>
        <w:rPr>
          <w:rFonts w:ascii="Arial" w:hAnsi="Arial" w:eastAsia="Arial" w:cs="Arial"/>
          <w:b/>
          <w:bCs/>
          <w:color w:val="174A7E"/>
          <w:sz w:val="25"/>
          <w:szCs w:val="25"/>
        </w:rPr>
        <w:t>2.2 严肃游戏在公共管理研究中的理论定位</w:t>
      </w:r>
    </w:p>
    <w:p w14:paraId="05353941">
      <w:pPr>
        <w:spacing w:before="80" w:after="80"/>
        <w:jc w:val="both"/>
      </w:pPr>
      <w:r>
        <w:rPr>
          <w:rFonts w:ascii="Arial" w:hAnsi="Arial" w:eastAsia="Arial" w:cs="Arial"/>
          <w:b w:val="0"/>
          <w:bCs w:val="0"/>
          <w:color w:val="111111"/>
          <w:sz w:val="22"/>
          <w:szCs w:val="22"/>
        </w:rPr>
        <w:t>严肃游戏（Serious Games）作为教育和研究工具有超过60年的学术积累。Duke &amp; Geurts（2004）在Policy Games for Strategic Management中系统阐述了政策博弈的理论基础：游戏通过提供一个"受控的复杂性"环境，使参与者能够在比现实更安全、更快速的情境中学习和实验系统性因果关系。Mayer等（2013）的系统综述表明，在公共政策和战略管理领域，严肃游戏相比传统教学在复杂系统理解、决策质量和迁移学习方面有显著优势。</w:t>
      </w:r>
    </w:p>
    <w:p w14:paraId="782CF9DE">
      <w:pPr>
        <w:spacing w:before="80" w:after="80"/>
        <w:jc w:val="both"/>
      </w:pPr>
      <w:r>
        <w:rPr>
          <w:rFonts w:ascii="Arial" w:hAnsi="Arial" w:eastAsia="Arial" w:cs="Arial"/>
          <w:b w:val="0"/>
          <w:bCs w:val="0"/>
          <w:color w:val="111111"/>
          <w:sz w:val="22"/>
          <w:szCs w:val="22"/>
        </w:rPr>
        <w:t>在学习科学层面，Kolb（1984）的经验学习理论（Experiential Learning Theory, ELT）为严肃游戏提供了最成熟的理论基础：完整的学习循环需要具体经验→反思观察→抽象概念化→主动实验四个阶段。传统课堂主要强化"抽象概念化"阶段，而严肃游戏提供了"具体经验"和"主动实验"的载体，打通了理论-实践循环的关键断点。Clark等（2016）在Review of Educational Research对数字游戏与学习的元分析表明，当游戏将理论内容嵌入决策反馈机制（而非仅用游戏包装知识点）时，学习效果最显著，效应量d约为0.33至0.51。</w:t>
      </w:r>
    </w:p>
    <w:p w14:paraId="6578B2C7">
      <w:pPr>
        <w:spacing w:before="80" w:after="80"/>
        <w:jc w:val="both"/>
      </w:pPr>
      <w:r>
        <w:rPr>
          <w:rFonts w:ascii="Arial" w:hAnsi="Arial" w:eastAsia="Arial" w:cs="Arial"/>
          <w:b w:val="0"/>
          <w:bCs w:val="0"/>
          <w:color w:val="111111"/>
          <w:sz w:val="22"/>
          <w:szCs w:val="22"/>
        </w:rPr>
        <w:t>政通推演坊对这一传统的核心贡献在于：将循证决策的理论原则（Evidence-Based Policy Making，EBPM）从"政策制定者应该怎么做"的规范性命题，转化为"平台在技术层面如何确保决策选项有文献支撑"的工程性实现。这一转化使严肃游戏从"用故事情境包装知识点"升级为"在博弈结构中动态调用知识库的决策环境"，是严肃游戏与知识库RAG技术结合产生的方法论创新。</w:t>
      </w:r>
    </w:p>
    <w:p w14:paraId="22A8E5EE">
      <w:pPr>
        <w:spacing w:before="60" w:after="60"/>
      </w:pPr>
    </w:p>
    <w:p w14:paraId="68469496">
      <w:pPr>
        <w:pStyle w:val="3"/>
        <w:spacing w:before="320" w:after="140"/>
      </w:pPr>
      <w:r>
        <w:rPr>
          <w:rFonts w:ascii="Arial" w:hAnsi="Arial" w:eastAsia="Arial" w:cs="Arial"/>
          <w:b/>
          <w:bCs/>
          <w:color w:val="174A7E"/>
          <w:sz w:val="25"/>
          <w:szCs w:val="25"/>
        </w:rPr>
        <w:t>2.3 研究问题的精确化陈述</w:t>
      </w:r>
    </w:p>
    <w:p w14:paraId="3C9EEC94">
      <w:pPr>
        <w:spacing w:before="80" w:after="80"/>
        <w:jc w:val="both"/>
      </w:pPr>
      <w:r>
        <w:rPr>
          <w:rFonts w:ascii="Arial" w:hAnsi="Arial" w:eastAsia="Arial" w:cs="Arial"/>
          <w:b w:val="0"/>
          <w:bCs w:val="0"/>
          <w:color w:val="111111"/>
          <w:sz w:val="22"/>
          <w:szCs w:val="22"/>
        </w:rPr>
        <w:t>基于以上背景分析，本项目的核心研究问题可以精确表述为以下三个层次：</w:t>
      </w:r>
    </w:p>
    <w:p w14:paraId="20E0DFCD">
      <w:pPr>
        <w:spacing w:before="80" w:after="80"/>
        <w:ind w:left="360"/>
        <w:jc w:val="both"/>
      </w:pPr>
      <w:r>
        <w:rPr>
          <w:rFonts w:ascii="Arial" w:hAnsi="Arial" w:eastAsia="Arial" w:cs="Arial"/>
          <w:b w:val="0"/>
          <w:bCs w:val="0"/>
          <w:color w:val="111111"/>
          <w:sz w:val="22"/>
          <w:szCs w:val="22"/>
        </w:rPr>
        <w:t>技术层面：能否设计并实现一套算法机制，使严肃游戏中的决策选项能够自动从学术知识库中动态提炼，同时保证选项在制度约束内可行、在语言表达上对决策者友好、在内容上覆盖理论应有的策略空间？</w:t>
      </w:r>
    </w:p>
    <w:p w14:paraId="5DB5714E">
      <w:pPr>
        <w:spacing w:before="80" w:after="80"/>
        <w:ind w:left="360"/>
        <w:jc w:val="both"/>
      </w:pPr>
      <w:r>
        <w:rPr>
          <w:rFonts w:ascii="Arial" w:hAnsi="Arial" w:eastAsia="Arial" w:cs="Arial"/>
          <w:b w:val="0"/>
          <w:bCs w:val="0"/>
          <w:color w:val="111111"/>
          <w:sz w:val="22"/>
          <w:szCs w:val="22"/>
        </w:rPr>
        <w:t>平台层面：能否构建一个足够通用的推演引擎，使一位没有编程背景的公共管理教师或研究者，通过图形化配置界面在2-3小时内自主设计出符合其教学或研究目标的完整推演场景？</w:t>
      </w:r>
    </w:p>
    <w:p w14:paraId="29542429">
      <w:pPr>
        <w:spacing w:before="80" w:after="80"/>
        <w:ind w:left="360"/>
        <w:jc w:val="both"/>
      </w:pPr>
      <w:r>
        <w:rPr>
          <w:rFonts w:ascii="Arial" w:hAnsi="Arial" w:eastAsia="Arial" w:cs="Arial"/>
          <w:b w:val="0"/>
          <w:bCs w:val="0"/>
          <w:color w:val="111111"/>
          <w:sz w:val="22"/>
          <w:szCs w:val="22"/>
        </w:rPr>
        <w:t>研究层面：以政通推演坊为研究基础设施，能否产出具有因果推断价值的行为实验数据，回答有关中国官员在制度约束下决策偏好、信息博弈策略和跨域协调行为的实质性学术问题？</w:t>
      </w:r>
    </w:p>
    <w:p w14:paraId="425048D4">
      <w:r>
        <w:br w:type="page"/>
      </w:r>
    </w:p>
    <w:p w14:paraId="533B5097">
      <w:pPr>
        <w:pStyle w:val="2"/>
        <w:pBdr>
          <w:bottom w:val="single" w:color="1A3A5C" w:sz="8" w:space="2"/>
        </w:pBdr>
        <w:spacing w:before="440" w:after="200"/>
      </w:pPr>
      <w:r>
        <w:rPr>
          <w:rFonts w:ascii="Arial" w:hAnsi="Arial" w:eastAsia="Arial" w:cs="Arial"/>
          <w:b/>
          <w:bCs/>
          <w:color w:val="1A3A5C"/>
          <w:sz w:val="30"/>
          <w:szCs w:val="30"/>
        </w:rPr>
        <w:t>三、核心创新：循证决策选项动态提炼机制</w:t>
      </w:r>
    </w:p>
    <w:p w14:paraId="513601B4">
      <w:pPr>
        <w:spacing w:before="80" w:after="80"/>
        <w:jc w:val="both"/>
      </w:pPr>
      <w:r>
        <w:rPr>
          <w:rFonts w:ascii="Arial" w:hAnsi="Arial" w:eastAsia="Arial" w:cs="Arial"/>
          <w:b w:val="0"/>
          <w:bCs w:val="0"/>
          <w:color w:val="111111"/>
          <w:sz w:val="22"/>
          <w:szCs w:val="22"/>
        </w:rPr>
        <w:t>循证决策选项动态提炼机制（Evidence-Based Option Generation via RAG，EBOG-RAG）是政通推演坊最核心的技术创新，也是本项目区别于所有现有严肃游戏平台的根本性差异。本节分三个层次展开：理论立场（为什么必须循证）、算法流程（如何实现动态提炼）、选项结构（提炼出的选项长什么样）。</w:t>
      </w:r>
    </w:p>
    <w:p w14:paraId="5F67EBEA">
      <w:pPr>
        <w:pStyle w:val="3"/>
        <w:spacing w:before="320" w:after="140"/>
      </w:pPr>
      <w:r>
        <w:rPr>
          <w:rFonts w:ascii="Arial" w:hAnsi="Arial" w:eastAsia="Arial" w:cs="Arial"/>
          <w:b/>
          <w:bCs/>
          <w:color w:val="174A7E"/>
          <w:sz w:val="25"/>
          <w:szCs w:val="25"/>
        </w:rPr>
        <w:t>3.1 循证决策的三重理论支柱</w:t>
      </w:r>
    </w:p>
    <w:p w14:paraId="4F5A0689">
      <w:pPr>
        <w:spacing w:before="80" w:after="80"/>
        <w:jc w:val="both"/>
      </w:pPr>
      <w:r>
        <w:rPr>
          <w:rFonts w:ascii="Arial" w:hAnsi="Arial" w:eastAsia="Arial" w:cs="Arial"/>
          <w:b w:val="0"/>
          <w:bCs w:val="0"/>
          <w:color w:val="111111"/>
          <w:sz w:val="22"/>
          <w:szCs w:val="22"/>
        </w:rPr>
        <w:t>循证决策（Evidence-Based Policymaking，EBPM）的理论根基来自三个不同学科传统的汇合，这三个传统共同支撑了"决策选项应当有文献依据"的核心主张。</w:t>
      </w:r>
    </w:p>
    <w:p w14:paraId="4E5D7997">
      <w:pPr>
        <w:spacing w:before="80" w:after="80"/>
        <w:jc w:val="both"/>
      </w:pPr>
      <w:r>
        <w:rPr>
          <w:rFonts w:ascii="Arial" w:hAnsi="Arial" w:eastAsia="Arial" w:cs="Arial"/>
          <w:b w:val="0"/>
          <w:bCs w:val="0"/>
          <w:color w:val="111111"/>
          <w:sz w:val="22"/>
          <w:szCs w:val="22"/>
        </w:rPr>
        <w:t>第一，政策科学传统。EBPM起源于英国布莱尔政府1999年的政府现代化白皮书（Cabinet Office, 1999），其核心主张是政策决定应建立在"最佳可利用证据"（Best Available Evidence）的基础上。Pawson（2006）在Evidence-Based Policy: A Realist Perspective中提出循证政策的三段法：明确因果假设→通过证据验证假设→修正决策理论。陈振明（2020）将EBPM纳入第三代政策科学框架，指出行为实验和计算分析是推进循证决策的核心工具。Newman等（2016，PAR）的实证研究则测量了政策制定者实际使用学术证据的程度，发现信息可及性（Accessibility）是证据利用的关键中介变量——这正是政通推演坊将文献嵌入决策节点的设计依据：证据不在图书馆里而在决策界面上，才能真正被使用。</w:t>
      </w:r>
    </w:p>
    <w:p w14:paraId="1B5B7FF6">
      <w:pPr>
        <w:spacing w:before="80" w:after="80"/>
        <w:jc w:val="both"/>
      </w:pPr>
      <w:r>
        <w:rPr>
          <w:rFonts w:ascii="Arial" w:hAnsi="Arial" w:eastAsia="Arial" w:cs="Arial"/>
          <w:b w:val="0"/>
          <w:bCs w:val="0"/>
          <w:color w:val="111111"/>
          <w:sz w:val="22"/>
          <w:szCs w:val="22"/>
        </w:rPr>
        <w:t>第二，学习科学传统。Kolb（1984）经验学习理论的完整循环是具体经验→反思观察→抽象概念化→主动实验。政通推演坊将文献依据内嵌于决策选项，正是在"主动实验"阶段同步支持"抽象概念化"——玩家在做决策的同时看到选项背后的理论逻辑，打通了理论与实践循环的关键断点。Schank &amp; Cleary（1995）的基于案例推理（Case-Based Reasoning, CBR）理论则指出，专家决策的本质是从记忆中的案例库检索相似情境并适配当前问题。知识库RAG是这一机制的工程实现——知识库是"外化的学术案例库"，RAG检索是"智能案例匹配引擎"，向量相似度替代了人类记忆中的相似度判断。</w:t>
      </w:r>
    </w:p>
    <w:p w14:paraId="2CCB1E96">
      <w:pPr>
        <w:spacing w:before="80" w:after="80"/>
        <w:jc w:val="both"/>
      </w:pPr>
      <w:r>
        <w:rPr>
          <w:rFonts w:ascii="Arial" w:hAnsi="Arial" w:eastAsia="Arial" w:cs="Arial"/>
          <w:b w:val="0"/>
          <w:bCs w:val="0"/>
          <w:color w:val="111111"/>
          <w:sz w:val="22"/>
          <w:szCs w:val="22"/>
        </w:rPr>
        <w:t>第三，行为科学传统。Kahneman（2011）的双系统理论表明，在高压决策情境下，人类倾向于依赖系统一的直觉判断而非系统二的分析推理，而直觉判断往往编码了从经验中形成的启发式偏差。将理论依据直接呈现在决策节点，提供了一个让系统二介入的"设计摩擦"——不强制，但在场。Sailer &amp; Homner（2020）的元分析（k=26，N=3,648）表明，即时反馈和可见理论逻辑对学习迁移效果的提升显著，效应量d=0.48，为选项内嵌文献依据的干预效果提供了预期支撑。</w:t>
      </w:r>
    </w:p>
    <w:p w14:paraId="285444A4">
      <w:pPr>
        <w:spacing w:before="60" w:after="60"/>
      </w:pPr>
    </w:p>
    <w:p w14:paraId="0503ACC7">
      <w:pPr>
        <w:pStyle w:val="3"/>
        <w:spacing w:before="320" w:after="140"/>
      </w:pPr>
      <w:r>
        <w:rPr>
          <w:rFonts w:ascii="Arial" w:hAnsi="Arial" w:eastAsia="Arial" w:cs="Arial"/>
          <w:b/>
          <w:bCs/>
          <w:color w:val="174A7E"/>
          <w:sz w:val="25"/>
          <w:szCs w:val="25"/>
        </w:rPr>
        <w:t>3.2 五阶段RAG算法流程详解</w:t>
      </w:r>
    </w:p>
    <w:p w14:paraId="05591FDE">
      <w:pPr>
        <w:spacing w:before="80" w:after="80"/>
        <w:jc w:val="both"/>
      </w:pPr>
      <w:r>
        <w:rPr>
          <w:rFonts w:ascii="Arial" w:hAnsi="Arial" w:eastAsia="Arial" w:cs="Arial"/>
          <w:b w:val="0"/>
          <w:bCs w:val="0"/>
          <w:color w:val="111111"/>
          <w:sz w:val="22"/>
          <w:szCs w:val="22"/>
        </w:rPr>
        <w:t>当推演进入任意决策节点时，后台触发一个完整的RAG管道，在用户感知延迟小于3秒的情况下生成具有完整元数据结构的决策选项集。该管道分为五个阶段。</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C5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55093020">
            <w:pPr>
              <w:spacing w:before="60" w:after="100"/>
            </w:pPr>
            <w:r>
              <w:rPr>
                <w:rFonts w:ascii="Arial" w:hAnsi="Arial" w:eastAsia="Arial" w:cs="Arial"/>
                <w:b/>
                <w:bCs/>
                <w:color w:val="1A3A5C"/>
                <w:sz w:val="21"/>
                <w:szCs w:val="21"/>
              </w:rPr>
              <w:t>▌ 循证决策选项动态提炼管道（RAG Pipeline）</w:t>
            </w:r>
          </w:p>
          <w:p w14:paraId="6A67383D">
            <w:pPr>
              <w:spacing w:before="16" w:after="16"/>
            </w:pPr>
            <w:r>
              <w:rPr>
                <w:rFonts w:ascii="Courier New" w:hAnsi="Courier New" w:eastAsia="Courier New" w:cs="Courier New"/>
                <w:color w:val="1A2233"/>
                <w:sz w:val="19"/>
                <w:szCs w:val="19"/>
              </w:rPr>
              <w:t xml:space="preserve">                    ┌─────────────────────────────────────────────────────────┐</w:t>
            </w:r>
          </w:p>
          <w:p w14:paraId="62328FF7">
            <w:pPr>
              <w:spacing w:before="16" w:after="16"/>
            </w:pPr>
            <w:r>
              <w:rPr>
                <w:rFonts w:ascii="Courier New" w:hAnsi="Courier New" w:eastAsia="Courier New" w:cs="Courier New"/>
                <w:color w:val="1A2233"/>
                <w:sz w:val="19"/>
                <w:szCs w:val="19"/>
              </w:rPr>
              <w:t xml:space="preserve">                    │              循证决策选项动态提炼管道（RAG Pipeline）        │</w:t>
            </w:r>
          </w:p>
          <w:p w14:paraId="2D10AC27">
            <w:pPr>
              <w:spacing w:before="16" w:after="16"/>
            </w:pPr>
            <w:r>
              <w:rPr>
                <w:rFonts w:ascii="Courier New" w:hAnsi="Courier New" w:eastAsia="Courier New" w:cs="Courier New"/>
                <w:color w:val="1A2233"/>
                <w:sz w:val="19"/>
                <w:szCs w:val="19"/>
              </w:rPr>
              <w:t xml:space="preserve">                    └─────────────────────────────────────────────────────────┘</w:t>
            </w:r>
          </w:p>
          <w:p w14:paraId="23D989A9">
            <w:pPr>
              <w:spacing w:before="16" w:after="16"/>
            </w:pPr>
          </w:p>
          <w:p w14:paraId="0977D888">
            <w:pPr>
              <w:spacing w:before="16" w:after="16"/>
            </w:pPr>
            <w:r>
              <w:rPr>
                <w:rFonts w:ascii="Courier New" w:hAnsi="Courier New" w:eastAsia="Courier New" w:cs="Courier New"/>
                <w:color w:val="1A2233"/>
                <w:sz w:val="19"/>
                <w:szCs w:val="19"/>
              </w:rPr>
              <w:t xml:space="preserve">  【输入层】玩家进入决策节点</w:t>
            </w:r>
          </w:p>
          <w:p w14:paraId="5668C4EE">
            <w:pPr>
              <w:spacing w:before="16" w:after="16"/>
            </w:pPr>
            <w:r>
              <w:rPr>
                <w:rFonts w:ascii="Courier New" w:hAnsi="Courier New" w:eastAsia="Courier New" w:cs="Courier New"/>
                <w:color w:val="1A2233"/>
                <w:sz w:val="19"/>
                <w:szCs w:val="19"/>
              </w:rPr>
              <w:t xml:space="preserve">  ┌─────────────────────────────────────────────────────────────────────────┐</w:t>
            </w:r>
          </w:p>
          <w:p w14:paraId="71518776">
            <w:pPr>
              <w:spacing w:before="16" w:after="16"/>
            </w:pPr>
            <w:r>
              <w:rPr>
                <w:rFonts w:ascii="Courier New" w:hAnsi="Courier New" w:eastAsia="Courier New" w:cs="Courier New"/>
                <w:color w:val="1A2233"/>
                <w:sz w:val="19"/>
                <w:szCs w:val="19"/>
              </w:rPr>
              <w:t xml:space="preserve">  │  角色ID + 制度模块位置 + 推演阶段/轮次 + 事件关键词 + 历史决策摘要(近3轮)  │</w:t>
            </w:r>
          </w:p>
          <w:p w14:paraId="7F3C4C85">
            <w:pPr>
              <w:spacing w:before="16" w:after="16"/>
            </w:pPr>
            <w:r>
              <w:rPr>
                <w:rFonts w:ascii="Courier New" w:hAnsi="Courier New" w:eastAsia="Courier New" w:cs="Courier New"/>
                <w:color w:val="1A2233"/>
                <w:sz w:val="19"/>
                <w:szCs w:val="19"/>
              </w:rPr>
              <w:t xml:space="preserve">  │  五维指标当前状态 + 三类压力参数 + 博弈类型标签 + 当前配置参数快照         │</w:t>
            </w:r>
          </w:p>
          <w:p w14:paraId="0D2D76A9">
            <w:pPr>
              <w:spacing w:before="16" w:after="16"/>
            </w:pPr>
            <w:r>
              <w:rPr>
                <w:rFonts w:ascii="Courier New" w:hAnsi="Courier New" w:eastAsia="Courier New" w:cs="Courier New"/>
                <w:color w:val="1A2233"/>
                <w:sz w:val="19"/>
                <w:szCs w:val="19"/>
              </w:rPr>
              <w:t xml:space="preserve">  └───────────────────────────────┬─────────────────────────────────────────┘</w:t>
            </w:r>
          </w:p>
          <w:p w14:paraId="3D726B19">
            <w:pPr>
              <w:spacing w:before="16" w:after="16"/>
            </w:pPr>
            <w:r>
              <w:rPr>
                <w:rFonts w:ascii="Courier New" w:hAnsi="Courier New" w:eastAsia="Courier New" w:cs="Courier New"/>
                <w:color w:val="1A2233"/>
                <w:sz w:val="19"/>
                <w:szCs w:val="19"/>
              </w:rPr>
              <w:t xml:space="preserve">                                   │  构建"情境向量"(≤200字语义描述)</w:t>
            </w:r>
          </w:p>
          <w:p w14:paraId="2DD6C12B">
            <w:pPr>
              <w:spacing w:before="16" w:after="16"/>
            </w:pPr>
            <w:r>
              <w:rPr>
                <w:rFonts w:ascii="Courier New" w:hAnsi="Courier New" w:eastAsia="Courier New" w:cs="Courier New"/>
                <w:color w:val="1A2233"/>
                <w:sz w:val="19"/>
                <w:szCs w:val="19"/>
              </w:rPr>
              <w:t xml:space="preserve">                                   ▼</w:t>
            </w:r>
          </w:p>
          <w:p w14:paraId="2F90B901">
            <w:pPr>
              <w:spacing w:before="16" w:after="16"/>
            </w:pPr>
            <w:r>
              <w:rPr>
                <w:rFonts w:ascii="Courier New" w:hAnsi="Courier New" w:eastAsia="Courier New" w:cs="Courier New"/>
                <w:color w:val="1A2233"/>
                <w:sz w:val="19"/>
                <w:szCs w:val="19"/>
              </w:rPr>
              <w:t xml:space="preserve">  【检索层】三层知识库并行语义检索（百晓生桥接API）</w:t>
            </w:r>
          </w:p>
          <w:p w14:paraId="279DFB13">
            <w:pPr>
              <w:spacing w:before="16" w:after="16"/>
            </w:pPr>
            <w:r>
              <w:rPr>
                <w:rFonts w:ascii="Courier New" w:hAnsi="Courier New" w:eastAsia="Courier New" w:cs="Courier New"/>
                <w:color w:val="1A2233"/>
                <w:sz w:val="19"/>
                <w:szCs w:val="19"/>
              </w:rPr>
              <w:t xml:space="preserve">  ┌────────────────┬──────────────────────┬──────────────────────────────────┐</w:t>
            </w:r>
          </w:p>
          <w:p w14:paraId="3A65C8E6">
            <w:pPr>
              <w:spacing w:before="16" w:after="16"/>
            </w:pPr>
            <w:r>
              <w:rPr>
                <w:rFonts w:ascii="Courier New" w:hAnsi="Courier New" w:eastAsia="Courier New" w:cs="Courier New"/>
                <w:color w:val="1A2233"/>
                <w:sz w:val="19"/>
                <w:szCs w:val="19"/>
              </w:rPr>
              <w:t xml:space="preserve">  │  L1 公共大库   │   L2 主题专库        │   L3 用户私有库                  │</w:t>
            </w:r>
          </w:p>
          <w:p w14:paraId="526FF26C">
            <w:pPr>
              <w:spacing w:before="16" w:after="16"/>
            </w:pPr>
            <w:r>
              <w:rPr>
                <w:rFonts w:ascii="Courier New" w:hAnsi="Courier New" w:eastAsia="Courier New" w:cs="Courier New"/>
                <w:color w:val="1A2233"/>
                <w:sz w:val="19"/>
                <w:szCs w:val="19"/>
              </w:rPr>
              <w:t xml:space="preserve">  │  5000+核心文献 │   50-100篇精选文献   │   教师上传材料（15分钟入库）     │</w:t>
            </w:r>
          </w:p>
          <w:p w14:paraId="37C4D4C5">
            <w:pPr>
              <w:spacing w:before="16" w:after="16"/>
            </w:pPr>
            <w:r>
              <w:rPr>
                <w:rFonts w:ascii="Courier New" w:hAnsi="Courier New" w:eastAsia="Courier New" w:cs="Courier New"/>
                <w:color w:val="1A2233"/>
                <w:sz w:val="19"/>
                <w:szCs w:val="19"/>
              </w:rPr>
              <w:t xml:space="preserve">  │  (百晓生全库)  │   (8大领域分类)      │   政策文件/案例/课程材料         │</w:t>
            </w:r>
          </w:p>
          <w:p w14:paraId="03BDF312">
            <w:pPr>
              <w:spacing w:before="16" w:after="16"/>
            </w:pPr>
            <w:r>
              <w:rPr>
                <w:rFonts w:ascii="Courier New" w:hAnsi="Courier New" w:eastAsia="Courier New" w:cs="Courier New"/>
                <w:color w:val="1A2233"/>
                <w:sz w:val="19"/>
                <w:szCs w:val="19"/>
              </w:rPr>
              <w:t xml:space="preserve">  │  ↓ Top-K片段   │   ↓ Top-K片段        │   ↓ Top-K片段                    │</w:t>
            </w:r>
          </w:p>
          <w:p w14:paraId="3A59A6DF">
            <w:pPr>
              <w:spacing w:before="16" w:after="16"/>
            </w:pPr>
            <w:r>
              <w:rPr>
                <w:rFonts w:ascii="Courier New" w:hAnsi="Courier New" w:eastAsia="Courier New" w:cs="Courier New"/>
                <w:color w:val="1A2233"/>
                <w:sz w:val="19"/>
                <w:szCs w:val="19"/>
              </w:rPr>
              <w:t xml:space="preserve">  └────────────────┴──────────────────────┴──────────────────────────────────┘</w:t>
            </w:r>
          </w:p>
          <w:p w14:paraId="34756743">
            <w:pPr>
              <w:spacing w:before="16" w:after="16"/>
            </w:pPr>
            <w:r>
              <w:rPr>
                <w:rFonts w:ascii="Courier New" w:hAnsi="Courier New" w:eastAsia="Courier New" w:cs="Courier New"/>
                <w:color w:val="1A2233"/>
                <w:sz w:val="19"/>
                <w:szCs w:val="19"/>
              </w:rPr>
              <w:t xml:space="preserve">     检索单位：预处理提炼的"因果命题"（≤100字，非全文）BGE-M3多语言向量模型</w:t>
            </w:r>
          </w:p>
          <w:p w14:paraId="4C274BAA">
            <w:pPr>
              <w:spacing w:before="16" w:after="16"/>
            </w:pPr>
            <w:r>
              <w:rPr>
                <w:rFonts w:ascii="Courier New" w:hAnsi="Courier New" w:eastAsia="Courier New" w:cs="Courier New"/>
                <w:color w:val="1A2233"/>
                <w:sz w:val="19"/>
                <w:szCs w:val="19"/>
              </w:rPr>
              <w:t xml:space="preserve">                                   │  返回Top-K因果命题 + 元数据 + 相关度评分</w:t>
            </w:r>
          </w:p>
          <w:p w14:paraId="3A47C44C">
            <w:pPr>
              <w:spacing w:before="16" w:after="16"/>
            </w:pPr>
            <w:r>
              <w:rPr>
                <w:rFonts w:ascii="Courier New" w:hAnsi="Courier New" w:eastAsia="Courier New" w:cs="Courier New"/>
                <w:color w:val="1A2233"/>
                <w:sz w:val="19"/>
                <w:szCs w:val="19"/>
              </w:rPr>
              <w:t xml:space="preserve">                                   ▼</w:t>
            </w:r>
          </w:p>
          <w:p w14:paraId="2EEF42F2">
            <w:pPr>
              <w:spacing w:before="16" w:after="16"/>
            </w:pPr>
            <w:r>
              <w:rPr>
                <w:rFonts w:ascii="Courier New" w:hAnsi="Courier New" w:eastAsia="Courier New" w:cs="Courier New"/>
                <w:color w:val="1A2233"/>
                <w:sz w:val="19"/>
                <w:szCs w:val="19"/>
              </w:rPr>
              <w:t xml:space="preserve">  【转化层】学术语言→决策者语言（LLM，GPT-4o/Claude Sonnet）</w:t>
            </w:r>
          </w:p>
          <w:p w14:paraId="2ACA7EAB">
            <w:pPr>
              <w:spacing w:before="16" w:after="16"/>
            </w:pPr>
            <w:r>
              <w:rPr>
                <w:rFonts w:ascii="Courier New" w:hAnsi="Courier New" w:eastAsia="Courier New" w:cs="Courier New"/>
                <w:color w:val="1A2233"/>
                <w:sz w:val="19"/>
                <w:szCs w:val="19"/>
              </w:rPr>
              <w:t xml:space="preserve">  ┌─────────────────────────────────────────────────────────────────────────┐</w:t>
            </w:r>
          </w:p>
          <w:p w14:paraId="14B95E33">
            <w:pPr>
              <w:spacing w:before="16" w:after="16"/>
            </w:pPr>
            <w:r>
              <w:rPr>
                <w:rFonts w:ascii="Courier New" w:hAnsi="Courier New" w:eastAsia="Courier New" w:cs="Courier New"/>
                <w:color w:val="1A2233"/>
                <w:sz w:val="19"/>
                <w:szCs w:val="19"/>
              </w:rPr>
              <w:t xml:space="preserve">  │  输入：因果命题 + 角色职位背景 + 当前制度约束规则                        │</w:t>
            </w:r>
          </w:p>
          <w:p w14:paraId="750A4D72">
            <w:pPr>
              <w:spacing w:before="16" w:after="16"/>
            </w:pPr>
            <w:r>
              <w:rPr>
                <w:rFonts w:ascii="Courier New" w:hAnsi="Courier New" w:eastAsia="Courier New" w:cs="Courier New"/>
                <w:color w:val="1A2233"/>
                <w:sz w:val="19"/>
                <w:szCs w:val="19"/>
              </w:rPr>
              <w:t xml:space="preserve">  │  双重验证：① 权限验证（角色是否有权执行该类行动）                        │</w:t>
            </w:r>
          </w:p>
          <w:p w14:paraId="2E249162">
            <w:pPr>
              <w:spacing w:before="16" w:after="16"/>
            </w:pPr>
            <w:r>
              <w:rPr>
                <w:rFonts w:ascii="Courier New" w:hAnsi="Courier New" w:eastAsia="Courier New" w:cs="Courier New"/>
                <w:color w:val="1A2233"/>
                <w:sz w:val="19"/>
                <w:szCs w:val="19"/>
              </w:rPr>
              <w:t xml:space="preserve">  │           ② 状态验证（当前指标状态下该行动是否技术可行）                  │</w:t>
            </w:r>
          </w:p>
          <w:p w14:paraId="6C97D820">
            <w:pPr>
              <w:spacing w:before="16" w:after="16"/>
            </w:pPr>
            <w:r>
              <w:rPr>
                <w:rFonts w:ascii="Courier New" w:hAnsi="Courier New" w:eastAsia="Courier New" w:cs="Courier New"/>
                <w:color w:val="1A2233"/>
                <w:sz w:val="19"/>
                <w:szCs w:val="19"/>
              </w:rPr>
              <w:t xml:space="preserve">  │  输出：用行政日常话语表述的具体可操作行动方案，严格保留原命题因果逻辑     │</w:t>
            </w:r>
          </w:p>
          <w:p w14:paraId="33498460">
            <w:pPr>
              <w:spacing w:before="16" w:after="16"/>
            </w:pPr>
            <w:r>
              <w:rPr>
                <w:rFonts w:ascii="Courier New" w:hAnsi="Courier New" w:eastAsia="Courier New" w:cs="Courier New"/>
                <w:color w:val="1A2233"/>
                <w:sz w:val="19"/>
                <w:szCs w:val="19"/>
              </w:rPr>
              <w:t xml:space="preserve">  └─────────────────────────────────────────────────────────────────────────┘</w:t>
            </w:r>
          </w:p>
          <w:p w14:paraId="5E9A04A7">
            <w:pPr>
              <w:spacing w:before="16" w:after="16"/>
            </w:pPr>
            <w:r>
              <w:rPr>
                <w:rFonts w:ascii="Courier New" w:hAnsi="Courier New" w:eastAsia="Courier New" w:cs="Courier New"/>
                <w:color w:val="1A2233"/>
                <w:sz w:val="19"/>
                <w:szCs w:val="19"/>
              </w:rPr>
              <w:t xml:space="preserve">                                   │</w:t>
            </w:r>
          </w:p>
          <w:p w14:paraId="4B9A68FF">
            <w:pPr>
              <w:spacing w:before="16" w:after="16"/>
            </w:pPr>
            <w:r>
              <w:rPr>
                <w:rFonts w:ascii="Courier New" w:hAnsi="Courier New" w:eastAsia="Courier New" w:cs="Courier New"/>
                <w:color w:val="1A2233"/>
                <w:sz w:val="19"/>
                <w:szCs w:val="19"/>
              </w:rPr>
              <w:t xml:space="preserve">                                   ▼</w:t>
            </w:r>
          </w:p>
          <w:p w14:paraId="24DF911D">
            <w:pPr>
              <w:spacing w:before="16" w:after="16"/>
            </w:pPr>
            <w:r>
              <w:rPr>
                <w:rFonts w:ascii="Courier New" w:hAnsi="Courier New" w:eastAsia="Courier New" w:cs="Courier New"/>
                <w:color w:val="1A2233"/>
                <w:sz w:val="19"/>
                <w:szCs w:val="19"/>
              </w:rPr>
              <w:t xml:space="preserve">  【封装层】10字段元数据结构化JSON对象</w:t>
            </w:r>
          </w:p>
          <w:p w14:paraId="3EBEA9F1">
            <w:pPr>
              <w:spacing w:before="16" w:after="16"/>
            </w:pPr>
            <w:r>
              <w:rPr>
                <w:rFonts w:ascii="Courier New" w:hAnsi="Courier New" w:eastAsia="Courier New" w:cs="Courier New"/>
                <w:color w:val="1A2233"/>
                <w:sz w:val="19"/>
                <w:szCs w:val="19"/>
              </w:rPr>
              <w:t xml:space="preserve">  ┌─────────────────────────────────────────────────────────────────────────┐</w:t>
            </w:r>
          </w:p>
          <w:p w14:paraId="176CCC00">
            <w:pPr>
              <w:spacing w:before="16" w:after="16"/>
            </w:pPr>
            <w:r>
              <w:rPr>
                <w:rFonts w:ascii="Courier New" w:hAnsi="Courier New" w:eastAsia="Courier New" w:cs="Courier New"/>
                <w:color w:val="1A2233"/>
                <w:sz w:val="19"/>
                <w:szCs w:val="19"/>
              </w:rPr>
              <w:t xml:space="preserve">  │  option_text（≤120字）/ action_type（12类之一）/ theory_basis（≤80字）  │</w:t>
            </w:r>
          </w:p>
          <w:p w14:paraId="77CA0644">
            <w:pPr>
              <w:spacing w:before="16" w:after="16"/>
            </w:pPr>
            <w:r>
              <w:rPr>
                <w:rFonts w:ascii="Courier New" w:hAnsi="Courier New" w:eastAsia="Courier New" w:cs="Courier New"/>
                <w:color w:val="1A2233"/>
                <w:sz w:val="19"/>
                <w:szCs w:val="19"/>
              </w:rPr>
              <w:t xml:space="preserve">  │  source_ref[]（作者/年/期刊/DOI，支持多文献）/ expected_effects（五维） │</w:t>
            </w:r>
          </w:p>
          <w:p w14:paraId="781623F9">
            <w:pPr>
              <w:spacing w:before="16" w:after="16"/>
            </w:pPr>
            <w:r>
              <w:rPr>
                <w:rFonts w:ascii="Courier New" w:hAnsi="Courier New" w:eastAsia="Courier New" w:cs="Courier New"/>
                <w:color w:val="1A2233"/>
                <w:sz w:val="19"/>
                <w:szCs w:val="19"/>
              </w:rPr>
              <w:t xml:space="preserve">  │  risk_level（1-5）/ prerequisite / is_custom / counterfactual / rag_layer │</w:t>
            </w:r>
          </w:p>
          <w:p w14:paraId="78D83BB3">
            <w:pPr>
              <w:spacing w:before="16" w:after="16"/>
            </w:pPr>
            <w:r>
              <w:rPr>
                <w:rFonts w:ascii="Courier New" w:hAnsi="Courier New" w:eastAsia="Courier New" w:cs="Courier New"/>
                <w:color w:val="1A2233"/>
                <w:sz w:val="19"/>
                <w:szCs w:val="19"/>
              </w:rPr>
              <w:t xml:space="preserve">  └─────────────────────────────────────────────────────────────────────────┘</w:t>
            </w:r>
          </w:p>
          <w:p w14:paraId="53B7C43F">
            <w:pPr>
              <w:spacing w:before="16" w:after="16"/>
            </w:pPr>
            <w:r>
              <w:rPr>
                <w:rFonts w:ascii="Courier New" w:hAnsi="Courier New" w:eastAsia="Courier New" w:cs="Courier New"/>
                <w:color w:val="1A2233"/>
                <w:sz w:val="19"/>
                <w:szCs w:val="19"/>
              </w:rPr>
              <w:t xml:space="preserve">                                   │</w:t>
            </w:r>
          </w:p>
          <w:p w14:paraId="53A7D893">
            <w:pPr>
              <w:spacing w:before="16" w:after="16"/>
            </w:pPr>
            <w:r>
              <w:rPr>
                <w:rFonts w:ascii="Courier New" w:hAnsi="Courier New" w:eastAsia="Courier New" w:cs="Courier New"/>
                <w:color w:val="1A2233"/>
                <w:sz w:val="19"/>
                <w:szCs w:val="19"/>
              </w:rPr>
              <w:t xml:space="preserve">                                   ▼</w:t>
            </w:r>
          </w:p>
          <w:p w14:paraId="56B8EC78">
            <w:pPr>
              <w:spacing w:before="16" w:after="16"/>
            </w:pPr>
            <w:r>
              <w:rPr>
                <w:rFonts w:ascii="Courier New" w:hAnsi="Courier New" w:eastAsia="Courier New" w:cs="Courier New"/>
                <w:color w:val="1A2233"/>
                <w:sz w:val="19"/>
                <w:szCs w:val="19"/>
              </w:rPr>
              <w:t xml:space="preserve">  【呈现层】玩家界面：选项卡片（2-6个，数量由教师/研究者配置）</w:t>
            </w:r>
          </w:p>
          <w:p w14:paraId="6EC1E6C8">
            <w:pPr>
              <w:spacing w:before="16" w:after="16"/>
            </w:pPr>
            <w:r>
              <w:rPr>
                <w:rFonts w:ascii="Courier New" w:hAnsi="Courier New" w:eastAsia="Courier New" w:cs="Courier New"/>
                <w:color w:val="1A2233"/>
                <w:sz w:val="19"/>
                <w:szCs w:val="19"/>
              </w:rPr>
              <w:t xml:space="preserve">  ┌─────────────────────────────────────────────────────────────────────────┐</w:t>
            </w:r>
          </w:p>
          <w:p w14:paraId="3E00D0B1">
            <w:pPr>
              <w:spacing w:before="16" w:after="16"/>
            </w:pPr>
            <w:r>
              <w:rPr>
                <w:rFonts w:ascii="Courier New" w:hAnsi="Courier New" w:eastAsia="Courier New" w:cs="Courier New"/>
                <w:color w:val="1A2233"/>
                <w:sz w:val="19"/>
                <w:szCs w:val="19"/>
              </w:rPr>
              <w:t xml:space="preserve">  │  每张卡片显示：选项文本 + 风险等级 + 预期效果 + [📖 理论依据（可展开）]  │</w:t>
            </w:r>
          </w:p>
          <w:p w14:paraId="27D648F9">
            <w:pPr>
              <w:spacing w:before="16" w:after="16"/>
            </w:pPr>
            <w:r>
              <w:rPr>
                <w:rFonts w:ascii="Courier New" w:hAnsi="Courier New" w:eastAsia="Courier New" w:cs="Courier New"/>
                <w:color w:val="1A2233"/>
                <w:sz w:val="19"/>
                <w:szCs w:val="19"/>
              </w:rPr>
              <w:t xml:space="preserve">  │  展开后：因果命题摘要（80字）+ 文献来源 + DOI直链（跳转百晓生全文）       │</w:t>
            </w:r>
          </w:p>
          <w:p w14:paraId="2BD26E6F">
            <w:pPr>
              <w:spacing w:before="16" w:after="16"/>
            </w:pPr>
            <w:r>
              <w:rPr>
                <w:rFonts w:ascii="Courier New" w:hAnsi="Courier New" w:eastAsia="Courier New" w:cs="Courier New"/>
                <w:color w:val="1A2233"/>
                <w:sz w:val="19"/>
                <w:szCs w:val="19"/>
              </w:rPr>
              <w:t xml:space="preserve">  │  [+ 添加自定义选项]：玩家可输入自设方案→制度合规验证→纳入选项集          │</w:t>
            </w:r>
          </w:p>
          <w:p w14:paraId="79A07C37">
            <w:pPr>
              <w:spacing w:before="16" w:after="16"/>
            </w:pPr>
            <w:r>
              <w:rPr>
                <w:rFonts w:ascii="Courier New" w:hAnsi="Courier New" w:eastAsia="Courier New" w:cs="Courier New"/>
                <w:color w:val="1A2233"/>
                <w:sz w:val="19"/>
                <w:szCs w:val="19"/>
              </w:rPr>
              <w:t xml:space="preserve">  └─────────────────────────────────────────────────────────────────────────┘</w:t>
            </w:r>
          </w:p>
        </w:tc>
      </w:tr>
    </w:tbl>
    <w:p w14:paraId="535D5D15">
      <w:pPr>
        <w:spacing w:before="60" w:after="60"/>
      </w:pPr>
    </w:p>
    <w:p w14:paraId="3FC8BBFB">
      <w:pPr>
        <w:pStyle w:val="4"/>
        <w:spacing w:before="220" w:after="100"/>
      </w:pPr>
      <w:r>
        <w:rPr>
          <w:rFonts w:ascii="Arial" w:hAnsi="Arial" w:eastAsia="Arial" w:cs="Arial"/>
          <w:b/>
          <w:bCs/>
          <w:color w:val="1B5E96"/>
          <w:sz w:val="22"/>
          <w:szCs w:val="22"/>
        </w:rPr>
        <w:t>阶段一：情境捕获与向量构建</w:t>
      </w:r>
    </w:p>
    <w:p w14:paraId="6C989203">
      <w:pPr>
        <w:spacing w:before="80" w:after="80"/>
        <w:jc w:val="both"/>
      </w:pPr>
      <w:r>
        <w:rPr>
          <w:rFonts w:ascii="Arial" w:hAnsi="Arial" w:eastAsia="Arial" w:cs="Arial"/>
          <w:b w:val="0"/>
          <w:bCs w:val="0"/>
          <w:color w:val="111111"/>
          <w:sz w:val="22"/>
          <w:szCs w:val="22"/>
        </w:rPr>
        <w:t>当推演进入任意决策节点时，系统自动捕获七类情境信息，构建"情境向量"。这七类信息分别是：当前角色职位ID及其在六大制度模块中的位置（决定权限边界）；当前推演阶段编号及阶段内已决策次数（决定时间紧迫感权重）；博弈类型标签（从5大类22个子类型中自动识别）；触发事件卡片的关键词向量；近三轮历史决策序列摘要（影响检索的上下文敏感性）；当前五维指标状态快照；三类全局压力参数值（督察倒计时/舆情热度/上级压力）。这七类信息被拼接为一段不超过200字的语义描述，通过BGE-M3多语言嵌入模型转化为高维向量，发送至百晓生API触发三层并行检索。</w:t>
      </w:r>
    </w:p>
    <w:p w14:paraId="50CF0A38">
      <w:pPr>
        <w:pStyle w:val="4"/>
        <w:spacing w:before="220" w:after="100"/>
      </w:pPr>
      <w:r>
        <w:rPr>
          <w:rFonts w:ascii="Arial" w:hAnsi="Arial" w:eastAsia="Arial" w:cs="Arial"/>
          <w:b/>
          <w:bCs/>
          <w:color w:val="1B5E96"/>
          <w:sz w:val="22"/>
          <w:szCs w:val="22"/>
        </w:rPr>
        <w:t>阶段二：三层知识库并行语义检索</w:t>
      </w:r>
    </w:p>
    <w:p w14:paraId="2A0BEB99">
      <w:pPr>
        <w:spacing w:before="80" w:after="80"/>
        <w:jc w:val="both"/>
      </w:pPr>
      <w:r>
        <w:rPr>
          <w:rFonts w:ascii="Arial" w:hAnsi="Arial" w:eastAsia="Arial" w:cs="Arial"/>
          <w:b w:val="0"/>
          <w:bCs w:val="0"/>
          <w:color w:val="111111"/>
          <w:sz w:val="22"/>
          <w:szCs w:val="22"/>
        </w:rPr>
        <w:t>平台同时向三层知识库发起向量相似度检索：L1公共大库（百晓生全量库，5000篇以上核心公共管理文献，覆盖PA/PS/JPART/PAR/APSR/CQ等主流期刊）；L2主题专库（按8大治理场景领域人工分类的精选文献集，每类50-100篇高质量文献，经过人工质量筛选和因果命题预处理）；L3用户私有库（教师/研究者上传的课程专用材料，上传后15分钟内完成向量化入库，仅当前场景配置者可见）。三层检索结果按RAG质量评分（相关度评分×文献质量分）合并排序，取Top-K个结果（K值范围3-12，由用户在场景配置时设置）。</w:t>
      </w:r>
    </w:p>
    <w:p w14:paraId="07FAAE4A">
      <w:pPr>
        <w:spacing w:before="80" w:after="80"/>
        <w:jc w:val="both"/>
      </w:pPr>
      <w:r>
        <w:rPr>
          <w:rFonts w:ascii="Arial" w:hAnsi="Arial" w:eastAsia="Arial" w:cs="Arial"/>
          <w:b w:val="0"/>
          <w:bCs w:val="0"/>
          <w:color w:val="111111"/>
          <w:sz w:val="22"/>
          <w:szCs w:val="22"/>
        </w:rPr>
        <w:t>关键技术设计：检索单位不是文献全文，而是经过预处理提炼的"因果命题"。每篇文献入库时由LLM提炼其中可操作化的因果命题（平均每篇3-8条），每条命题不超过100字，独立建立向量索引。这一设计大幅提升了检索精度——全文向量语义过于宽泛，命题向量能精确匹配"什么干预手段在什么条件下产生什么效果"这类决策相关问题。</w:t>
      </w:r>
    </w:p>
    <w:p w14:paraId="44C81D7E">
      <w:pPr>
        <w:pStyle w:val="4"/>
        <w:spacing w:before="220" w:after="100"/>
      </w:pPr>
      <w:r>
        <w:rPr>
          <w:rFonts w:ascii="Arial" w:hAnsi="Arial" w:eastAsia="Arial" w:cs="Arial"/>
          <w:b/>
          <w:bCs/>
          <w:color w:val="1B5E96"/>
          <w:sz w:val="22"/>
          <w:szCs w:val="22"/>
        </w:rPr>
        <w:t>阶段三：命题提炼与语言转化</w:t>
      </w:r>
    </w:p>
    <w:p w14:paraId="047239FA">
      <w:pPr>
        <w:spacing w:before="80" w:after="80"/>
        <w:jc w:val="both"/>
      </w:pPr>
      <w:r>
        <w:rPr>
          <w:rFonts w:ascii="Arial" w:hAnsi="Arial" w:eastAsia="Arial" w:cs="Arial"/>
          <w:b w:val="0"/>
          <w:bCs w:val="0"/>
          <w:color w:val="111111"/>
          <w:sz w:val="22"/>
          <w:szCs w:val="22"/>
        </w:rPr>
        <w:t>LLM（GPT-4o或Claude Sonnet，根据响应质量自动选择）将检索到的因果命题转化为"该角色在该情境下可以执行的具体行动方案"。转化遵循三条约束：第一，行动必须在该角色的制度权限范围内（由角色权限矩阵验证）；第二，行动必须在当前参数状态下技术可行（例如资源稀缺度极高时，高资源消耗类行动自动排除）；第三，行动描述必须使用行政日常话语，而非学术语言，确保玩家能直接理解并做出决策判断，但必须严格保留原命题的因果逻辑。</w:t>
      </w:r>
    </w:p>
    <w:p w14:paraId="592D0FD7">
      <w:pPr>
        <w:spacing w:before="80" w:after="80"/>
        <w:jc w:val="both"/>
      </w:pPr>
      <w:r>
        <w:rPr>
          <w:rFonts w:ascii="Arial" w:hAnsi="Arial" w:eastAsia="Arial" w:cs="Arial"/>
          <w:b w:val="0"/>
          <w:bCs w:val="0"/>
          <w:color w:val="111111"/>
          <w:sz w:val="22"/>
          <w:szCs w:val="22"/>
        </w:rPr>
        <w:t>示例转化：原始因果命题"府际政治联署机制显著降低跨域集体行动成本，成功率提升约40%（Feiock, 2013，PAR）"——转化为角色"清和县环保局局长"在"跨域溯源争议"情境下的行动选项："主动联系明川县环保局局长，提议双方联合签署溯源调查申请并提请省厅协调介入（预期：府际协作指数+3，政治风险低，但需对方配合，约需1-2轮额外协商时间）"。</w:t>
      </w:r>
    </w:p>
    <w:p w14:paraId="0DB11596">
      <w:pPr>
        <w:pStyle w:val="4"/>
        <w:spacing w:before="220" w:after="100"/>
      </w:pPr>
      <w:r>
        <w:rPr>
          <w:rFonts w:ascii="Arial" w:hAnsi="Arial" w:eastAsia="Arial" w:cs="Arial"/>
          <w:b/>
          <w:bCs/>
          <w:color w:val="1B5E96"/>
          <w:sz w:val="22"/>
          <w:szCs w:val="22"/>
        </w:rPr>
        <w:t>阶段四：选项封装与元数据标注</w:t>
      </w:r>
    </w:p>
    <w:p w14:paraId="77843E5C">
      <w:pPr>
        <w:spacing w:before="80" w:after="80"/>
        <w:jc w:val="both"/>
      </w:pPr>
      <w:r>
        <w:rPr>
          <w:rFonts w:ascii="Arial" w:hAnsi="Arial" w:eastAsia="Arial" w:cs="Arial"/>
          <w:b w:val="0"/>
          <w:bCs w:val="0"/>
          <w:color w:val="111111"/>
          <w:sz w:val="22"/>
          <w:szCs w:val="22"/>
        </w:rPr>
        <w:t>每个生成的决策选项被封装为包含10个字段的标准化元数据JSON对象，这一结构是整个平台研究价值的信息基础：选项文本（≤120字，面向玩家的行动描述）；行动类型标签（12类之一，详见3.3节）；理论依据摘要（≤80字，是选项对应的核心学术命题的通俗版本）；文献来源（作者/年/期刊/DOI，可包含多篇支撑文献）；预期五维指标影响（方向+强度，基于文献预设，运行时±20%弹性调整）；风险等级（1-5级，基于制度约束评估）；前置条件（如有，例如"需要对方已同意信息共享"）；是否自定义标记（区分RAG生成vs用户手工添加）；反事实说明（不选此项的预期后果，可选显示）；RAG来源层标注（L1/L2/L3）。</w:t>
      </w:r>
    </w:p>
    <w:p w14:paraId="27DC0C42">
      <w:pPr>
        <w:pStyle w:val="4"/>
        <w:spacing w:before="220" w:after="100"/>
      </w:pPr>
      <w:r>
        <w:rPr>
          <w:rFonts w:ascii="Arial" w:hAnsi="Arial" w:eastAsia="Arial" w:cs="Arial"/>
          <w:b/>
          <w:bCs/>
          <w:color w:val="1B5E96"/>
          <w:sz w:val="22"/>
          <w:szCs w:val="22"/>
        </w:rPr>
        <w:t>阶段五：动态更新与知识库版本管理</w:t>
      </w:r>
    </w:p>
    <w:p w14:paraId="2ECAD46E">
      <w:pPr>
        <w:spacing w:before="80" w:after="80"/>
        <w:jc w:val="both"/>
      </w:pPr>
      <w:r>
        <w:rPr>
          <w:rFonts w:ascii="Arial" w:hAnsi="Arial" w:eastAsia="Arial" w:cs="Arial"/>
          <w:b w:val="0"/>
          <w:bCs w:val="0"/>
          <w:color w:val="111111"/>
          <w:sz w:val="22"/>
          <w:szCs w:val="22"/>
        </w:rPr>
        <w:t>当百晓生知识库有新文献入库，或教师上传新私有材料，系统自动触发增量更新（非全量替换），相关决策节点的选项集在下次触发时同步刷新，无需重新配置场景。研究模式下，系统额外提供"知识库版本快照"功能：在研究项目启动时锁定当前知识库状态，确保同一研究项目的多批次实验面对完全相同的选项生成环境，这是保证跨批次数据可比性的关键方法论设计（满足实验内部效度要求）。</w:t>
      </w:r>
    </w:p>
    <w:p w14:paraId="1D3F3746">
      <w:pPr>
        <w:spacing w:before="60" w:after="60"/>
      </w:pPr>
    </w:p>
    <w:p w14:paraId="1601B2A0">
      <w:pPr>
        <w:pStyle w:val="3"/>
        <w:spacing w:before="320" w:after="140"/>
      </w:pPr>
      <w:r>
        <w:rPr>
          <w:rFonts w:ascii="Arial" w:hAnsi="Arial" w:eastAsia="Arial" w:cs="Arial"/>
          <w:b/>
          <w:bCs/>
          <w:color w:val="174A7E"/>
          <w:sz w:val="25"/>
          <w:szCs w:val="25"/>
        </w:rPr>
        <w:t>3.3 行动类型标签体系（12类）</w:t>
      </w:r>
    </w:p>
    <w:p w14:paraId="650E4962">
      <w:pPr>
        <w:spacing w:before="80" w:after="80"/>
        <w:jc w:val="both"/>
      </w:pPr>
      <w:r>
        <w:rPr>
          <w:rFonts w:ascii="Arial" w:hAnsi="Arial" w:eastAsia="Arial" w:cs="Arial"/>
          <w:b w:val="0"/>
          <w:bCs w:val="0"/>
          <w:color w:val="111111"/>
          <w:sz w:val="22"/>
          <w:szCs w:val="22"/>
        </w:rPr>
        <w:t>为便于行为数据分析，每个决策选项被标注为12类行动类型之一。这一分类体系来源于公共行政学和政治学对政府应对策略的系统梳理，每类都有明确的理论对应和测量价值。需要说明的是：这12类是平台的默认分类框架，用户在配置场景时可以删除不适用的类别、合并相近类别，或添加自定义类别，平台不强制使用全部12类。</w:t>
      </w:r>
    </w:p>
    <w:p w14:paraId="18125368">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200"/>
        <w:gridCol w:w="1800"/>
        <w:gridCol w:w="2760"/>
      </w:tblGrid>
      <w:tr w14:paraId="7B5C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81B3717">
            <w:pPr>
              <w:spacing w:before="36" w:after="36"/>
              <w:jc w:val="center"/>
            </w:pPr>
            <w:r>
              <w:rPr>
                <w:rFonts w:ascii="Arial" w:hAnsi="Arial" w:eastAsia="Arial" w:cs="Arial"/>
                <w:b/>
                <w:bCs/>
                <w:color w:val="FFFFFF"/>
                <w:sz w:val="19"/>
                <w:szCs w:val="19"/>
              </w:rPr>
              <w:t>行动类型</w:t>
            </w:r>
          </w:p>
        </w:tc>
        <w:tc>
          <w:tcPr>
            <w:tcW w:w="32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551FC0B">
            <w:pPr>
              <w:spacing w:before="36" w:after="36"/>
              <w:jc w:val="center"/>
            </w:pPr>
            <w:r>
              <w:rPr>
                <w:rFonts w:ascii="Arial" w:hAnsi="Arial" w:eastAsia="Arial" w:cs="Arial"/>
                <w:b/>
                <w:bCs/>
                <w:color w:val="FFFFFF"/>
                <w:sz w:val="19"/>
                <w:szCs w:val="19"/>
              </w:rPr>
              <w:t>适用情境与决策逻辑</w:t>
            </w:r>
          </w:p>
        </w:tc>
        <w:tc>
          <w:tcPr>
            <w:tcW w:w="1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056CFAC">
            <w:pPr>
              <w:spacing w:before="36" w:after="36"/>
              <w:jc w:val="center"/>
            </w:pPr>
            <w:r>
              <w:rPr>
                <w:rFonts w:ascii="Arial" w:hAnsi="Arial" w:eastAsia="Arial" w:cs="Arial"/>
                <w:b/>
                <w:bCs/>
                <w:color w:val="FFFFFF"/>
                <w:sz w:val="19"/>
                <w:szCs w:val="19"/>
              </w:rPr>
              <w:t>预期主要指标效果</w:t>
            </w:r>
          </w:p>
        </w:tc>
        <w:tc>
          <w:tcPr>
            <w:tcW w:w="27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C5C9CF3">
            <w:pPr>
              <w:spacing w:before="36" w:after="36"/>
              <w:jc w:val="center"/>
            </w:pPr>
            <w:r>
              <w:rPr>
                <w:rFonts w:ascii="Arial" w:hAnsi="Arial" w:eastAsia="Arial" w:cs="Arial"/>
                <w:b/>
                <w:bCs/>
                <w:color w:val="FFFFFF"/>
                <w:sz w:val="19"/>
                <w:szCs w:val="19"/>
              </w:rPr>
              <w:t>理论依据</w:t>
            </w:r>
          </w:p>
        </w:tc>
      </w:tr>
      <w:tr w14:paraId="6B7DE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4D5FDEE">
            <w:pPr>
              <w:spacing w:before="36" w:after="36"/>
              <w:jc w:val="left"/>
            </w:pPr>
            <w:r>
              <w:rPr>
                <w:rFonts w:ascii="Arial" w:hAnsi="Arial" w:eastAsia="Arial" w:cs="Arial"/>
                <w:color w:val="222222"/>
                <w:sz w:val="20"/>
                <w:szCs w:val="20"/>
              </w:rPr>
              <w:t>① 信息上报类</w:t>
            </w:r>
          </w:p>
        </w:tc>
        <w:tc>
          <w:tcPr>
            <w:tcW w:w="3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C6D2E51">
            <w:pPr>
              <w:spacing w:before="36" w:after="36"/>
              <w:jc w:val="left"/>
            </w:pPr>
            <w:r>
              <w:rPr>
                <w:rFonts w:ascii="Arial" w:hAnsi="Arial" w:eastAsia="Arial" w:cs="Arial"/>
                <w:color w:val="222222"/>
                <w:sz w:val="20"/>
                <w:szCs w:val="20"/>
              </w:rPr>
              <w:t>需向上级传递情况或寻求政治支持。属于科层体制中最基本的正式信道行为，主动上报减少委托方道德风险</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42B9F03">
            <w:pPr>
              <w:spacing w:before="36" w:after="36"/>
              <w:jc w:val="left"/>
            </w:pPr>
            <w:r>
              <w:rPr>
                <w:rFonts w:ascii="Arial" w:hAnsi="Arial" w:eastAsia="Arial" w:cs="Arial"/>
                <w:color w:val="222222"/>
                <w:sz w:val="20"/>
                <w:szCs w:val="20"/>
              </w:rPr>
              <w:t>CLR↑，政治安全↑</w:t>
            </w:r>
          </w:p>
        </w:tc>
        <w:tc>
          <w:tcPr>
            <w:tcW w:w="27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3B89DAD">
            <w:pPr>
              <w:spacing w:before="36" w:after="36"/>
              <w:jc w:val="left"/>
            </w:pPr>
            <w:r>
              <w:rPr>
                <w:rFonts w:ascii="Arial" w:hAnsi="Arial" w:eastAsia="Arial" w:cs="Arial"/>
                <w:color w:val="222222"/>
                <w:sz w:val="20"/>
                <w:szCs w:val="20"/>
              </w:rPr>
              <w:t>Jensen &amp; Meckling（1976）委托代理理论：主动信息共享降低代理问题</w:t>
            </w:r>
          </w:p>
        </w:tc>
      </w:tr>
      <w:tr w14:paraId="47BE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B011D6C">
            <w:pPr>
              <w:spacing w:before="36" w:after="36"/>
              <w:jc w:val="left"/>
            </w:pPr>
            <w:r>
              <w:rPr>
                <w:rFonts w:ascii="Arial" w:hAnsi="Arial" w:eastAsia="Arial" w:cs="Arial"/>
                <w:color w:val="222222"/>
                <w:sz w:val="20"/>
                <w:szCs w:val="20"/>
              </w:rPr>
              <w:t>② 信息管控类</w:t>
            </w:r>
          </w:p>
        </w:tc>
        <w:tc>
          <w:tcPr>
            <w:tcW w:w="3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432F9CC">
            <w:pPr>
              <w:spacing w:before="36" w:after="36"/>
              <w:jc w:val="left"/>
            </w:pPr>
            <w:r>
              <w:rPr>
                <w:rFonts w:ascii="Arial" w:hAnsi="Arial" w:eastAsia="Arial" w:cs="Arial"/>
                <w:color w:val="222222"/>
                <w:sz w:val="20"/>
                <w:szCs w:val="20"/>
              </w:rPr>
              <w:t>舆情上升时控制信息节奏、统一口径。短期可降低舆情热度，但被发现时引发信任危机</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49AD5BE">
            <w:pPr>
              <w:spacing w:before="36" w:after="36"/>
              <w:jc w:val="left"/>
            </w:pPr>
            <w:r>
              <w:rPr>
                <w:rFonts w:ascii="Arial" w:hAnsi="Arial" w:eastAsia="Arial" w:cs="Arial"/>
                <w:color w:val="222222"/>
                <w:sz w:val="20"/>
                <w:szCs w:val="20"/>
              </w:rPr>
              <w:t>STS短期↑，长期↓↓；CLR高风险</w:t>
            </w:r>
          </w:p>
        </w:tc>
        <w:tc>
          <w:tcPr>
            <w:tcW w:w="27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C9216B6">
            <w:pPr>
              <w:spacing w:before="36" w:after="36"/>
              <w:jc w:val="left"/>
            </w:pPr>
            <w:r>
              <w:rPr>
                <w:rFonts w:ascii="Arial" w:hAnsi="Arial" w:eastAsia="Arial" w:cs="Arial"/>
                <w:color w:val="222222"/>
                <w:sz w:val="20"/>
                <w:szCs w:val="20"/>
              </w:rPr>
              <w:t>King et al.（2013, APSR）：信息管控的长短期收益不对称</w:t>
            </w:r>
          </w:p>
        </w:tc>
      </w:tr>
      <w:tr w14:paraId="5825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FA0F5C5">
            <w:pPr>
              <w:spacing w:before="36" w:after="36"/>
              <w:jc w:val="left"/>
            </w:pPr>
            <w:r>
              <w:rPr>
                <w:rFonts w:ascii="Arial" w:hAnsi="Arial" w:eastAsia="Arial" w:cs="Arial"/>
                <w:color w:val="222222"/>
                <w:sz w:val="20"/>
                <w:szCs w:val="20"/>
              </w:rPr>
              <w:t>③ 跨域协调类</w:t>
            </w:r>
          </w:p>
        </w:tc>
        <w:tc>
          <w:tcPr>
            <w:tcW w:w="3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3E37333">
            <w:pPr>
              <w:spacing w:before="36" w:after="36"/>
              <w:jc w:val="left"/>
            </w:pPr>
            <w:r>
              <w:rPr>
                <w:rFonts w:ascii="Arial" w:hAnsi="Arial" w:eastAsia="Arial" w:cs="Arial"/>
                <w:color w:val="222222"/>
                <w:sz w:val="20"/>
                <w:szCs w:val="20"/>
              </w:rPr>
              <w:t>涉及多行政区问题时横向合作。需支付协调交易成本，但成功后持续降低后续合作摩擦</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49BC013">
            <w:pPr>
              <w:spacing w:before="36" w:after="36"/>
              <w:jc w:val="left"/>
            </w:pPr>
            <w:r>
              <w:rPr>
                <w:rFonts w:ascii="Arial" w:hAnsi="Arial" w:eastAsia="Arial" w:cs="Arial"/>
                <w:color w:val="222222"/>
                <w:sz w:val="20"/>
                <w:szCs w:val="20"/>
              </w:rPr>
              <w:t>IGA↑，但有时间成本</w:t>
            </w:r>
          </w:p>
        </w:tc>
        <w:tc>
          <w:tcPr>
            <w:tcW w:w="27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64FBD74">
            <w:pPr>
              <w:spacing w:before="36" w:after="36"/>
              <w:jc w:val="left"/>
            </w:pPr>
            <w:r>
              <w:rPr>
                <w:rFonts w:ascii="Arial" w:hAnsi="Arial" w:eastAsia="Arial" w:cs="Arial"/>
                <w:color w:val="222222"/>
                <w:sz w:val="20"/>
                <w:szCs w:val="20"/>
              </w:rPr>
              <w:t>Feiock（2013）制度性集体行动框架：横向协调降低集体行动失败概率</w:t>
            </w:r>
          </w:p>
        </w:tc>
      </w:tr>
      <w:tr w14:paraId="1A7B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B2C973F">
            <w:pPr>
              <w:spacing w:before="36" w:after="36"/>
              <w:jc w:val="left"/>
            </w:pPr>
            <w:r>
              <w:rPr>
                <w:rFonts w:ascii="Arial" w:hAnsi="Arial" w:eastAsia="Arial" w:cs="Arial"/>
                <w:color w:val="222222"/>
                <w:sz w:val="20"/>
                <w:szCs w:val="20"/>
              </w:rPr>
              <w:t>④ 资源调配类</w:t>
            </w:r>
          </w:p>
        </w:tc>
        <w:tc>
          <w:tcPr>
            <w:tcW w:w="3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AD1B4FE">
            <w:pPr>
              <w:spacing w:before="36" w:after="36"/>
              <w:jc w:val="left"/>
            </w:pPr>
            <w:r>
              <w:rPr>
                <w:rFonts w:ascii="Arial" w:hAnsi="Arial" w:eastAsia="Arial" w:cs="Arial"/>
                <w:color w:val="222222"/>
                <w:sz w:val="20"/>
                <w:szCs w:val="20"/>
              </w:rPr>
              <w:t>动员人力物力财力。专项资金激活可突破常规约束，但消耗资源稀缺度</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796F3C5">
            <w:pPr>
              <w:spacing w:before="36" w:after="36"/>
              <w:jc w:val="left"/>
            </w:pPr>
            <w:r>
              <w:rPr>
                <w:rFonts w:ascii="Arial" w:hAnsi="Arial" w:eastAsia="Arial" w:cs="Arial"/>
                <w:color w:val="222222"/>
                <w:sz w:val="20"/>
                <w:szCs w:val="20"/>
              </w:rPr>
              <w:t>PSR↑，资源约束↑</w:t>
            </w:r>
          </w:p>
        </w:tc>
        <w:tc>
          <w:tcPr>
            <w:tcW w:w="27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73F9ED5">
            <w:pPr>
              <w:spacing w:before="36" w:after="36"/>
              <w:jc w:val="left"/>
            </w:pPr>
            <w:r>
              <w:rPr>
                <w:rFonts w:ascii="Arial" w:hAnsi="Arial" w:eastAsia="Arial" w:cs="Arial"/>
                <w:color w:val="222222"/>
                <w:sz w:val="20"/>
                <w:szCs w:val="20"/>
              </w:rPr>
              <w:t>周黎安（2007）：专项资金是突破常规约束的制度性工具</w:t>
            </w:r>
          </w:p>
        </w:tc>
      </w:tr>
      <w:tr w14:paraId="4996A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45C925D">
            <w:pPr>
              <w:spacing w:before="36" w:after="36"/>
              <w:jc w:val="left"/>
            </w:pPr>
            <w:r>
              <w:rPr>
                <w:rFonts w:ascii="Arial" w:hAnsi="Arial" w:eastAsia="Arial" w:cs="Arial"/>
                <w:color w:val="222222"/>
                <w:sz w:val="20"/>
                <w:szCs w:val="20"/>
              </w:rPr>
              <w:t>⑤ 行政执法类</w:t>
            </w:r>
          </w:p>
        </w:tc>
        <w:tc>
          <w:tcPr>
            <w:tcW w:w="3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B572BF3">
            <w:pPr>
              <w:spacing w:before="36" w:after="36"/>
              <w:jc w:val="left"/>
            </w:pPr>
            <w:r>
              <w:rPr>
                <w:rFonts w:ascii="Arial" w:hAnsi="Arial" w:eastAsia="Arial" w:cs="Arial"/>
                <w:color w:val="222222"/>
                <w:sz w:val="20"/>
                <w:szCs w:val="20"/>
              </w:rPr>
              <w:t>依法启动正式执法程序。增加执法合法性，但耗时且可能激化冲突</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CFCD232">
            <w:pPr>
              <w:spacing w:before="36" w:after="36"/>
              <w:jc w:val="left"/>
            </w:pPr>
            <w:r>
              <w:rPr>
                <w:rFonts w:ascii="Arial" w:hAnsi="Arial" w:eastAsia="Arial" w:cs="Arial"/>
                <w:color w:val="222222"/>
                <w:sz w:val="20"/>
                <w:szCs w:val="20"/>
              </w:rPr>
              <w:t>ARC↑，PSR中期↑</w:t>
            </w:r>
          </w:p>
        </w:tc>
        <w:tc>
          <w:tcPr>
            <w:tcW w:w="27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EDD1514">
            <w:pPr>
              <w:spacing w:before="36" w:after="36"/>
              <w:jc w:val="left"/>
            </w:pPr>
            <w:r>
              <w:rPr>
                <w:rFonts w:ascii="Arial" w:hAnsi="Arial" w:eastAsia="Arial" w:cs="Arial"/>
                <w:color w:val="222222"/>
                <w:sz w:val="20"/>
                <w:szCs w:val="20"/>
              </w:rPr>
              <w:t>Lipsky（1980）：标准程序增加执法合法性和可问责性</w:t>
            </w:r>
          </w:p>
        </w:tc>
      </w:tr>
      <w:tr w14:paraId="27DF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27A377D">
            <w:pPr>
              <w:spacing w:before="36" w:after="36"/>
              <w:jc w:val="left"/>
            </w:pPr>
            <w:r>
              <w:rPr>
                <w:rFonts w:ascii="Arial" w:hAnsi="Arial" w:eastAsia="Arial" w:cs="Arial"/>
                <w:color w:val="222222"/>
                <w:sz w:val="20"/>
                <w:szCs w:val="20"/>
              </w:rPr>
              <w:t>⑥ 政治动员类</w:t>
            </w:r>
          </w:p>
        </w:tc>
        <w:tc>
          <w:tcPr>
            <w:tcW w:w="3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3C2530D">
            <w:pPr>
              <w:spacing w:before="36" w:after="36"/>
              <w:jc w:val="left"/>
            </w:pPr>
            <w:r>
              <w:rPr>
                <w:rFonts w:ascii="Arial" w:hAnsi="Arial" w:eastAsia="Arial" w:cs="Arial"/>
                <w:color w:val="222222"/>
                <w:sz w:val="20"/>
                <w:szCs w:val="20"/>
              </w:rPr>
              <w:t>打破常规科层梗阻，召集高规格会议或提请主要领导出席</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6A2C240">
            <w:pPr>
              <w:spacing w:before="36" w:after="36"/>
              <w:jc w:val="left"/>
            </w:pPr>
            <w:r>
              <w:rPr>
                <w:rFonts w:ascii="Arial" w:hAnsi="Arial" w:eastAsia="Arial" w:cs="Arial"/>
                <w:color w:val="222222"/>
                <w:sz w:val="20"/>
                <w:szCs w:val="20"/>
              </w:rPr>
              <w:t>执行速度↑，政治风险↑</w:t>
            </w:r>
          </w:p>
        </w:tc>
        <w:tc>
          <w:tcPr>
            <w:tcW w:w="27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0C1576F">
            <w:pPr>
              <w:spacing w:before="36" w:after="36"/>
              <w:jc w:val="left"/>
            </w:pPr>
            <w:r>
              <w:rPr>
                <w:rFonts w:ascii="Arial" w:hAnsi="Arial" w:eastAsia="Arial" w:cs="Arial"/>
                <w:color w:val="222222"/>
                <w:sz w:val="20"/>
                <w:szCs w:val="20"/>
              </w:rPr>
              <w:t>冯仕政（2011）：运动式治理是突破科层梗阻的非常规工具</w:t>
            </w:r>
          </w:p>
        </w:tc>
      </w:tr>
      <w:tr w14:paraId="568C6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08E7B42">
            <w:pPr>
              <w:spacing w:before="36" w:after="36"/>
              <w:jc w:val="left"/>
            </w:pPr>
            <w:r>
              <w:rPr>
                <w:rFonts w:ascii="Arial" w:hAnsi="Arial" w:eastAsia="Arial" w:cs="Arial"/>
                <w:color w:val="222222"/>
                <w:sz w:val="20"/>
                <w:szCs w:val="20"/>
              </w:rPr>
              <w:t>⑦ 社会沟通类</w:t>
            </w:r>
          </w:p>
        </w:tc>
        <w:tc>
          <w:tcPr>
            <w:tcW w:w="3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952D33A">
            <w:pPr>
              <w:spacing w:before="36" w:after="36"/>
              <w:jc w:val="left"/>
            </w:pPr>
            <w:r>
              <w:rPr>
                <w:rFonts w:ascii="Arial" w:hAnsi="Arial" w:eastAsia="Arial" w:cs="Arial"/>
                <w:color w:val="222222"/>
                <w:sz w:val="20"/>
                <w:szCs w:val="20"/>
              </w:rPr>
              <w:t>建立或修复政府公信力，召开发布会或邀请第三方参与</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2F8D02F">
            <w:pPr>
              <w:spacing w:before="36" w:after="36"/>
              <w:jc w:val="left"/>
            </w:pPr>
            <w:r>
              <w:rPr>
                <w:rFonts w:ascii="Arial" w:hAnsi="Arial" w:eastAsia="Arial" w:cs="Arial"/>
                <w:color w:val="222222"/>
                <w:sz w:val="20"/>
                <w:szCs w:val="20"/>
              </w:rPr>
              <w:t>STS↑，媒体关系改善</w:t>
            </w:r>
          </w:p>
        </w:tc>
        <w:tc>
          <w:tcPr>
            <w:tcW w:w="27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0F800A2">
            <w:pPr>
              <w:spacing w:before="36" w:after="36"/>
              <w:jc w:val="left"/>
            </w:pPr>
            <w:r>
              <w:rPr>
                <w:rFonts w:ascii="Arial" w:hAnsi="Arial" w:eastAsia="Arial" w:cs="Arial"/>
                <w:color w:val="222222"/>
                <w:sz w:val="20"/>
                <w:szCs w:val="20"/>
              </w:rPr>
              <w:t>Ostrom（1990）：透明参与机制提升公共管理合法性</w:t>
            </w:r>
          </w:p>
        </w:tc>
      </w:tr>
      <w:tr w14:paraId="61900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1F3CBC6">
            <w:pPr>
              <w:spacing w:before="36" w:after="36"/>
              <w:jc w:val="left"/>
            </w:pPr>
            <w:r>
              <w:rPr>
                <w:rFonts w:ascii="Arial" w:hAnsi="Arial" w:eastAsia="Arial" w:cs="Arial"/>
                <w:color w:val="222222"/>
                <w:sz w:val="20"/>
                <w:szCs w:val="20"/>
              </w:rPr>
              <w:t>⑧ 技术支撑类</w:t>
            </w:r>
          </w:p>
        </w:tc>
        <w:tc>
          <w:tcPr>
            <w:tcW w:w="3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CF62F52">
            <w:pPr>
              <w:spacing w:before="36" w:after="36"/>
              <w:jc w:val="left"/>
            </w:pPr>
            <w:r>
              <w:rPr>
                <w:rFonts w:ascii="Arial" w:hAnsi="Arial" w:eastAsia="Arial" w:cs="Arial"/>
                <w:color w:val="222222"/>
                <w:sz w:val="20"/>
                <w:szCs w:val="20"/>
              </w:rPr>
              <w:t>委托第三方技术认证或独立评估，强化证据链</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05C0D81">
            <w:pPr>
              <w:spacing w:before="36" w:after="36"/>
              <w:jc w:val="left"/>
            </w:pPr>
            <w:r>
              <w:rPr>
                <w:rFonts w:ascii="Arial" w:hAnsi="Arial" w:eastAsia="Arial" w:cs="Arial"/>
                <w:color w:val="222222"/>
                <w:sz w:val="20"/>
                <w:szCs w:val="20"/>
              </w:rPr>
              <w:t>ARC↑，PSR↑，证据链强度↑</w:t>
            </w:r>
          </w:p>
        </w:tc>
        <w:tc>
          <w:tcPr>
            <w:tcW w:w="27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ED6B309">
            <w:pPr>
              <w:spacing w:before="36" w:after="36"/>
              <w:jc w:val="left"/>
            </w:pPr>
            <w:r>
              <w:rPr>
                <w:rFonts w:ascii="Arial" w:hAnsi="Arial" w:eastAsia="Arial" w:cs="Arial"/>
                <w:color w:val="222222"/>
                <w:sz w:val="20"/>
                <w:szCs w:val="20"/>
              </w:rPr>
              <w:t>Millstone（2009）：独立科学权威参与显著提升争议决策公信力</w:t>
            </w:r>
          </w:p>
        </w:tc>
      </w:tr>
      <w:tr w14:paraId="6E8B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BA6D5FE">
            <w:pPr>
              <w:spacing w:before="36" w:after="36"/>
              <w:jc w:val="left"/>
            </w:pPr>
            <w:r>
              <w:rPr>
                <w:rFonts w:ascii="Arial" w:hAnsi="Arial" w:eastAsia="Arial" w:cs="Arial"/>
                <w:color w:val="222222"/>
                <w:sz w:val="20"/>
                <w:szCs w:val="20"/>
              </w:rPr>
              <w:t>⑨ 延迟等待类</w:t>
            </w:r>
          </w:p>
        </w:tc>
        <w:tc>
          <w:tcPr>
            <w:tcW w:w="3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1528BB2">
            <w:pPr>
              <w:spacing w:before="36" w:after="36"/>
              <w:jc w:val="left"/>
            </w:pPr>
            <w:r>
              <w:rPr>
                <w:rFonts w:ascii="Arial" w:hAnsi="Arial" w:eastAsia="Arial" w:cs="Arial"/>
                <w:color w:val="222222"/>
                <w:sz w:val="20"/>
                <w:szCs w:val="20"/>
              </w:rPr>
              <w:t>信息不足时暂缓决策，收集更多信息降低不确定性</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0B7E4F5">
            <w:pPr>
              <w:spacing w:before="36" w:after="36"/>
              <w:jc w:val="left"/>
            </w:pPr>
            <w:r>
              <w:rPr>
                <w:rFonts w:ascii="Arial" w:hAnsi="Arial" w:eastAsia="Arial" w:cs="Arial"/>
                <w:color w:val="222222"/>
                <w:sz w:val="20"/>
                <w:szCs w:val="20"/>
              </w:rPr>
              <w:t>各维度维持现状，压力指标可能自然上升</w:t>
            </w:r>
          </w:p>
        </w:tc>
        <w:tc>
          <w:tcPr>
            <w:tcW w:w="27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615954E">
            <w:pPr>
              <w:spacing w:before="36" w:after="36"/>
              <w:jc w:val="left"/>
            </w:pPr>
            <w:r>
              <w:rPr>
                <w:rFonts w:ascii="Arial" w:hAnsi="Arial" w:eastAsia="Arial" w:cs="Arial"/>
                <w:color w:val="222222"/>
                <w:sz w:val="20"/>
                <w:szCs w:val="20"/>
              </w:rPr>
              <w:t>Simon（1957）有限理性：信息收集降低决策不确定性</w:t>
            </w:r>
          </w:p>
        </w:tc>
      </w:tr>
      <w:tr w14:paraId="34C02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5F2629D">
            <w:pPr>
              <w:spacing w:before="36" w:after="36"/>
              <w:jc w:val="left"/>
            </w:pPr>
            <w:r>
              <w:rPr>
                <w:rFonts w:ascii="Arial" w:hAnsi="Arial" w:eastAsia="Arial" w:cs="Arial"/>
                <w:color w:val="222222"/>
                <w:sz w:val="20"/>
                <w:szCs w:val="20"/>
              </w:rPr>
              <w:t>⑩ 联署合作类</w:t>
            </w:r>
          </w:p>
        </w:tc>
        <w:tc>
          <w:tcPr>
            <w:tcW w:w="3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0E94386">
            <w:pPr>
              <w:spacing w:before="36" w:after="36"/>
              <w:jc w:val="left"/>
            </w:pPr>
            <w:r>
              <w:rPr>
                <w:rFonts w:ascii="Arial" w:hAnsi="Arial" w:eastAsia="Arial" w:cs="Arial"/>
                <w:color w:val="222222"/>
                <w:sz w:val="20"/>
                <w:szCs w:val="20"/>
              </w:rPr>
              <w:t>集合多方力量推动问题解决，联合签署正式文件</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AF70085">
            <w:pPr>
              <w:spacing w:before="36" w:after="36"/>
              <w:jc w:val="left"/>
            </w:pPr>
            <w:r>
              <w:rPr>
                <w:rFonts w:ascii="Arial" w:hAnsi="Arial" w:eastAsia="Arial" w:cs="Arial"/>
                <w:color w:val="222222"/>
                <w:sz w:val="20"/>
                <w:szCs w:val="20"/>
              </w:rPr>
              <w:t>IGA↑↑，CLR↑，协调成本↓</w:t>
            </w:r>
          </w:p>
        </w:tc>
        <w:tc>
          <w:tcPr>
            <w:tcW w:w="27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7B869FE">
            <w:pPr>
              <w:spacing w:before="36" w:after="36"/>
              <w:jc w:val="left"/>
            </w:pPr>
            <w:r>
              <w:rPr>
                <w:rFonts w:ascii="Arial" w:hAnsi="Arial" w:eastAsia="Arial" w:cs="Arial"/>
                <w:color w:val="222222"/>
                <w:sz w:val="20"/>
                <w:szCs w:val="20"/>
              </w:rPr>
              <w:t>Olson（1965）：联署机制突破集体行动搭便车困境</w:t>
            </w:r>
          </w:p>
        </w:tc>
      </w:tr>
      <w:tr w14:paraId="1E19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5B45F2F">
            <w:pPr>
              <w:spacing w:before="36" w:after="36"/>
              <w:jc w:val="left"/>
            </w:pPr>
            <w:r>
              <w:rPr>
                <w:rFonts w:ascii="Arial" w:hAnsi="Arial" w:eastAsia="Arial" w:cs="Arial"/>
                <w:color w:val="222222"/>
                <w:sz w:val="20"/>
                <w:szCs w:val="20"/>
              </w:rPr>
              <w:t>⑪ 问责追责类</w:t>
            </w:r>
          </w:p>
        </w:tc>
        <w:tc>
          <w:tcPr>
            <w:tcW w:w="3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298B829">
            <w:pPr>
              <w:spacing w:before="36" w:after="36"/>
              <w:jc w:val="left"/>
            </w:pPr>
            <w:r>
              <w:rPr>
                <w:rFonts w:ascii="Arial" w:hAnsi="Arial" w:eastAsia="Arial" w:cs="Arial"/>
                <w:color w:val="222222"/>
                <w:sz w:val="20"/>
                <w:szCs w:val="20"/>
              </w:rPr>
              <w:t>厘清历史责任，启动正式问责程序</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80C25D2">
            <w:pPr>
              <w:spacing w:before="36" w:after="36"/>
              <w:jc w:val="left"/>
            </w:pPr>
            <w:r>
              <w:rPr>
                <w:rFonts w:ascii="Arial" w:hAnsi="Arial" w:eastAsia="Arial" w:cs="Arial"/>
                <w:color w:val="222222"/>
                <w:sz w:val="20"/>
                <w:szCs w:val="20"/>
              </w:rPr>
              <w:t>ARC↑，CLR（若及时），政治风险↑</w:t>
            </w:r>
          </w:p>
        </w:tc>
        <w:tc>
          <w:tcPr>
            <w:tcW w:w="27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96B644B">
            <w:pPr>
              <w:spacing w:before="36" w:after="36"/>
              <w:jc w:val="left"/>
            </w:pPr>
            <w:r>
              <w:rPr>
                <w:rFonts w:ascii="Arial" w:hAnsi="Arial" w:eastAsia="Arial" w:cs="Arial"/>
                <w:color w:val="222222"/>
                <w:sz w:val="20"/>
                <w:szCs w:val="20"/>
              </w:rPr>
              <w:t>杨雪冬（2012）：终身追责机制改变官员对历史决策的时间贴现</w:t>
            </w:r>
          </w:p>
        </w:tc>
      </w:tr>
      <w:tr w14:paraId="1A990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EAC1011">
            <w:pPr>
              <w:spacing w:before="36" w:after="36"/>
              <w:jc w:val="left"/>
            </w:pPr>
            <w:r>
              <w:rPr>
                <w:rFonts w:ascii="Arial" w:hAnsi="Arial" w:eastAsia="Arial" w:cs="Arial"/>
                <w:color w:val="222222"/>
                <w:sz w:val="20"/>
                <w:szCs w:val="20"/>
              </w:rPr>
              <w:t>⑫ 创新探索类</w:t>
            </w:r>
          </w:p>
        </w:tc>
        <w:tc>
          <w:tcPr>
            <w:tcW w:w="3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74B8DCF">
            <w:pPr>
              <w:spacing w:before="36" w:after="36"/>
              <w:jc w:val="left"/>
            </w:pPr>
            <w:r>
              <w:rPr>
                <w:rFonts w:ascii="Arial" w:hAnsi="Arial" w:eastAsia="Arial" w:cs="Arial"/>
                <w:color w:val="222222"/>
                <w:sz w:val="20"/>
                <w:szCs w:val="20"/>
              </w:rPr>
              <w:t>常规方案失效时提出制度创新或试点申请</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8CF42CA">
            <w:pPr>
              <w:spacing w:before="36" w:after="36"/>
              <w:jc w:val="left"/>
            </w:pPr>
            <w:r>
              <w:rPr>
                <w:rFonts w:ascii="Arial" w:hAnsi="Arial" w:eastAsia="Arial" w:cs="Arial"/>
                <w:color w:val="222222"/>
                <w:sz w:val="20"/>
                <w:szCs w:val="20"/>
              </w:rPr>
              <w:t>高风险高回报，效果最不可预测</w:t>
            </w:r>
          </w:p>
        </w:tc>
        <w:tc>
          <w:tcPr>
            <w:tcW w:w="27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B1D716D">
            <w:pPr>
              <w:spacing w:before="36" w:after="36"/>
              <w:jc w:val="left"/>
            </w:pPr>
            <w:r>
              <w:rPr>
                <w:rFonts w:ascii="Arial" w:hAnsi="Arial" w:eastAsia="Arial" w:cs="Arial"/>
                <w:color w:val="222222"/>
                <w:sz w:val="20"/>
                <w:szCs w:val="20"/>
              </w:rPr>
              <w:t>Heilmann（2008）：试点机制是中国政策创新扩散的核心路径</w:t>
            </w:r>
          </w:p>
        </w:tc>
      </w:tr>
    </w:tbl>
    <w:p w14:paraId="171F0E4E">
      <w:pPr>
        <w:spacing w:before="60" w:after="60"/>
      </w:pPr>
    </w:p>
    <w:p w14:paraId="780E294F">
      <w:pPr>
        <w:spacing w:before="80" w:after="80"/>
        <w:jc w:val="both"/>
      </w:pPr>
      <w:r>
        <w:rPr>
          <w:rFonts w:ascii="Arial" w:hAnsi="Arial" w:eastAsia="Arial" w:cs="Arial"/>
          <w:b w:val="0"/>
          <w:bCs w:val="0"/>
          <w:color w:val="111111"/>
          <w:sz w:val="22"/>
          <w:szCs w:val="22"/>
        </w:rPr>
        <w:t>注：以上12类是平台内置的默认行动类型分类，用户在配置场景时可根据实际需要增删类别或调整类别定义。系统对每类行动的预期效果计算基于当前参数状态动态调整，而非固定数值。</w:t>
      </w:r>
    </w:p>
    <w:p w14:paraId="2B54E886">
      <w:r>
        <w:br w:type="page"/>
      </w:r>
    </w:p>
    <w:p w14:paraId="1AF5984D">
      <w:pPr>
        <w:pStyle w:val="2"/>
        <w:pBdr>
          <w:bottom w:val="single" w:color="1A3A5C" w:sz="8" w:space="2"/>
        </w:pBdr>
        <w:spacing w:before="440" w:after="200"/>
      </w:pPr>
      <w:r>
        <w:rPr>
          <w:rFonts w:ascii="Arial" w:hAnsi="Arial" w:eastAsia="Arial" w:cs="Arial"/>
          <w:b/>
          <w:bCs/>
          <w:color w:val="1A3A5C"/>
          <w:sz w:val="30"/>
          <w:szCs w:val="30"/>
        </w:rPr>
        <w:t>四、理论框架：严肃游戏与公共管理研究的方法论对话</w:t>
      </w:r>
    </w:p>
    <w:p w14:paraId="47B68F9B">
      <w:pPr>
        <w:spacing w:before="80" w:after="80"/>
        <w:jc w:val="both"/>
      </w:pPr>
      <w:r>
        <w:rPr>
          <w:rFonts w:ascii="Arial" w:hAnsi="Arial" w:eastAsia="Arial" w:cs="Arial"/>
          <w:b w:val="0"/>
          <w:bCs w:val="0"/>
          <w:color w:val="111111"/>
          <w:sz w:val="22"/>
          <w:szCs w:val="22"/>
        </w:rPr>
        <w:t>本节从方法论角度系统梳理政通推演坊在公共管理研究方法谱系中的位置，以及其与既有研究传统的互补与对话关系。这一梳理对于理解平台的研究价值是必要的——政通推演坊不是一个娱乐性的教学工具，而是计算社会科学方法论创新的一部分。</w:t>
      </w:r>
    </w:p>
    <w:p w14:paraId="0DAD0B06">
      <w:pPr>
        <w:pStyle w:val="3"/>
        <w:spacing w:before="320" w:after="140"/>
      </w:pPr>
      <w:r>
        <w:rPr>
          <w:rFonts w:ascii="Arial" w:hAnsi="Arial" w:eastAsia="Arial" w:cs="Arial"/>
          <w:b/>
          <w:bCs/>
          <w:color w:val="174A7E"/>
          <w:sz w:val="25"/>
          <w:szCs w:val="25"/>
        </w:rPr>
        <w:t>4.1 受控博弈实验在方法论谱系中的位置</w:t>
      </w:r>
    </w:p>
    <w:p w14:paraId="2E6A9B2C">
      <w:pPr>
        <w:spacing w:before="80" w:after="80"/>
        <w:jc w:val="both"/>
      </w:pPr>
      <w:r>
        <w:rPr>
          <w:rFonts w:ascii="Arial" w:hAnsi="Arial" w:eastAsia="Arial" w:cs="Arial"/>
          <w:b w:val="0"/>
          <w:bCs w:val="0"/>
          <w:color w:val="111111"/>
          <w:sz w:val="22"/>
          <w:szCs w:val="22"/>
        </w:rPr>
        <w:t>公共管理与政治学研究的方法论发展经历了从单纯定性到混合方法、从描述性研究到因果推断、从截面数据到过程追踪的三重转型（陈振明，2020；Pollitt &amp; Bouckaert，2011）。在这一演进背景下，政通推演坊试图提供一种新的数据生产方式，其在现有方法论谱系中的位置可以通过与五类常见方法的比较来精确界定。</w:t>
      </w:r>
    </w:p>
    <w:p w14:paraId="607CA270">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4"/>
        <w:gridCol w:w="1087"/>
        <w:gridCol w:w="993"/>
        <w:gridCol w:w="1072"/>
        <w:gridCol w:w="989"/>
        <w:gridCol w:w="993"/>
        <w:gridCol w:w="793"/>
        <w:gridCol w:w="1739"/>
      </w:tblGrid>
      <w:tr w14:paraId="64FCB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A0E7B05">
            <w:pPr>
              <w:spacing w:before="36" w:after="36"/>
              <w:jc w:val="center"/>
            </w:pPr>
            <w:r>
              <w:rPr>
                <w:rFonts w:ascii="Arial" w:hAnsi="Arial" w:eastAsia="Arial" w:cs="Arial"/>
                <w:b/>
                <w:bCs/>
                <w:color w:val="FFFFFF"/>
                <w:sz w:val="19"/>
                <w:szCs w:val="19"/>
              </w:rPr>
              <w:t>研究方法</w:t>
            </w:r>
          </w:p>
        </w:tc>
        <w:tc>
          <w:tcPr>
            <w:tcW w:w="11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4CCF9B07">
            <w:pPr>
              <w:spacing w:before="36" w:after="36"/>
              <w:jc w:val="center"/>
            </w:pPr>
            <w:r>
              <w:rPr>
                <w:rFonts w:ascii="Arial" w:hAnsi="Arial" w:eastAsia="Arial" w:cs="Arial"/>
                <w:b/>
                <w:bCs/>
                <w:color w:val="FFFFFF"/>
                <w:sz w:val="19"/>
                <w:szCs w:val="19"/>
              </w:rPr>
              <w:t>数据类型</w:t>
            </w:r>
          </w:p>
        </w:tc>
        <w:tc>
          <w:tcPr>
            <w:tcW w:w="1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F4F8985">
            <w:pPr>
              <w:spacing w:before="36" w:after="36"/>
              <w:jc w:val="center"/>
            </w:pPr>
            <w:r>
              <w:rPr>
                <w:rFonts w:ascii="Arial" w:hAnsi="Arial" w:eastAsia="Arial" w:cs="Arial"/>
                <w:b/>
                <w:bCs/>
                <w:color w:val="FFFFFF"/>
                <w:sz w:val="19"/>
                <w:szCs w:val="19"/>
              </w:rPr>
              <w:t>制度真实性</w:t>
            </w:r>
          </w:p>
        </w:tc>
        <w:tc>
          <w:tcPr>
            <w:tcW w:w="1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6EE911C">
            <w:pPr>
              <w:spacing w:before="36" w:after="36"/>
              <w:jc w:val="center"/>
            </w:pPr>
            <w:r>
              <w:rPr>
                <w:rFonts w:ascii="Arial" w:hAnsi="Arial" w:eastAsia="Arial" w:cs="Arial"/>
                <w:b/>
                <w:bCs/>
                <w:color w:val="FFFFFF"/>
                <w:sz w:val="19"/>
                <w:szCs w:val="19"/>
              </w:rPr>
              <w:t>因果推断</w:t>
            </w:r>
          </w:p>
        </w:tc>
        <w:tc>
          <w:tcPr>
            <w:tcW w:w="1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AE4ED54">
            <w:pPr>
              <w:spacing w:before="36" w:after="36"/>
              <w:jc w:val="center"/>
            </w:pPr>
            <w:r>
              <w:rPr>
                <w:rFonts w:ascii="Arial" w:hAnsi="Arial" w:eastAsia="Arial" w:cs="Arial"/>
                <w:b/>
                <w:bCs/>
                <w:color w:val="FFFFFF"/>
                <w:sz w:val="19"/>
                <w:szCs w:val="19"/>
              </w:rPr>
              <w:t>时间压力</w:t>
            </w:r>
          </w:p>
        </w:tc>
        <w:tc>
          <w:tcPr>
            <w:tcW w:w="1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FBD090B">
            <w:pPr>
              <w:spacing w:before="36" w:after="36"/>
              <w:jc w:val="center"/>
            </w:pPr>
            <w:r>
              <w:rPr>
                <w:rFonts w:ascii="Arial" w:hAnsi="Arial" w:eastAsia="Arial" w:cs="Arial"/>
                <w:b/>
                <w:bCs/>
                <w:color w:val="FFFFFF"/>
                <w:sz w:val="19"/>
                <w:szCs w:val="19"/>
              </w:rPr>
              <w:t>博弈互动</w:t>
            </w:r>
          </w:p>
        </w:tc>
        <w:tc>
          <w:tcPr>
            <w:tcW w:w="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46CCC03">
            <w:pPr>
              <w:spacing w:before="36" w:after="36"/>
              <w:jc w:val="center"/>
            </w:pPr>
            <w:r>
              <w:rPr>
                <w:rFonts w:ascii="Arial" w:hAnsi="Arial" w:eastAsia="Arial" w:cs="Arial"/>
                <w:b/>
                <w:bCs/>
                <w:color w:val="FFFFFF"/>
                <w:sz w:val="19"/>
                <w:szCs w:val="19"/>
              </w:rPr>
              <w:t>规模性</w:t>
            </w:r>
          </w:p>
        </w:tc>
        <w:tc>
          <w:tcPr>
            <w:tcW w:w="17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8FEB4DB">
            <w:pPr>
              <w:spacing w:before="36" w:after="36"/>
              <w:jc w:val="center"/>
            </w:pPr>
            <w:r>
              <w:rPr>
                <w:rFonts w:ascii="Arial" w:hAnsi="Arial" w:eastAsia="Arial" w:cs="Arial"/>
                <w:b/>
                <w:bCs/>
                <w:color w:val="FFFFFF"/>
                <w:sz w:val="19"/>
                <w:szCs w:val="19"/>
              </w:rPr>
              <w:t>主要局限</w:t>
            </w:r>
          </w:p>
        </w:tc>
      </w:tr>
      <w:tr w14:paraId="31E8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9DE12A1">
            <w:pPr>
              <w:spacing w:before="36" w:after="36"/>
              <w:jc w:val="left"/>
            </w:pPr>
            <w:r>
              <w:rPr>
                <w:rFonts w:ascii="Arial" w:hAnsi="Arial" w:eastAsia="Arial" w:cs="Arial"/>
                <w:color w:val="222222"/>
                <w:sz w:val="20"/>
                <w:szCs w:val="20"/>
              </w:rPr>
              <w:t>档案/文本分析</w:t>
            </w:r>
          </w:p>
        </w:tc>
        <w:tc>
          <w:tcPr>
            <w:tcW w:w="11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9EE1893">
            <w:pPr>
              <w:spacing w:before="36" w:after="36"/>
              <w:jc w:val="left"/>
            </w:pPr>
            <w:r>
              <w:rPr>
                <w:rFonts w:ascii="Arial" w:hAnsi="Arial" w:eastAsia="Arial" w:cs="Arial"/>
                <w:color w:val="222222"/>
                <w:sz w:val="20"/>
                <w:szCs w:val="20"/>
              </w:rPr>
              <w:t>陈述性文件</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72721A5">
            <w:pPr>
              <w:spacing w:before="36" w:after="36"/>
              <w:jc w:val="left"/>
            </w:pPr>
            <w:r>
              <w:rPr>
                <w:rFonts w:ascii="Arial" w:hAnsi="Arial" w:eastAsia="Arial" w:cs="Arial"/>
                <w:color w:val="222222"/>
                <w:sz w:val="20"/>
                <w:szCs w:val="20"/>
              </w:rPr>
              <w:t>高</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2A0F961">
            <w:pPr>
              <w:spacing w:before="36" w:after="36"/>
              <w:jc w:val="left"/>
            </w:pPr>
            <w:r>
              <w:rPr>
                <w:rFonts w:ascii="Arial" w:hAnsi="Arial" w:eastAsia="Arial" w:cs="Arial"/>
                <w:color w:val="222222"/>
                <w:sz w:val="20"/>
                <w:szCs w:val="20"/>
              </w:rPr>
              <w:t>弱（相关为主）</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4E907E6">
            <w:pPr>
              <w:spacing w:before="36" w:after="36"/>
              <w:jc w:val="left"/>
            </w:pPr>
            <w:r>
              <w:rPr>
                <w:rFonts w:ascii="Arial" w:hAnsi="Arial" w:eastAsia="Arial" w:cs="Arial"/>
                <w:color w:val="222222"/>
                <w:sz w:val="20"/>
                <w:szCs w:val="20"/>
              </w:rPr>
              <w:t>无</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C51389F">
            <w:pPr>
              <w:spacing w:before="36" w:after="36"/>
              <w:jc w:val="left"/>
            </w:pPr>
            <w:r>
              <w:rPr>
                <w:rFonts w:ascii="Arial" w:hAnsi="Arial" w:eastAsia="Arial" w:cs="Arial"/>
                <w:color w:val="222222"/>
                <w:sz w:val="20"/>
                <w:szCs w:val="20"/>
              </w:rPr>
              <w:t>无</w:t>
            </w:r>
          </w:p>
        </w:tc>
        <w:tc>
          <w:tcPr>
            <w:tcW w:w="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CEDC0B6">
            <w:pPr>
              <w:spacing w:before="36" w:after="36"/>
              <w:jc w:val="left"/>
            </w:pPr>
            <w:r>
              <w:rPr>
                <w:rFonts w:ascii="Arial" w:hAnsi="Arial" w:eastAsia="Arial" w:cs="Arial"/>
                <w:color w:val="222222"/>
                <w:sz w:val="20"/>
                <w:szCs w:val="20"/>
              </w:rPr>
              <w:t>中</w:t>
            </w:r>
          </w:p>
        </w:tc>
        <w:tc>
          <w:tcPr>
            <w:tcW w:w="17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0D34AD5">
            <w:pPr>
              <w:spacing w:before="36" w:after="36"/>
              <w:jc w:val="left"/>
            </w:pPr>
            <w:r>
              <w:rPr>
                <w:rFonts w:ascii="Arial" w:hAnsi="Arial" w:eastAsia="Arial" w:cs="Arial"/>
                <w:color w:val="222222"/>
                <w:sz w:val="20"/>
                <w:szCs w:val="20"/>
              </w:rPr>
              <w:t>观点而非行为；获取受限</w:t>
            </w:r>
          </w:p>
        </w:tc>
      </w:tr>
      <w:tr w14:paraId="4101E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8A1A111">
            <w:pPr>
              <w:spacing w:before="36" w:after="36"/>
              <w:jc w:val="left"/>
            </w:pPr>
            <w:r>
              <w:rPr>
                <w:rFonts w:ascii="Arial" w:hAnsi="Arial" w:eastAsia="Arial" w:cs="Arial"/>
                <w:color w:val="222222"/>
                <w:sz w:val="20"/>
                <w:szCs w:val="20"/>
              </w:rPr>
              <w:t>问卷调查</w:t>
            </w:r>
          </w:p>
        </w:tc>
        <w:tc>
          <w:tcPr>
            <w:tcW w:w="11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4DFD745">
            <w:pPr>
              <w:spacing w:before="36" w:after="36"/>
              <w:jc w:val="left"/>
            </w:pPr>
            <w:r>
              <w:rPr>
                <w:rFonts w:ascii="Arial" w:hAnsi="Arial" w:eastAsia="Arial" w:cs="Arial"/>
                <w:color w:val="222222"/>
                <w:sz w:val="20"/>
                <w:szCs w:val="20"/>
              </w:rPr>
              <w:t>陈述偏好</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09D2601">
            <w:pPr>
              <w:spacing w:before="36" w:after="36"/>
              <w:jc w:val="left"/>
            </w:pPr>
            <w:r>
              <w:rPr>
                <w:rFonts w:ascii="Arial" w:hAnsi="Arial" w:eastAsia="Arial" w:cs="Arial"/>
                <w:color w:val="222222"/>
                <w:sz w:val="20"/>
                <w:szCs w:val="20"/>
              </w:rPr>
              <w:t>中</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187C25C">
            <w:pPr>
              <w:spacing w:before="36" w:after="36"/>
              <w:jc w:val="left"/>
            </w:pPr>
            <w:r>
              <w:rPr>
                <w:rFonts w:ascii="Arial" w:hAnsi="Arial" w:eastAsia="Arial" w:cs="Arial"/>
                <w:color w:val="222222"/>
                <w:sz w:val="20"/>
                <w:szCs w:val="20"/>
              </w:rPr>
              <w:t>有限（工具变量等）</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7B865EC">
            <w:pPr>
              <w:spacing w:before="36" w:after="36"/>
              <w:jc w:val="left"/>
            </w:pPr>
            <w:r>
              <w:rPr>
                <w:rFonts w:ascii="Arial" w:hAnsi="Arial" w:eastAsia="Arial" w:cs="Arial"/>
                <w:color w:val="222222"/>
                <w:sz w:val="20"/>
                <w:szCs w:val="20"/>
              </w:rPr>
              <w:t>无</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C00BA73">
            <w:pPr>
              <w:spacing w:before="36" w:after="36"/>
              <w:jc w:val="left"/>
            </w:pPr>
            <w:r>
              <w:rPr>
                <w:rFonts w:ascii="Arial" w:hAnsi="Arial" w:eastAsia="Arial" w:cs="Arial"/>
                <w:color w:val="222222"/>
                <w:sz w:val="20"/>
                <w:szCs w:val="20"/>
              </w:rPr>
              <w:t>无</w:t>
            </w:r>
          </w:p>
        </w:tc>
        <w:tc>
          <w:tcPr>
            <w:tcW w:w="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6E7FE7B">
            <w:pPr>
              <w:spacing w:before="36" w:after="36"/>
              <w:jc w:val="left"/>
            </w:pPr>
            <w:r>
              <w:rPr>
                <w:rFonts w:ascii="Arial" w:hAnsi="Arial" w:eastAsia="Arial" w:cs="Arial"/>
                <w:color w:val="222222"/>
                <w:sz w:val="20"/>
                <w:szCs w:val="20"/>
              </w:rPr>
              <w:t>高</w:t>
            </w:r>
          </w:p>
        </w:tc>
        <w:tc>
          <w:tcPr>
            <w:tcW w:w="17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907DCC8">
            <w:pPr>
              <w:spacing w:before="36" w:after="36"/>
              <w:jc w:val="left"/>
            </w:pPr>
            <w:r>
              <w:rPr>
                <w:rFonts w:ascii="Arial" w:hAnsi="Arial" w:eastAsia="Arial" w:cs="Arial"/>
                <w:color w:val="222222"/>
                <w:sz w:val="20"/>
                <w:szCs w:val="20"/>
              </w:rPr>
              <w:t>社会期许偏差；陈述≠行为</w:t>
            </w:r>
          </w:p>
        </w:tc>
      </w:tr>
      <w:tr w14:paraId="45BD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4DB3984">
            <w:pPr>
              <w:spacing w:before="36" w:after="36"/>
              <w:jc w:val="left"/>
            </w:pPr>
            <w:r>
              <w:rPr>
                <w:rFonts w:ascii="Arial" w:hAnsi="Arial" w:eastAsia="Arial" w:cs="Arial"/>
                <w:color w:val="222222"/>
                <w:sz w:val="20"/>
                <w:szCs w:val="20"/>
              </w:rPr>
              <w:t>情景实验（Vignette）</w:t>
            </w:r>
          </w:p>
        </w:tc>
        <w:tc>
          <w:tcPr>
            <w:tcW w:w="11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57E5905">
            <w:pPr>
              <w:spacing w:before="36" w:after="36"/>
              <w:jc w:val="left"/>
            </w:pPr>
            <w:r>
              <w:rPr>
                <w:rFonts w:ascii="Arial" w:hAnsi="Arial" w:eastAsia="Arial" w:cs="Arial"/>
                <w:color w:val="222222"/>
                <w:sz w:val="20"/>
                <w:szCs w:val="20"/>
              </w:rPr>
              <w:t>静态判断</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BA3DD0A">
            <w:pPr>
              <w:spacing w:before="36" w:after="36"/>
              <w:jc w:val="left"/>
            </w:pPr>
            <w:r>
              <w:rPr>
                <w:rFonts w:ascii="Arial" w:hAnsi="Arial" w:eastAsia="Arial" w:cs="Arial"/>
                <w:color w:val="222222"/>
                <w:sz w:val="20"/>
                <w:szCs w:val="20"/>
              </w:rPr>
              <w:t>低-中</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9AEABE9">
            <w:pPr>
              <w:spacing w:before="36" w:after="36"/>
              <w:jc w:val="left"/>
            </w:pPr>
            <w:r>
              <w:rPr>
                <w:rFonts w:ascii="Arial" w:hAnsi="Arial" w:eastAsia="Arial" w:cs="Arial"/>
                <w:color w:val="222222"/>
                <w:sz w:val="20"/>
                <w:szCs w:val="20"/>
              </w:rPr>
              <w:t>中（随机化）</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9F15797">
            <w:pPr>
              <w:spacing w:before="36" w:after="36"/>
              <w:jc w:val="left"/>
            </w:pPr>
            <w:r>
              <w:rPr>
                <w:rFonts w:ascii="Arial" w:hAnsi="Arial" w:eastAsia="Arial" w:cs="Arial"/>
                <w:color w:val="222222"/>
                <w:sz w:val="20"/>
                <w:szCs w:val="20"/>
              </w:rPr>
              <w:t>无</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93A7C9D">
            <w:pPr>
              <w:spacing w:before="36" w:after="36"/>
              <w:jc w:val="left"/>
            </w:pPr>
            <w:r>
              <w:rPr>
                <w:rFonts w:ascii="Arial" w:hAnsi="Arial" w:eastAsia="Arial" w:cs="Arial"/>
                <w:color w:val="222222"/>
                <w:sz w:val="20"/>
                <w:szCs w:val="20"/>
              </w:rPr>
              <w:t>无</w:t>
            </w:r>
          </w:p>
        </w:tc>
        <w:tc>
          <w:tcPr>
            <w:tcW w:w="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522F7DE">
            <w:pPr>
              <w:spacing w:before="36" w:after="36"/>
              <w:jc w:val="left"/>
            </w:pPr>
            <w:r>
              <w:rPr>
                <w:rFonts w:ascii="Arial" w:hAnsi="Arial" w:eastAsia="Arial" w:cs="Arial"/>
                <w:color w:val="222222"/>
                <w:sz w:val="20"/>
                <w:szCs w:val="20"/>
              </w:rPr>
              <w:t>中高</w:t>
            </w:r>
          </w:p>
        </w:tc>
        <w:tc>
          <w:tcPr>
            <w:tcW w:w="17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61FA907">
            <w:pPr>
              <w:spacing w:before="36" w:after="36"/>
              <w:jc w:val="left"/>
            </w:pPr>
            <w:r>
              <w:rPr>
                <w:rFonts w:ascii="Arial" w:hAnsi="Arial" w:eastAsia="Arial" w:cs="Arial"/>
                <w:color w:val="222222"/>
                <w:sz w:val="20"/>
                <w:szCs w:val="20"/>
              </w:rPr>
              <w:t>剥离时间压力和博弈互动</w:t>
            </w:r>
          </w:p>
        </w:tc>
      </w:tr>
      <w:tr w14:paraId="3271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2F1985D">
            <w:pPr>
              <w:spacing w:before="36" w:after="36"/>
              <w:jc w:val="left"/>
            </w:pPr>
            <w:r>
              <w:rPr>
                <w:rFonts w:ascii="Arial" w:hAnsi="Arial" w:eastAsia="Arial" w:cs="Arial"/>
                <w:color w:val="222222"/>
                <w:sz w:val="20"/>
                <w:szCs w:val="20"/>
              </w:rPr>
              <w:t>实验室博弈实验</w:t>
            </w:r>
          </w:p>
        </w:tc>
        <w:tc>
          <w:tcPr>
            <w:tcW w:w="11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2FA65F4">
            <w:pPr>
              <w:spacing w:before="36" w:after="36"/>
              <w:jc w:val="left"/>
            </w:pPr>
            <w:r>
              <w:rPr>
                <w:rFonts w:ascii="Arial" w:hAnsi="Arial" w:eastAsia="Arial" w:cs="Arial"/>
                <w:color w:val="222222"/>
                <w:sz w:val="20"/>
                <w:szCs w:val="20"/>
              </w:rPr>
              <w:t>行为数据</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E0DC1B9">
            <w:pPr>
              <w:spacing w:before="36" w:after="36"/>
              <w:jc w:val="left"/>
            </w:pPr>
            <w:r>
              <w:rPr>
                <w:rFonts w:ascii="Arial" w:hAnsi="Arial" w:eastAsia="Arial" w:cs="Arial"/>
                <w:color w:val="222222"/>
                <w:sz w:val="20"/>
                <w:szCs w:val="20"/>
              </w:rPr>
              <w:t>低</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2417369">
            <w:pPr>
              <w:spacing w:before="36" w:after="36"/>
              <w:jc w:val="left"/>
            </w:pPr>
            <w:r>
              <w:rPr>
                <w:rFonts w:ascii="Arial" w:hAnsi="Arial" w:eastAsia="Arial" w:cs="Arial"/>
                <w:color w:val="222222"/>
                <w:sz w:val="20"/>
                <w:szCs w:val="20"/>
              </w:rPr>
              <w:t>高（RCT）</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F777FED">
            <w:pPr>
              <w:spacing w:before="36" w:after="36"/>
              <w:jc w:val="left"/>
            </w:pPr>
            <w:r>
              <w:rPr>
                <w:rFonts w:ascii="Arial" w:hAnsi="Arial" w:eastAsia="Arial" w:cs="Arial"/>
                <w:color w:val="222222"/>
                <w:sz w:val="20"/>
                <w:szCs w:val="20"/>
              </w:rPr>
              <w:t>可设计</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96FFD9C">
            <w:pPr>
              <w:spacing w:before="36" w:after="36"/>
              <w:jc w:val="left"/>
            </w:pPr>
            <w:r>
              <w:rPr>
                <w:rFonts w:ascii="Arial" w:hAnsi="Arial" w:eastAsia="Arial" w:cs="Arial"/>
                <w:color w:val="222222"/>
                <w:sz w:val="20"/>
                <w:szCs w:val="20"/>
              </w:rPr>
              <w:t>有</w:t>
            </w:r>
          </w:p>
        </w:tc>
        <w:tc>
          <w:tcPr>
            <w:tcW w:w="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A506D8F">
            <w:pPr>
              <w:spacing w:before="36" w:after="36"/>
              <w:jc w:val="left"/>
            </w:pPr>
            <w:r>
              <w:rPr>
                <w:rFonts w:ascii="Arial" w:hAnsi="Arial" w:eastAsia="Arial" w:cs="Arial"/>
                <w:color w:val="222222"/>
                <w:sz w:val="20"/>
                <w:szCs w:val="20"/>
              </w:rPr>
              <w:t>中</w:t>
            </w:r>
          </w:p>
        </w:tc>
        <w:tc>
          <w:tcPr>
            <w:tcW w:w="17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DADC724">
            <w:pPr>
              <w:spacing w:before="36" w:after="36"/>
              <w:jc w:val="left"/>
            </w:pPr>
            <w:r>
              <w:rPr>
                <w:rFonts w:ascii="Arial" w:hAnsi="Arial" w:eastAsia="Arial" w:cs="Arial"/>
                <w:color w:val="222222"/>
                <w:sz w:val="20"/>
                <w:szCs w:val="20"/>
              </w:rPr>
              <w:t>生态效度低；制度情境抽象</w:t>
            </w:r>
          </w:p>
        </w:tc>
      </w:tr>
      <w:tr w14:paraId="6745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FBA7604">
            <w:pPr>
              <w:spacing w:before="36" w:after="36"/>
              <w:jc w:val="left"/>
            </w:pPr>
            <w:r>
              <w:rPr>
                <w:rFonts w:ascii="Arial" w:hAnsi="Arial" w:eastAsia="Arial" w:cs="Arial"/>
                <w:color w:val="222222"/>
                <w:sz w:val="20"/>
                <w:szCs w:val="20"/>
              </w:rPr>
              <w:t>ABM/AI仿真</w:t>
            </w:r>
          </w:p>
        </w:tc>
        <w:tc>
          <w:tcPr>
            <w:tcW w:w="11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4B619E5">
            <w:pPr>
              <w:spacing w:before="36" w:after="36"/>
              <w:jc w:val="left"/>
            </w:pPr>
            <w:r>
              <w:rPr>
                <w:rFonts w:ascii="Arial" w:hAnsi="Arial" w:eastAsia="Arial" w:cs="Arial"/>
                <w:color w:val="222222"/>
                <w:sz w:val="20"/>
                <w:szCs w:val="20"/>
              </w:rPr>
              <w:t>模拟数据</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5DC006B">
            <w:pPr>
              <w:spacing w:before="36" w:after="36"/>
              <w:jc w:val="left"/>
            </w:pPr>
            <w:r>
              <w:rPr>
                <w:rFonts w:ascii="Arial" w:hAnsi="Arial" w:eastAsia="Arial" w:cs="Arial"/>
                <w:color w:val="222222"/>
                <w:sz w:val="20"/>
                <w:szCs w:val="20"/>
              </w:rPr>
              <w:t>中（可编程）</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5803CDF">
            <w:pPr>
              <w:spacing w:before="36" w:after="36"/>
              <w:jc w:val="left"/>
            </w:pPr>
            <w:r>
              <w:rPr>
                <w:rFonts w:ascii="Arial" w:hAnsi="Arial" w:eastAsia="Arial" w:cs="Arial"/>
                <w:color w:val="222222"/>
                <w:sz w:val="20"/>
                <w:szCs w:val="20"/>
              </w:rPr>
              <w:t>弱（仿真非因果）</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A99799C">
            <w:pPr>
              <w:spacing w:before="36" w:after="36"/>
              <w:jc w:val="left"/>
            </w:pPr>
            <w:r>
              <w:rPr>
                <w:rFonts w:ascii="Arial" w:hAnsi="Arial" w:eastAsia="Arial" w:cs="Arial"/>
                <w:color w:val="222222"/>
                <w:sz w:val="20"/>
                <w:szCs w:val="20"/>
              </w:rPr>
              <w:t>可设计</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10575BE">
            <w:pPr>
              <w:spacing w:before="36" w:after="36"/>
              <w:jc w:val="left"/>
            </w:pPr>
            <w:r>
              <w:rPr>
                <w:rFonts w:ascii="Arial" w:hAnsi="Arial" w:eastAsia="Arial" w:cs="Arial"/>
                <w:color w:val="222222"/>
                <w:sz w:val="20"/>
                <w:szCs w:val="20"/>
              </w:rPr>
              <w:t>有</w:t>
            </w:r>
          </w:p>
        </w:tc>
        <w:tc>
          <w:tcPr>
            <w:tcW w:w="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6C1EB75">
            <w:pPr>
              <w:spacing w:before="36" w:after="36"/>
              <w:jc w:val="left"/>
            </w:pPr>
            <w:r>
              <w:rPr>
                <w:rFonts w:ascii="Arial" w:hAnsi="Arial" w:eastAsia="Arial" w:cs="Arial"/>
                <w:color w:val="222222"/>
                <w:sz w:val="20"/>
                <w:szCs w:val="20"/>
              </w:rPr>
              <w:t>极高</w:t>
            </w:r>
          </w:p>
        </w:tc>
        <w:tc>
          <w:tcPr>
            <w:tcW w:w="17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13E2A7F">
            <w:pPr>
              <w:spacing w:before="36" w:after="36"/>
              <w:jc w:val="left"/>
            </w:pPr>
            <w:r>
              <w:rPr>
                <w:rFonts w:ascii="Arial" w:hAnsi="Arial" w:eastAsia="Arial" w:cs="Arial"/>
                <w:color w:val="222222"/>
                <w:sz w:val="20"/>
                <w:szCs w:val="20"/>
              </w:rPr>
              <w:t>全程无真人；AI行为≠人类行为</w:t>
            </w:r>
          </w:p>
        </w:tc>
      </w:tr>
      <w:tr w14:paraId="2E99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1EEFACE">
            <w:pPr>
              <w:spacing w:before="36" w:after="36"/>
              <w:jc w:val="left"/>
            </w:pPr>
            <w:r>
              <w:rPr>
                <w:rFonts w:ascii="Arial" w:hAnsi="Arial" w:eastAsia="Arial" w:cs="Arial"/>
                <w:color w:val="222222"/>
                <w:sz w:val="20"/>
                <w:szCs w:val="20"/>
              </w:rPr>
              <w:t>田野实验</w:t>
            </w:r>
          </w:p>
        </w:tc>
        <w:tc>
          <w:tcPr>
            <w:tcW w:w="11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B16CA40">
            <w:pPr>
              <w:spacing w:before="36" w:after="36"/>
              <w:jc w:val="left"/>
            </w:pPr>
            <w:r>
              <w:rPr>
                <w:rFonts w:ascii="Arial" w:hAnsi="Arial" w:eastAsia="Arial" w:cs="Arial"/>
                <w:color w:val="222222"/>
                <w:sz w:val="20"/>
                <w:szCs w:val="20"/>
              </w:rPr>
              <w:t>真实行为</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3EE5B05">
            <w:pPr>
              <w:spacing w:before="36" w:after="36"/>
              <w:jc w:val="left"/>
            </w:pPr>
            <w:r>
              <w:rPr>
                <w:rFonts w:ascii="Arial" w:hAnsi="Arial" w:eastAsia="Arial" w:cs="Arial"/>
                <w:color w:val="222222"/>
                <w:sz w:val="20"/>
                <w:szCs w:val="20"/>
              </w:rPr>
              <w:t>高</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69F5CDA">
            <w:pPr>
              <w:spacing w:before="36" w:after="36"/>
              <w:jc w:val="left"/>
            </w:pPr>
            <w:r>
              <w:rPr>
                <w:rFonts w:ascii="Arial" w:hAnsi="Arial" w:eastAsia="Arial" w:cs="Arial"/>
                <w:color w:val="222222"/>
                <w:sz w:val="20"/>
                <w:szCs w:val="20"/>
              </w:rPr>
              <w:t>高（RCT）</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7BCBA3D">
            <w:pPr>
              <w:spacing w:before="36" w:after="36"/>
              <w:jc w:val="left"/>
            </w:pPr>
            <w:r>
              <w:rPr>
                <w:rFonts w:ascii="Arial" w:hAnsi="Arial" w:eastAsia="Arial" w:cs="Arial"/>
                <w:color w:val="222222"/>
                <w:sz w:val="20"/>
                <w:szCs w:val="20"/>
              </w:rPr>
              <w:t>真实</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5E36622">
            <w:pPr>
              <w:spacing w:before="36" w:after="36"/>
              <w:jc w:val="left"/>
            </w:pPr>
            <w:r>
              <w:rPr>
                <w:rFonts w:ascii="Arial" w:hAnsi="Arial" w:eastAsia="Arial" w:cs="Arial"/>
                <w:color w:val="222222"/>
                <w:sz w:val="20"/>
                <w:szCs w:val="20"/>
              </w:rPr>
              <w:t>有</w:t>
            </w:r>
          </w:p>
        </w:tc>
        <w:tc>
          <w:tcPr>
            <w:tcW w:w="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43FE9EF">
            <w:pPr>
              <w:spacing w:before="36" w:after="36"/>
              <w:jc w:val="left"/>
            </w:pPr>
            <w:r>
              <w:rPr>
                <w:rFonts w:ascii="Arial" w:hAnsi="Arial" w:eastAsia="Arial" w:cs="Arial"/>
                <w:color w:val="222222"/>
                <w:sz w:val="20"/>
                <w:szCs w:val="20"/>
              </w:rPr>
              <w:t>低</w:t>
            </w:r>
          </w:p>
        </w:tc>
        <w:tc>
          <w:tcPr>
            <w:tcW w:w="17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8F2BF69">
            <w:pPr>
              <w:spacing w:before="36" w:after="36"/>
              <w:jc w:val="left"/>
            </w:pPr>
            <w:r>
              <w:rPr>
                <w:rFonts w:ascii="Arial" w:hAnsi="Arial" w:eastAsia="Arial" w:cs="Arial"/>
                <w:color w:val="222222"/>
                <w:sz w:val="20"/>
                <w:szCs w:val="20"/>
              </w:rPr>
              <w:t>成本极高；不可重复；伦理复杂</w:t>
            </w:r>
          </w:p>
        </w:tc>
      </w:tr>
      <w:tr w14:paraId="7A8A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221386A">
            <w:pPr>
              <w:spacing w:before="36" w:after="36"/>
              <w:jc w:val="left"/>
            </w:pPr>
            <w:r>
              <w:rPr>
                <w:rFonts w:ascii="Arial" w:hAnsi="Arial" w:eastAsia="Arial" w:cs="Arial"/>
                <w:color w:val="222222"/>
                <w:sz w:val="20"/>
                <w:szCs w:val="20"/>
              </w:rPr>
              <w:t>政通推演坊</w:t>
            </w:r>
          </w:p>
        </w:tc>
        <w:tc>
          <w:tcPr>
            <w:tcW w:w="11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64B4AB1">
            <w:pPr>
              <w:spacing w:before="36" w:after="36"/>
              <w:jc w:val="left"/>
            </w:pPr>
            <w:r>
              <w:rPr>
                <w:rFonts w:ascii="Arial" w:hAnsi="Arial" w:eastAsia="Arial" w:cs="Arial"/>
                <w:color w:val="222222"/>
                <w:sz w:val="20"/>
                <w:szCs w:val="20"/>
              </w:rPr>
              <w:t>真实决策行为</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8FE34E5">
            <w:pPr>
              <w:spacing w:before="36" w:after="36"/>
              <w:jc w:val="left"/>
            </w:pPr>
            <w:r>
              <w:rPr>
                <w:rFonts w:ascii="Arial" w:hAnsi="Arial" w:eastAsia="Arial" w:cs="Arial"/>
                <w:color w:val="222222"/>
                <w:sz w:val="20"/>
                <w:szCs w:val="20"/>
              </w:rPr>
              <w:t>高（制度框架底座）</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C2A1D02">
            <w:pPr>
              <w:spacing w:before="36" w:after="36"/>
              <w:jc w:val="left"/>
            </w:pPr>
            <w:r>
              <w:rPr>
                <w:rFonts w:ascii="Arial" w:hAnsi="Arial" w:eastAsia="Arial" w:cs="Arial"/>
                <w:color w:val="222222"/>
                <w:sz w:val="20"/>
                <w:szCs w:val="20"/>
              </w:rPr>
              <w:t>高（RCT+七类数据）</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77D306D">
            <w:pPr>
              <w:spacing w:before="36" w:after="36"/>
              <w:jc w:val="left"/>
            </w:pPr>
            <w:r>
              <w:rPr>
                <w:rFonts w:ascii="Arial" w:hAnsi="Arial" w:eastAsia="Arial" w:cs="Arial"/>
                <w:color w:val="222222"/>
                <w:sz w:val="20"/>
                <w:szCs w:val="20"/>
              </w:rPr>
              <w:t>可精确控制</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64E6FAE">
            <w:pPr>
              <w:spacing w:before="36" w:after="36"/>
              <w:jc w:val="left"/>
            </w:pPr>
            <w:r>
              <w:rPr>
                <w:rFonts w:ascii="Arial" w:hAnsi="Arial" w:eastAsia="Arial" w:cs="Arial"/>
                <w:color w:val="222222"/>
                <w:sz w:val="20"/>
                <w:szCs w:val="20"/>
              </w:rPr>
              <w:t>有（多角色）</w:t>
            </w:r>
          </w:p>
        </w:tc>
        <w:tc>
          <w:tcPr>
            <w:tcW w:w="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117EF9E">
            <w:pPr>
              <w:spacing w:before="36" w:after="36"/>
              <w:jc w:val="left"/>
            </w:pPr>
            <w:r>
              <w:rPr>
                <w:rFonts w:ascii="Arial" w:hAnsi="Arial" w:eastAsia="Arial" w:cs="Arial"/>
                <w:color w:val="222222"/>
                <w:sz w:val="20"/>
                <w:szCs w:val="20"/>
              </w:rPr>
              <w:t>中高</w:t>
            </w:r>
          </w:p>
        </w:tc>
        <w:tc>
          <w:tcPr>
            <w:tcW w:w="17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4E6634E">
            <w:pPr>
              <w:spacing w:before="36" w:after="36"/>
              <w:jc w:val="left"/>
            </w:pPr>
            <w:r>
              <w:rPr>
                <w:rFonts w:ascii="Arial" w:hAnsi="Arial" w:eastAsia="Arial" w:cs="Arial"/>
                <w:color w:val="222222"/>
                <w:sz w:val="20"/>
                <w:szCs w:val="20"/>
              </w:rPr>
              <w:t>生态效度仍低于田野实验</w:t>
            </w:r>
          </w:p>
        </w:tc>
      </w:tr>
    </w:tbl>
    <w:p w14:paraId="06C0CA50">
      <w:pPr>
        <w:spacing w:before="60" w:after="60"/>
      </w:pPr>
    </w:p>
    <w:p w14:paraId="3C3234A3">
      <w:pPr>
        <w:spacing w:before="80" w:after="80"/>
        <w:jc w:val="both"/>
      </w:pPr>
      <w:r>
        <w:rPr>
          <w:rFonts w:ascii="Arial" w:hAnsi="Arial" w:eastAsia="Arial" w:cs="Arial"/>
          <w:b w:val="0"/>
          <w:bCs w:val="0"/>
          <w:color w:val="111111"/>
          <w:sz w:val="22"/>
          <w:szCs w:val="22"/>
        </w:rPr>
        <w:t>上表揭示了政通推演坊作为研究工具的核心价值：它是现有方法中唯一同时满足高制度真实性、高因果推断支持、有时间压力设计、有多角色博弈互动这四个条件的方法。从方法论谱系的角度看，政通推演坊最接近"实验室博弈实验"（Lab Experiment），但通过六大制度模块底座显著提升了情境的制度真实性；同时通过全参数可配置引擎，使情境可以无限接近田野现实（靠近"田野实验"），代价是相应降低了实验控制程度。用户可以在这一光谱上根据研究目的自由定位。</w:t>
      </w:r>
    </w:p>
    <w:p w14:paraId="251EF7B5">
      <w:pPr>
        <w:spacing w:before="60" w:after="60"/>
      </w:pPr>
    </w:p>
    <w:p w14:paraId="61F5FD06">
      <w:pPr>
        <w:pStyle w:val="3"/>
        <w:spacing w:before="320" w:after="140"/>
      </w:pPr>
      <w:r>
        <w:rPr>
          <w:rFonts w:ascii="Arial" w:hAnsi="Arial" w:eastAsia="Arial" w:cs="Arial"/>
          <w:b/>
          <w:bCs/>
          <w:color w:val="174A7E"/>
          <w:sz w:val="25"/>
          <w:szCs w:val="25"/>
        </w:rPr>
        <w:t>4.2 本项目的方法论创新声明</w:t>
      </w:r>
    </w:p>
    <w:p w14:paraId="5EEE67ED">
      <w:pPr>
        <w:spacing w:before="80" w:after="80"/>
        <w:jc w:val="both"/>
      </w:pPr>
      <w:r>
        <w:rPr>
          <w:rFonts w:ascii="Arial" w:hAnsi="Arial" w:eastAsia="Arial" w:cs="Arial"/>
          <w:b w:val="0"/>
          <w:bCs w:val="0"/>
          <w:color w:val="111111"/>
          <w:sz w:val="22"/>
          <w:szCs w:val="22"/>
        </w:rPr>
        <w:t>政通推演坊并不宣称彻底解决公共管理研究中的一切方法论难题。在诚实地标定其局限性的同时，我们认为其方法论贡献可以被精确表述为：</w:t>
      </w:r>
    </w:p>
    <w:p w14:paraId="3C80DD9F">
      <w:pPr>
        <w:pStyle w:val="7"/>
        <w:numPr>
          <w:ilvl w:val="0"/>
          <w:numId w:val="1"/>
        </w:numPr>
        <w:spacing w:before="60" w:after="60"/>
      </w:pPr>
      <w:r>
        <w:rPr>
          <w:rFonts w:ascii="Arial" w:hAnsi="Arial" w:eastAsia="Arial" w:cs="Arial"/>
          <w:color w:val="222222"/>
          <w:sz w:val="21"/>
          <w:szCs w:val="21"/>
        </w:rPr>
        <w:t>第一，在方法论谱系中填补了"具有高制度真实性的受控多角色行为实验"这一至今空缺的位置，补充而非取代现有方法。</w:t>
      </w:r>
    </w:p>
    <w:p w14:paraId="2ACE33DE">
      <w:pPr>
        <w:pStyle w:val="7"/>
        <w:numPr>
          <w:ilvl w:val="0"/>
          <w:numId w:val="1"/>
        </w:numPr>
        <w:spacing w:before="60" w:after="60"/>
      </w:pPr>
      <w:r>
        <w:rPr>
          <w:rFonts w:ascii="Arial" w:hAnsi="Arial" w:eastAsia="Arial" w:cs="Arial"/>
          <w:color w:val="222222"/>
          <w:sz w:val="21"/>
          <w:szCs w:val="21"/>
        </w:rPr>
        <w:t>第二，通过RAG循证选项生成机制，首次实现了严肃游戏中决策选项的"知识库可溯源性"，为基于严肃游戏的研究提供了选项有效性（Option Validity）的新标准。</w:t>
      </w:r>
    </w:p>
    <w:p w14:paraId="39E4EADB">
      <w:pPr>
        <w:pStyle w:val="7"/>
        <w:numPr>
          <w:ilvl w:val="0"/>
          <w:numId w:val="1"/>
        </w:numPr>
        <w:spacing w:before="60" w:after="60"/>
      </w:pPr>
      <w:r>
        <w:rPr>
          <w:rFonts w:ascii="Arial" w:hAnsi="Arial" w:eastAsia="Arial" w:cs="Arial"/>
          <w:color w:val="222222"/>
          <w:sz w:val="21"/>
          <w:szCs w:val="21"/>
        </w:rPr>
        <w:t>第三，通过七类行为数据流和RCT随机化模块，将严肃游戏平台从教学工具正式升级为具有发表级数据质量的研究基础设施，为CSS领域提供了一种可复用的数据采集范式。</w:t>
      </w:r>
    </w:p>
    <w:p w14:paraId="67FFD0B0">
      <w:pPr>
        <w:pStyle w:val="7"/>
        <w:numPr>
          <w:ilvl w:val="0"/>
          <w:numId w:val="1"/>
        </w:numPr>
        <w:spacing w:before="60" w:after="60"/>
      </w:pPr>
      <w:r>
        <w:rPr>
          <w:rFonts w:ascii="Arial" w:hAnsi="Arial" w:eastAsia="Arial" w:cs="Arial"/>
          <w:color w:val="222222"/>
          <w:sz w:val="21"/>
          <w:szCs w:val="21"/>
        </w:rPr>
        <w:t>第四，通过全参数可配置设计，允许不同研究者在同一引擎框架内开展不同研究，未来可以形成跨研究可比的元分析数据库，这是方法论累积的重要基础。</w:t>
      </w:r>
    </w:p>
    <w:p w14:paraId="7CB49B72">
      <w:pPr>
        <w:spacing w:before="120" w:after="120"/>
      </w:pPr>
    </w:p>
    <w:p w14:paraId="6E736BEE">
      <w:pPr>
        <w:pStyle w:val="3"/>
        <w:spacing w:before="320" w:after="140"/>
      </w:pPr>
      <w:r>
        <w:rPr>
          <w:rFonts w:ascii="Arial" w:hAnsi="Arial" w:eastAsia="Arial" w:cs="Arial"/>
          <w:b/>
          <w:bCs/>
          <w:color w:val="174A7E"/>
          <w:sz w:val="25"/>
          <w:szCs w:val="25"/>
        </w:rPr>
        <w:t>4.3 与公共管理学科核心概念的理论对话</w:t>
      </w:r>
    </w:p>
    <w:p w14:paraId="3C67DDBC">
      <w:pPr>
        <w:spacing w:before="80" w:after="80"/>
        <w:jc w:val="both"/>
      </w:pPr>
      <w:r>
        <w:rPr>
          <w:rFonts w:ascii="Arial" w:hAnsi="Arial" w:eastAsia="Arial" w:cs="Arial"/>
          <w:b w:val="0"/>
          <w:bCs w:val="0"/>
          <w:color w:val="111111"/>
          <w:sz w:val="22"/>
          <w:szCs w:val="22"/>
        </w:rPr>
        <w:t>政通推演坊的六大制度模块设计不是凭空而来的，而是系统回应了公共管理学科的核心理论传统。以下梳理各模块与主流理论传统的对应关系，这也是平台制度真实性的理论背书。</w:t>
      </w:r>
    </w:p>
    <w:p w14:paraId="62AFA1E6">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2400"/>
        <w:gridCol w:w="3360"/>
      </w:tblGrid>
      <w:tr w14:paraId="3DA0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94C218F">
            <w:pPr>
              <w:spacing w:before="36" w:after="36"/>
              <w:jc w:val="center"/>
            </w:pPr>
            <w:r>
              <w:rPr>
                <w:rFonts w:ascii="Arial" w:hAnsi="Arial" w:eastAsia="Arial" w:cs="Arial"/>
                <w:b/>
                <w:bCs/>
                <w:color w:val="FFFFFF"/>
                <w:sz w:val="19"/>
                <w:szCs w:val="19"/>
              </w:rPr>
              <w:t>制度模块</w:t>
            </w:r>
          </w:p>
        </w:tc>
        <w:tc>
          <w:tcPr>
            <w:tcW w:w="2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400D7FAF">
            <w:pPr>
              <w:spacing w:before="36" w:after="36"/>
              <w:jc w:val="center"/>
            </w:pPr>
            <w:r>
              <w:rPr>
                <w:rFonts w:ascii="Arial" w:hAnsi="Arial" w:eastAsia="Arial" w:cs="Arial"/>
                <w:b/>
                <w:bCs/>
                <w:color w:val="FFFFFF"/>
                <w:sz w:val="19"/>
                <w:szCs w:val="19"/>
              </w:rPr>
              <w:t>对应核心理论</w:t>
            </w:r>
          </w:p>
        </w:tc>
        <w:tc>
          <w:tcPr>
            <w:tcW w:w="24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1D46CA9">
            <w:pPr>
              <w:spacing w:before="36" w:after="36"/>
              <w:jc w:val="center"/>
            </w:pPr>
            <w:r>
              <w:rPr>
                <w:rFonts w:ascii="Arial" w:hAnsi="Arial" w:eastAsia="Arial" w:cs="Arial"/>
                <w:b/>
                <w:bCs/>
                <w:color w:val="FFFFFF"/>
                <w:sz w:val="19"/>
                <w:szCs w:val="19"/>
              </w:rPr>
              <w:t>关键文献</w:t>
            </w:r>
          </w:p>
        </w:tc>
        <w:tc>
          <w:tcPr>
            <w:tcW w:w="33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EC2CDC0">
            <w:pPr>
              <w:spacing w:before="36" w:after="36"/>
              <w:jc w:val="center"/>
            </w:pPr>
            <w:r>
              <w:rPr>
                <w:rFonts w:ascii="Arial" w:hAnsi="Arial" w:eastAsia="Arial" w:cs="Arial"/>
                <w:b/>
                <w:bCs/>
                <w:color w:val="FFFFFF"/>
                <w:sz w:val="19"/>
                <w:szCs w:val="19"/>
              </w:rPr>
              <w:t>在游戏中的主要体现</w:t>
            </w:r>
          </w:p>
        </w:tc>
      </w:tr>
      <w:tr w14:paraId="33AC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9C16FFD">
            <w:pPr>
              <w:spacing w:before="36" w:after="36"/>
              <w:jc w:val="left"/>
            </w:pPr>
            <w:r>
              <w:rPr>
                <w:rFonts w:ascii="Arial" w:hAnsi="Arial" w:eastAsia="Arial" w:cs="Arial"/>
                <w:color w:val="222222"/>
                <w:sz w:val="20"/>
                <w:szCs w:val="20"/>
              </w:rPr>
              <w:t>M1 党政体制结构</w:t>
            </w:r>
          </w:p>
        </w:tc>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7C9E261">
            <w:pPr>
              <w:spacing w:before="36" w:after="36"/>
              <w:jc w:val="left"/>
            </w:pPr>
            <w:r>
              <w:rPr>
                <w:rFonts w:ascii="Arial" w:hAnsi="Arial" w:eastAsia="Arial" w:cs="Arial"/>
                <w:color w:val="222222"/>
                <w:sz w:val="20"/>
                <w:szCs w:val="20"/>
              </w:rPr>
              <w:t>韦伯式科层制；党政双轨行政；一把手负责制</w:t>
            </w:r>
          </w:p>
        </w:tc>
        <w:tc>
          <w:tcPr>
            <w:tcW w:w="2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ECB673B">
            <w:pPr>
              <w:spacing w:before="36" w:after="36"/>
              <w:jc w:val="left"/>
            </w:pPr>
            <w:r>
              <w:rPr>
                <w:rFonts w:ascii="Arial" w:hAnsi="Arial" w:eastAsia="Arial" w:cs="Arial"/>
                <w:color w:val="222222"/>
                <w:sz w:val="20"/>
                <w:szCs w:val="20"/>
              </w:rPr>
              <w:t>景跃进等（2024）；周雪光（2013）；方雷（2024）</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DD6FEB7">
            <w:pPr>
              <w:spacing w:before="36" w:after="36"/>
              <w:jc w:val="left"/>
            </w:pPr>
            <w:r>
              <w:rPr>
                <w:rFonts w:ascii="Arial" w:hAnsi="Arial" w:eastAsia="Arial" w:cs="Arial"/>
                <w:color w:val="222222"/>
                <w:sz w:val="20"/>
                <w:szCs w:val="20"/>
              </w:rPr>
              <w:t>一把手背书机制；条块双重约束规则；政治敏感度滤波器</w:t>
            </w:r>
          </w:p>
        </w:tc>
      </w:tr>
      <w:tr w14:paraId="4E7B8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328213D">
            <w:pPr>
              <w:spacing w:before="36" w:after="36"/>
              <w:jc w:val="left"/>
            </w:pPr>
            <w:r>
              <w:rPr>
                <w:rFonts w:ascii="Arial" w:hAnsi="Arial" w:eastAsia="Arial" w:cs="Arial"/>
                <w:color w:val="222222"/>
                <w:sz w:val="20"/>
                <w:szCs w:val="20"/>
              </w:rPr>
              <w:t>M2 央地关系</w:t>
            </w:r>
          </w:p>
        </w:tc>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7C81276">
            <w:pPr>
              <w:spacing w:before="36" w:after="36"/>
              <w:jc w:val="left"/>
            </w:pPr>
            <w:r>
              <w:rPr>
                <w:rFonts w:ascii="Arial" w:hAnsi="Arial" w:eastAsia="Arial" w:cs="Arial"/>
                <w:color w:val="222222"/>
                <w:sz w:val="20"/>
                <w:szCs w:val="20"/>
              </w:rPr>
              <w:t>晋升锦标赛；选择性执行；寓分权于集权</w:t>
            </w:r>
          </w:p>
        </w:tc>
        <w:tc>
          <w:tcPr>
            <w:tcW w:w="24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319F732">
            <w:pPr>
              <w:spacing w:before="36" w:after="36"/>
              <w:jc w:val="left"/>
            </w:pPr>
            <w:r>
              <w:rPr>
                <w:rFonts w:ascii="Arial" w:hAnsi="Arial" w:eastAsia="Arial" w:cs="Arial"/>
                <w:color w:val="222222"/>
                <w:sz w:val="20"/>
                <w:szCs w:val="20"/>
              </w:rPr>
              <w:t>周黎安（2007）；O'Brien &amp; Li（1999）；朱旭峰（2021）</w:t>
            </w:r>
          </w:p>
        </w:tc>
        <w:tc>
          <w:tcPr>
            <w:tcW w:w="3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01E6A56">
            <w:pPr>
              <w:spacing w:before="36" w:after="36"/>
              <w:jc w:val="left"/>
            </w:pPr>
            <w:r>
              <w:rPr>
                <w:rFonts w:ascii="Arial" w:hAnsi="Arial" w:eastAsia="Arial" w:cs="Arial"/>
                <w:color w:val="222222"/>
                <w:sz w:val="20"/>
                <w:szCs w:val="20"/>
              </w:rPr>
              <w:t>KPI政治安全分非线性权重；信息失真递增系数；政治势能传导</w:t>
            </w:r>
          </w:p>
        </w:tc>
      </w:tr>
      <w:tr w14:paraId="279B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2518B5C">
            <w:pPr>
              <w:spacing w:before="36" w:after="36"/>
              <w:jc w:val="left"/>
            </w:pPr>
            <w:r>
              <w:rPr>
                <w:rFonts w:ascii="Arial" w:hAnsi="Arial" w:eastAsia="Arial" w:cs="Arial"/>
                <w:color w:val="222222"/>
                <w:sz w:val="20"/>
                <w:szCs w:val="20"/>
              </w:rPr>
              <w:t>M3 府际关系</w:t>
            </w:r>
          </w:p>
        </w:tc>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CCC970A">
            <w:pPr>
              <w:spacing w:before="36" w:after="36"/>
              <w:jc w:val="left"/>
            </w:pPr>
            <w:r>
              <w:rPr>
                <w:rFonts w:ascii="Arial" w:hAnsi="Arial" w:eastAsia="Arial" w:cs="Arial"/>
                <w:color w:val="222222"/>
                <w:sz w:val="20"/>
                <w:szCs w:val="20"/>
              </w:rPr>
              <w:t>制度性集体行动；条块矛盾；属地管理</w:t>
            </w:r>
          </w:p>
        </w:tc>
        <w:tc>
          <w:tcPr>
            <w:tcW w:w="2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2AF1A18">
            <w:pPr>
              <w:spacing w:before="36" w:after="36"/>
              <w:jc w:val="left"/>
            </w:pPr>
            <w:r>
              <w:rPr>
                <w:rFonts w:ascii="Arial" w:hAnsi="Arial" w:eastAsia="Arial" w:cs="Arial"/>
                <w:color w:val="222222"/>
                <w:sz w:val="20"/>
                <w:szCs w:val="20"/>
              </w:rPr>
              <w:t>Feiock（2013）；方雷（2024）；马剑银（2015）</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E49ED37">
            <w:pPr>
              <w:spacing w:before="36" w:after="36"/>
              <w:jc w:val="left"/>
            </w:pPr>
            <w:r>
              <w:rPr>
                <w:rFonts w:ascii="Arial" w:hAnsi="Arial" w:eastAsia="Arial" w:cs="Arial"/>
                <w:color w:val="222222"/>
                <w:sz w:val="20"/>
                <w:szCs w:val="20"/>
              </w:rPr>
              <w:t>属地管理原则；横向协调交易成本公式；联署激活门槛</w:t>
            </w:r>
          </w:p>
        </w:tc>
      </w:tr>
      <w:tr w14:paraId="28D0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A39206F">
            <w:pPr>
              <w:spacing w:before="36" w:after="36"/>
              <w:jc w:val="left"/>
            </w:pPr>
            <w:r>
              <w:rPr>
                <w:rFonts w:ascii="Arial" w:hAnsi="Arial" w:eastAsia="Arial" w:cs="Arial"/>
                <w:color w:val="222222"/>
                <w:sz w:val="20"/>
                <w:szCs w:val="20"/>
              </w:rPr>
              <w:t>M4 政策过程</w:t>
            </w:r>
          </w:p>
        </w:tc>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75DAAE9">
            <w:pPr>
              <w:spacing w:before="36" w:after="36"/>
              <w:jc w:val="left"/>
            </w:pPr>
            <w:r>
              <w:rPr>
                <w:rFonts w:ascii="Arial" w:hAnsi="Arial" w:eastAsia="Arial" w:cs="Arial"/>
                <w:color w:val="222222"/>
                <w:sz w:val="20"/>
                <w:szCs w:val="20"/>
              </w:rPr>
              <w:t>多源流模型；运动式治理；试点扩散</w:t>
            </w:r>
          </w:p>
        </w:tc>
        <w:tc>
          <w:tcPr>
            <w:tcW w:w="24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E934AD8">
            <w:pPr>
              <w:spacing w:before="36" w:after="36"/>
              <w:jc w:val="left"/>
            </w:pPr>
            <w:r>
              <w:rPr>
                <w:rFonts w:ascii="Arial" w:hAnsi="Arial" w:eastAsia="Arial" w:cs="Arial"/>
                <w:color w:val="222222"/>
                <w:sz w:val="20"/>
                <w:szCs w:val="20"/>
              </w:rPr>
              <w:t>Kingdon（1984）；冯仕政（2011）；Heilmann（2008）</w:t>
            </w:r>
          </w:p>
        </w:tc>
        <w:tc>
          <w:tcPr>
            <w:tcW w:w="3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756C5B0">
            <w:pPr>
              <w:spacing w:before="36" w:after="36"/>
              <w:jc w:val="left"/>
            </w:pPr>
            <w:r>
              <w:rPr>
                <w:rFonts w:ascii="Arial" w:hAnsi="Arial" w:eastAsia="Arial" w:cs="Arial"/>
                <w:color w:val="222222"/>
                <w:sz w:val="20"/>
                <w:szCs w:val="20"/>
              </w:rPr>
              <w:t>政策窗口触发条件；运动式治理激活阈值；试点申请时间折扣</w:t>
            </w:r>
          </w:p>
        </w:tc>
      </w:tr>
      <w:tr w14:paraId="0852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1827A9D">
            <w:pPr>
              <w:spacing w:before="36" w:after="36"/>
              <w:jc w:val="left"/>
            </w:pPr>
            <w:r>
              <w:rPr>
                <w:rFonts w:ascii="Arial" w:hAnsi="Arial" w:eastAsia="Arial" w:cs="Arial"/>
                <w:color w:val="222222"/>
                <w:sz w:val="20"/>
                <w:szCs w:val="20"/>
              </w:rPr>
              <w:t>M5 问责督察</w:t>
            </w:r>
          </w:p>
        </w:tc>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32D6065">
            <w:pPr>
              <w:spacing w:before="36" w:after="36"/>
              <w:jc w:val="left"/>
            </w:pPr>
            <w:r>
              <w:rPr>
                <w:rFonts w:ascii="Arial" w:hAnsi="Arial" w:eastAsia="Arial" w:cs="Arial"/>
                <w:color w:val="222222"/>
                <w:sz w:val="20"/>
                <w:szCs w:val="20"/>
              </w:rPr>
              <w:t>风险型行政；终身追责；四轨问责</w:t>
            </w:r>
          </w:p>
        </w:tc>
        <w:tc>
          <w:tcPr>
            <w:tcW w:w="2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A162B7B">
            <w:pPr>
              <w:spacing w:before="36" w:after="36"/>
              <w:jc w:val="left"/>
            </w:pPr>
            <w:r>
              <w:rPr>
                <w:rFonts w:ascii="Arial" w:hAnsi="Arial" w:eastAsia="Arial" w:cs="Arial"/>
                <w:color w:val="222222"/>
                <w:sz w:val="20"/>
                <w:szCs w:val="20"/>
              </w:rPr>
              <w:t>杨雪冬（2012）；周雪光（2013）；Bovens（2007）</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9E85217">
            <w:pPr>
              <w:spacing w:before="36" w:after="36"/>
              <w:jc w:val="left"/>
            </w:pPr>
            <w:r>
              <w:rPr>
                <w:rFonts w:ascii="Arial" w:hAnsi="Arial" w:eastAsia="Arial" w:cs="Arial"/>
                <w:color w:val="222222"/>
                <w:sz w:val="20"/>
                <w:szCs w:val="20"/>
              </w:rPr>
              <w:t>督察倒计时三级压力；四轨问责独立触发；时间窗口差异系数</w:t>
            </w:r>
          </w:p>
        </w:tc>
      </w:tr>
      <w:tr w14:paraId="4FC1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34159BD">
            <w:pPr>
              <w:spacing w:before="36" w:after="36"/>
              <w:jc w:val="left"/>
            </w:pPr>
            <w:r>
              <w:rPr>
                <w:rFonts w:ascii="Arial" w:hAnsi="Arial" w:eastAsia="Arial" w:cs="Arial"/>
                <w:color w:val="222222"/>
                <w:sz w:val="20"/>
                <w:szCs w:val="20"/>
              </w:rPr>
              <w:t>M6 政社关系</w:t>
            </w:r>
          </w:p>
        </w:tc>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8B1C61D">
            <w:pPr>
              <w:spacing w:before="36" w:after="36"/>
              <w:jc w:val="left"/>
            </w:pPr>
            <w:r>
              <w:rPr>
                <w:rFonts w:ascii="Arial" w:hAnsi="Arial" w:eastAsia="Arial" w:cs="Arial"/>
                <w:color w:val="222222"/>
                <w:sz w:val="20"/>
                <w:szCs w:val="20"/>
              </w:rPr>
              <w:t>授权边界模型；信息管控；多中心治理</w:t>
            </w:r>
          </w:p>
        </w:tc>
        <w:tc>
          <w:tcPr>
            <w:tcW w:w="24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D77AE55">
            <w:pPr>
              <w:spacing w:before="36" w:after="36"/>
              <w:jc w:val="left"/>
            </w:pPr>
            <w:r>
              <w:rPr>
                <w:rFonts w:ascii="Arial" w:hAnsi="Arial" w:eastAsia="Arial" w:cs="Arial"/>
                <w:color w:val="222222"/>
                <w:sz w:val="20"/>
                <w:szCs w:val="20"/>
              </w:rPr>
              <w:t>Wang &amp; Minzner（2015）；King et al.（2013）；Ostrom（1990）</w:t>
            </w:r>
          </w:p>
        </w:tc>
        <w:tc>
          <w:tcPr>
            <w:tcW w:w="3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1A3ED97">
            <w:pPr>
              <w:spacing w:before="36" w:after="36"/>
              <w:jc w:val="left"/>
            </w:pPr>
            <w:r>
              <w:rPr>
                <w:rFonts w:ascii="Arial" w:hAnsi="Arial" w:eastAsia="Arial" w:cs="Arial"/>
                <w:color w:val="222222"/>
                <w:sz w:val="20"/>
                <w:szCs w:val="20"/>
              </w:rPr>
              <w:t>授权边界参数；媒体生态三分；信访升级阶梯</w:t>
            </w:r>
          </w:p>
        </w:tc>
      </w:tr>
    </w:tbl>
    <w:p w14:paraId="5F2E09FE">
      <w:pPr>
        <w:spacing w:before="120" w:after="120"/>
      </w:pPr>
    </w:p>
    <w:p w14:paraId="010E43FF">
      <w:pPr>
        <w:pStyle w:val="3"/>
        <w:spacing w:before="320" w:after="140"/>
      </w:pPr>
      <w:r>
        <w:rPr>
          <w:rFonts w:ascii="Arial" w:hAnsi="Arial" w:eastAsia="Arial" w:cs="Arial"/>
          <w:b/>
          <w:bCs/>
          <w:color w:val="174A7E"/>
          <w:sz w:val="25"/>
          <w:szCs w:val="25"/>
        </w:rPr>
        <w:t>4.4 平台的学科交叉定位</w:t>
      </w:r>
    </w:p>
    <w:p w14:paraId="242B89D1">
      <w:pPr>
        <w:spacing w:before="80" w:after="80"/>
        <w:jc w:val="both"/>
      </w:pPr>
      <w:r>
        <w:rPr>
          <w:rFonts w:ascii="Arial" w:hAnsi="Arial" w:eastAsia="Arial" w:cs="Arial"/>
          <w:b w:val="0"/>
          <w:bCs w:val="0"/>
          <w:color w:val="111111"/>
          <w:sz w:val="22"/>
          <w:szCs w:val="22"/>
        </w:rPr>
        <w:t>政通推演坊处于四个学科的交叉地带，每个学科都为平台的某个核心组件提供了理论基础，同时每个学科的研究者都是平台的潜在用户和受益者。</w:t>
      </w:r>
    </w:p>
    <w:p w14:paraId="1CADD924">
      <w:pPr>
        <w:spacing w:before="80" w:after="80"/>
        <w:jc w:val="both"/>
      </w:pPr>
      <w:r>
        <w:rPr>
          <w:rFonts w:ascii="Arial" w:hAnsi="Arial" w:eastAsia="Arial" w:cs="Arial"/>
          <w:b w:val="0"/>
          <w:bCs w:val="0"/>
          <w:color w:val="111111"/>
          <w:sz w:val="22"/>
          <w:szCs w:val="22"/>
        </w:rPr>
        <w:t>公共管理学（Public Administration）：六大制度模块的内容设计，五维指标体系的操作化，八类种子场景的主题覆盖，以及平台产出数据对公共管理核心理论命题的检验能力，这些都是公共管理学的贡献和收益。政通推演坊期望发表的核心实质性成果（如"问责机制增强是否系统性压制官员创新行为"）本身就是公共管理学的研究问题。</w:t>
      </w:r>
    </w:p>
    <w:p w14:paraId="5AE58057">
      <w:pPr>
        <w:spacing w:before="80" w:after="80"/>
        <w:jc w:val="both"/>
      </w:pPr>
      <w:r>
        <w:rPr>
          <w:rFonts w:ascii="Arial" w:hAnsi="Arial" w:eastAsia="Arial" w:cs="Arial"/>
          <w:b w:val="0"/>
          <w:bCs w:val="0"/>
          <w:color w:val="111111"/>
          <w:sz w:val="22"/>
          <w:szCs w:val="22"/>
        </w:rPr>
        <w:t>政治学（Political Science）：党政关系、央地博弈、官员激励、信息政治等模块的设计直接对应政治学的核心议题。政通推演坊产出的跨角色通信网络数据和联署行为数据，可以支持正式政治（Formal Politics）和非正式政治（Informal Politics）研究的计算社会科学转向。</w:t>
      </w:r>
    </w:p>
    <w:p w14:paraId="5C7D4BB5">
      <w:pPr>
        <w:spacing w:before="80" w:after="80"/>
        <w:jc w:val="both"/>
      </w:pPr>
      <w:r>
        <w:rPr>
          <w:rFonts w:ascii="Arial" w:hAnsi="Arial" w:eastAsia="Arial" w:cs="Arial"/>
          <w:b w:val="0"/>
          <w:bCs w:val="0"/>
          <w:color w:val="111111"/>
          <w:sz w:val="22"/>
          <w:szCs w:val="22"/>
        </w:rPr>
        <w:t>计算社会科学（Computational Social Science）：七类行为数据流、全程时间戳、RCT随机化支持，使政通推演坊的数据具备计算社会科学方法所需的规模性、过程性和可实验性。Lazer等（2009, Science）为CSS学科奠定了基础，强调数字行为痕迹是社会科学发现新知识的基础设施，政通推演坊是这一基础设施在中国治理研究领域的具体实现。</w:t>
      </w:r>
    </w:p>
    <w:p w14:paraId="3F87844A">
      <w:pPr>
        <w:spacing w:before="80" w:after="80"/>
        <w:jc w:val="both"/>
      </w:pPr>
      <w:r>
        <w:rPr>
          <w:rFonts w:ascii="Arial" w:hAnsi="Arial" w:eastAsia="Arial" w:cs="Arial"/>
          <w:b w:val="0"/>
          <w:bCs w:val="0"/>
          <w:color w:val="111111"/>
          <w:sz w:val="22"/>
          <w:szCs w:val="22"/>
        </w:rPr>
        <w:t>教育技术学（Educational Technology）：Wouters等（2013, JEP）的元分析（k=39，N=5,547）表明，严肃游戏在技能学习和迁移上的效果显著优于传统教学（效应量d=0.29）；当与即时反馈和明确目标设计结合时，效应量可达0.55以上。政通推演坊的AI复盘报告和因果推理图模块，正是将"即时反馈"和"反思性学习"嵌入严肃游戏的具体设计。</w:t>
      </w:r>
    </w:p>
    <w:p w14:paraId="449E6F24"/>
    <w:p w14:paraId="6A6F5433"/>
    <w:p w14:paraId="0DF451DF"/>
    <w:p w14:paraId="61573148"/>
    <w:p w14:paraId="6C9ADC07"/>
    <w:p w14:paraId="4975986B"/>
    <w:p w14:paraId="4DE0D57F"/>
    <w:p w14:paraId="5D3B23FA"/>
    <w:p w14:paraId="4516DED7"/>
    <w:p w14:paraId="1EC23668"/>
    <w:p w14:paraId="09E1CE5B"/>
    <w:p w14:paraId="6D9BD679"/>
    <w:p w14:paraId="14F6D892"/>
    <w:p w14:paraId="2335F5FC"/>
    <w:p w14:paraId="3F45E58C"/>
    <w:p w14:paraId="3FB09261"/>
    <w:p w14:paraId="1EA7917C"/>
    <w:p w14:paraId="507AF3C1"/>
    <w:p w14:paraId="44CBFA6F"/>
    <w:p w14:paraId="21FD484A"/>
    <w:p w14:paraId="1C193774"/>
    <w:p w14:paraId="0879C281"/>
    <w:p w14:paraId="1D320CE2"/>
    <w:p w14:paraId="351FA484"/>
    <w:p w14:paraId="6FE9264F"/>
    <w:p w14:paraId="7A7CC66A"/>
    <w:p w14:paraId="3F1A50E7"/>
    <w:p w14:paraId="13233929"/>
    <w:p w14:paraId="02F7A212"/>
    <w:p w14:paraId="0ED5C9D1"/>
    <w:p w14:paraId="0944017E">
      <w:pPr>
        <w:spacing w:before="180" w:after="180"/>
      </w:pPr>
    </w:p>
    <w:p w14:paraId="5FFE8BDD">
      <w:pPr>
        <w:spacing w:before="200" w:after="100"/>
        <w:jc w:val="center"/>
      </w:pPr>
      <w:r>
        <w:rPr>
          <w:rFonts w:ascii="Arial" w:hAnsi="Arial" w:eastAsia="Arial" w:cs="Arial"/>
          <w:b/>
          <w:bCs/>
          <w:color w:val="1A3A5C"/>
          <w:sz w:val="48"/>
          <w:szCs w:val="48"/>
        </w:rPr>
        <w:t>政通推演坊 GovSim Studio</w:t>
      </w:r>
    </w:p>
    <w:p w14:paraId="2466B7CE">
      <w:pPr>
        <w:spacing w:before="0" w:after="300"/>
        <w:jc w:val="center"/>
      </w:pPr>
      <w:r>
        <w:rPr>
          <w:rFonts w:ascii="Arial" w:hAnsi="Arial" w:eastAsia="Arial" w:cs="Arial"/>
          <w:color w:val="446688"/>
          <w:sz w:val="24"/>
          <w:szCs w:val="24"/>
        </w:rPr>
        <w:t>申报书第二部分：平台架构 · 制度模块 · 配置系统</w:t>
      </w:r>
    </w:p>
    <w:p w14:paraId="17F6A4B5">
      <w:r>
        <w:br w:type="page"/>
      </w:r>
    </w:p>
    <w:p w14:paraId="2AD64DB7">
      <w:pPr>
        <w:pStyle w:val="2"/>
        <w:pBdr>
          <w:bottom w:val="single" w:color="1A3A5C" w:sz="8" w:space="2"/>
        </w:pBdr>
        <w:spacing w:before="440" w:after="200"/>
      </w:pPr>
      <w:r>
        <w:rPr>
          <w:rFonts w:ascii="Arial" w:hAnsi="Arial" w:eastAsia="Arial" w:cs="Arial"/>
          <w:b/>
          <w:bCs/>
          <w:color w:val="1A3A5C"/>
          <w:sz w:val="30"/>
          <w:szCs w:val="30"/>
        </w:rPr>
        <w:t>五、平台总体架构：四层模型与设计哲学</w:t>
      </w:r>
    </w:p>
    <w:p w14:paraId="69C4C91A">
      <w:pPr>
        <w:spacing w:before="80" w:after="80"/>
        <w:jc w:val="both"/>
      </w:pPr>
      <w:r>
        <w:rPr>
          <w:rFonts w:ascii="Arial" w:hAnsi="Arial" w:eastAsia="Arial" w:cs="Arial"/>
          <w:b w:val="0"/>
          <w:bCs w:val="0"/>
          <w:color w:val="111111"/>
          <w:sz w:val="22"/>
          <w:szCs w:val="22"/>
        </w:rPr>
        <w:t>政通推演坊的总体架构遵循"职责分离、层次清晰、内核稳定、外围可配"的设计哲学。四层架构从底层到顶层分别承担制度约束、用户配置、推演交互、数据分析四类职责，层间界面清晰，各层独立演进而不互相干扰。其中，最底层的框架底座（L1）是整个平台唯一"不可修改"的部分，其余三层全部向用户开放配置权限。</w:t>
      </w:r>
    </w:p>
    <w:p w14:paraId="2EA78748">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4A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16E81639">
            <w:pPr>
              <w:spacing w:before="60" w:after="100"/>
            </w:pPr>
            <w:r>
              <w:rPr>
                <w:rFonts w:ascii="Arial" w:hAnsi="Arial" w:eastAsia="Arial" w:cs="Arial"/>
                <w:b/>
                <w:bCs/>
                <w:color w:val="1A3A5C"/>
                <w:sz w:val="21"/>
                <w:szCs w:val="21"/>
              </w:rPr>
              <w:t>▌ 政通推演坊四层架构总览</w:t>
            </w:r>
          </w:p>
          <w:p w14:paraId="0AC63B4D">
            <w:pPr>
              <w:spacing w:before="16" w:after="16"/>
            </w:pPr>
            <w:r>
              <w:rPr>
                <w:rFonts w:ascii="Courier New" w:hAnsi="Courier New" w:eastAsia="Courier New" w:cs="Courier New"/>
                <w:color w:val="1A2233"/>
                <w:sz w:val="19"/>
                <w:szCs w:val="19"/>
              </w:rPr>
              <w:t xml:space="preserve">  ┌───────────────────────────────────────────────────────────────────────┐</w:t>
            </w:r>
          </w:p>
          <w:p w14:paraId="5CD932DA">
            <w:pPr>
              <w:spacing w:before="16" w:after="16"/>
            </w:pPr>
            <w:r>
              <w:rPr>
                <w:rFonts w:ascii="Courier New" w:hAnsi="Courier New" w:eastAsia="Courier New" w:cs="Courier New"/>
                <w:color w:val="1A2233"/>
                <w:sz w:val="19"/>
                <w:szCs w:val="19"/>
              </w:rPr>
              <w:t xml:space="preserve">  │  L4 分析层  Analytics Layer                                           │</w:t>
            </w:r>
          </w:p>
          <w:p w14:paraId="570ED9CB">
            <w:pPr>
              <w:spacing w:before="16" w:after="16"/>
            </w:pPr>
            <w:r>
              <w:rPr>
                <w:rFonts w:ascii="Courier New" w:hAnsi="Courier New" w:eastAsia="Courier New" w:cs="Courier New"/>
                <w:color w:val="1A2233"/>
                <w:sz w:val="19"/>
                <w:szCs w:val="19"/>
              </w:rPr>
              <w:t xml:space="preserve">  │  七类行为数据流 · RCT随机化 · 教师监控仪表板 · AI复盘报告 · 导出接口 │</w:t>
            </w:r>
          </w:p>
          <w:p w14:paraId="749EC67C">
            <w:pPr>
              <w:spacing w:before="16" w:after="16"/>
            </w:pPr>
            <w:r>
              <w:rPr>
                <w:rFonts w:ascii="Courier New" w:hAnsi="Courier New" w:eastAsia="Courier New" w:cs="Courier New"/>
                <w:color w:val="1A2233"/>
                <w:sz w:val="19"/>
                <w:szCs w:val="19"/>
              </w:rPr>
              <w:t xml:space="preserve">  ├───────────────────────────────────────────────────────────────────────┤</w:t>
            </w:r>
          </w:p>
          <w:p w14:paraId="5A02CC0C">
            <w:pPr>
              <w:spacing w:before="16" w:after="16"/>
            </w:pPr>
            <w:r>
              <w:rPr>
                <w:rFonts w:ascii="Courier New" w:hAnsi="Courier New" w:eastAsia="Courier New" w:cs="Courier New"/>
                <w:color w:val="1A2233"/>
                <w:sz w:val="19"/>
                <w:szCs w:val="19"/>
              </w:rPr>
              <w:t xml:space="preserve">  │  L3 运行层  Runtime Layer                                             │</w:t>
            </w:r>
          </w:p>
          <w:p w14:paraId="1A512A06">
            <w:pPr>
              <w:spacing w:before="16" w:after="16"/>
            </w:pPr>
            <w:r>
              <w:rPr>
                <w:rFonts w:ascii="Courier New" w:hAnsi="Courier New" w:eastAsia="Courier New" w:cs="Courier New"/>
                <w:color w:val="1A2233"/>
                <w:sz w:val="19"/>
                <w:szCs w:val="19"/>
              </w:rPr>
              <w:t xml:space="preserve">  │  五区联动指挥桌 · 推演状态机 · 五种协商模式 · NPC行为引擎 · 计时器   │</w:t>
            </w:r>
          </w:p>
          <w:p w14:paraId="0510C7C3">
            <w:pPr>
              <w:spacing w:before="16" w:after="16"/>
            </w:pPr>
            <w:r>
              <w:rPr>
                <w:rFonts w:ascii="Courier New" w:hAnsi="Courier New" w:eastAsia="Courier New" w:cs="Courier New"/>
                <w:color w:val="1A2233"/>
                <w:sz w:val="19"/>
                <w:szCs w:val="19"/>
              </w:rPr>
              <w:t xml:space="preserve">  ├───────────────────────────────────────────────────────────────────────┤</w:t>
            </w:r>
          </w:p>
          <w:p w14:paraId="6761F7DF">
            <w:pPr>
              <w:spacing w:before="16" w:after="16"/>
            </w:pPr>
            <w:r>
              <w:rPr>
                <w:rFonts w:ascii="Courier New" w:hAnsi="Courier New" w:eastAsia="Courier New" w:cs="Courier New"/>
                <w:color w:val="1A2233"/>
                <w:sz w:val="19"/>
                <w:szCs w:val="19"/>
              </w:rPr>
              <w:t xml:space="preserve">  │  L2 配置层  Configuration Layer        ← 教师/研究者在此操作          │</w:t>
            </w:r>
          </w:p>
          <w:p w14:paraId="40F446FD">
            <w:pPr>
              <w:spacing w:before="16" w:after="16"/>
            </w:pPr>
            <w:r>
              <w:rPr>
                <w:rFonts w:ascii="Courier New" w:hAnsi="Courier New" w:eastAsia="Courier New" w:cs="Courier New"/>
                <w:color w:val="1A2233"/>
                <w:sz w:val="19"/>
                <w:szCs w:val="19"/>
              </w:rPr>
              <w:t xml:space="preserve">  │  9步配置工作流 · 24个参数 · 角色设计 · 知识库绑定 · 事件脚本         │</w:t>
            </w:r>
          </w:p>
          <w:p w14:paraId="56081768">
            <w:pPr>
              <w:spacing w:before="16" w:after="16"/>
            </w:pPr>
            <w:r>
              <w:rPr>
                <w:rFonts w:ascii="Courier New" w:hAnsi="Courier New" w:eastAsia="Courier New" w:cs="Courier New"/>
                <w:color w:val="1A2233"/>
                <w:sz w:val="19"/>
                <w:szCs w:val="19"/>
              </w:rPr>
              <w:t xml:space="preserve">  ├═══════════════════════════════════════════════════════════════════════╡</w:t>
            </w:r>
          </w:p>
          <w:p w14:paraId="11A624B9">
            <w:pPr>
              <w:spacing w:before="16" w:after="16"/>
            </w:pPr>
            <w:r>
              <w:rPr>
                <w:rFonts w:ascii="Courier New" w:hAnsi="Courier New" w:eastAsia="Courier New" w:cs="Courier New"/>
                <w:color w:val="1A2233"/>
                <w:sz w:val="19"/>
                <w:szCs w:val="19"/>
              </w:rPr>
              <w:t xml:space="preserve">  │  L1 框架底座  Institutional Framework   ← 不可修改                   │</w:t>
            </w:r>
          </w:p>
          <w:p w14:paraId="360E89F8">
            <w:pPr>
              <w:spacing w:before="16" w:after="16"/>
            </w:pPr>
            <w:r>
              <w:rPr>
                <w:rFonts w:ascii="Courier New" w:hAnsi="Courier New" w:eastAsia="Courier New" w:cs="Courier New"/>
                <w:color w:val="1A2233"/>
                <w:sz w:val="19"/>
                <w:szCs w:val="19"/>
              </w:rPr>
              <w:t xml:space="preserve">  │  六大制度模块(M1-M6) · 制度合规验证器 · 百晓生API桥接接口            │</w:t>
            </w:r>
          </w:p>
          <w:p w14:paraId="617061A4">
            <w:pPr>
              <w:spacing w:before="16" w:after="16"/>
            </w:pPr>
            <w:r>
              <w:rPr>
                <w:rFonts w:ascii="Courier New" w:hAnsi="Courier New" w:eastAsia="Courier New" w:cs="Courier New"/>
                <w:color w:val="1A2233"/>
                <w:sz w:val="19"/>
                <w:szCs w:val="19"/>
              </w:rPr>
              <w:t xml:space="preserve">  └───────────────────────────────────────────────────────────────────────┘</w:t>
            </w:r>
          </w:p>
          <w:p w14:paraId="30A07099">
            <w:pPr>
              <w:spacing w:before="16" w:after="16"/>
            </w:pPr>
            <w:r>
              <w:rPr>
                <w:rFonts w:ascii="Courier New" w:hAnsi="Courier New" w:eastAsia="Courier New" w:cs="Courier New"/>
                <w:color w:val="1A2233"/>
                <w:sz w:val="19"/>
                <w:szCs w:val="19"/>
              </w:rPr>
              <w:t xml:space="preserve">                               ↑↓ API</w:t>
            </w:r>
          </w:p>
          <w:p w14:paraId="13C83A37">
            <w:pPr>
              <w:spacing w:before="16" w:after="16"/>
            </w:pPr>
            <w:r>
              <w:rPr>
                <w:rFonts w:ascii="Courier New" w:hAnsi="Courier New" w:eastAsia="Courier New" w:cs="Courier New"/>
                <w:color w:val="1A2233"/>
                <w:sz w:val="19"/>
                <w:szCs w:val="19"/>
              </w:rPr>
              <w:t xml:space="preserve">  ┌───────────────────────────────────────────────────────────────────────┐</w:t>
            </w:r>
          </w:p>
          <w:p w14:paraId="32319B7C">
            <w:pPr>
              <w:spacing w:before="16" w:after="16"/>
            </w:pPr>
            <w:r>
              <w:rPr>
                <w:rFonts w:ascii="Courier New" w:hAnsi="Courier New" w:eastAsia="Courier New" w:cs="Courier New"/>
                <w:color w:val="1A2233"/>
                <w:sz w:val="19"/>
                <w:szCs w:val="19"/>
              </w:rPr>
              <w:t xml:space="preserve">  │  公共管理百晓生 Baixiao AI  (独立平台，通过API桥接)                   │</w:t>
            </w:r>
          </w:p>
          <w:p w14:paraId="552F249E">
            <w:pPr>
              <w:spacing w:before="16" w:after="16"/>
            </w:pPr>
            <w:r>
              <w:rPr>
                <w:rFonts w:ascii="Courier New" w:hAnsi="Courier New" w:eastAsia="Courier New" w:cs="Courier New"/>
                <w:color w:val="1A2233"/>
                <w:sz w:val="19"/>
                <w:szCs w:val="19"/>
              </w:rPr>
              <w:t xml:space="preserve">  │  L1公共大库(5000+文献) · L2主题专库(8领域) · L3用户私有库             │</w:t>
            </w:r>
          </w:p>
          <w:p w14:paraId="1BD5F95C">
            <w:pPr>
              <w:spacing w:before="16" w:after="16"/>
            </w:pPr>
            <w:r>
              <w:rPr>
                <w:rFonts w:ascii="Courier New" w:hAnsi="Courier New" w:eastAsia="Courier New" w:cs="Courier New"/>
                <w:color w:val="1A2233"/>
                <w:sz w:val="19"/>
                <w:szCs w:val="19"/>
              </w:rPr>
              <w:t xml:space="preserve">  └───────────────────────────────────────────────────────────────────────┘</w:t>
            </w:r>
          </w:p>
        </w:tc>
      </w:tr>
    </w:tbl>
    <w:p w14:paraId="4292EED2">
      <w:pPr>
        <w:spacing w:before="60" w:after="60"/>
      </w:pPr>
    </w:p>
    <w:p w14:paraId="5C73AC14">
      <w:pPr>
        <w:pStyle w:val="3"/>
        <w:spacing w:before="320" w:after="140"/>
      </w:pPr>
      <w:r>
        <w:rPr>
          <w:rFonts w:ascii="Arial" w:hAnsi="Arial" w:eastAsia="Arial" w:cs="Arial"/>
          <w:b/>
          <w:bCs/>
          <w:color w:val="174A7E"/>
          <w:sz w:val="25"/>
          <w:szCs w:val="25"/>
        </w:rPr>
        <w:t>5.1 L1框架底座：制度真实性的技术保障</w:t>
      </w:r>
    </w:p>
    <w:p w14:paraId="777D3E17">
      <w:pPr>
        <w:spacing w:before="80" w:after="80"/>
        <w:jc w:val="both"/>
      </w:pPr>
      <w:r>
        <w:rPr>
          <w:rFonts w:ascii="Arial" w:hAnsi="Arial" w:eastAsia="Arial" w:cs="Arial"/>
          <w:b w:val="0"/>
          <w:bCs w:val="0"/>
          <w:color w:val="111111"/>
          <w:sz w:val="22"/>
          <w:szCs w:val="22"/>
        </w:rPr>
        <w:t>框架底座是整个平台的"宪法"——它定义了哪些行动在中国行政制度中是合法的、哪些是灰色地带、哪些是明确违规的，不允许用户修改，也不允许玩家绕过。框架底座的设计依据是公共管理学和政治学的制度理论，特别是景跃进、陈明明（2024）《当代中国政府与政治》、周雪光（2013）《中国国家治理的制度逻辑》和方雷（2024）《当代中国政治学》所建立的中国治理制度分析框架。</w:t>
      </w:r>
    </w:p>
    <w:p w14:paraId="02F619BD">
      <w:pPr>
        <w:spacing w:before="80" w:after="80"/>
        <w:jc w:val="both"/>
      </w:pPr>
      <w:r>
        <w:rPr>
          <w:rFonts w:ascii="Arial" w:hAnsi="Arial" w:eastAsia="Arial" w:cs="Arial"/>
          <w:b w:val="0"/>
          <w:bCs w:val="0"/>
          <w:color w:val="111111"/>
          <w:sz w:val="22"/>
          <w:szCs w:val="22"/>
        </w:rPr>
        <w:t>框架底座包含三个核心组件：六大制度模块（M1-M6，详见第六节）、制度合规验证器（实时检查每个行动是否符合制度约束，详见第七节）、百晓生API桥接接口（RAG管道与知识库通信的技术接口，详见第三节）。框架底座以JSON Schema格式存储，版本化管理，由平台核心团队维护更新，用户不可访问和修改。</w:t>
      </w:r>
    </w:p>
    <w:p w14:paraId="72D8ED56">
      <w:pPr>
        <w:pStyle w:val="3"/>
        <w:spacing w:before="320" w:after="140"/>
      </w:pPr>
      <w:r>
        <w:rPr>
          <w:rFonts w:ascii="Arial" w:hAnsi="Arial" w:eastAsia="Arial" w:cs="Arial"/>
          <w:b/>
          <w:bCs/>
          <w:color w:val="174A7E"/>
          <w:sz w:val="25"/>
          <w:szCs w:val="25"/>
        </w:rPr>
        <w:t>5.2 L2配置层：无限场景的工程实现</w:t>
      </w:r>
    </w:p>
    <w:p w14:paraId="39CE0ABA">
      <w:pPr>
        <w:spacing w:before="80" w:after="80"/>
        <w:jc w:val="both"/>
      </w:pPr>
      <w:r>
        <w:rPr>
          <w:rFonts w:ascii="Arial" w:hAnsi="Arial" w:eastAsia="Arial" w:cs="Arial"/>
          <w:b w:val="0"/>
          <w:bCs w:val="0"/>
          <w:color w:val="111111"/>
          <w:sz w:val="22"/>
          <w:szCs w:val="22"/>
        </w:rPr>
        <w:t>配置层是教师和研究者与平台交互的主要界面，提供9步图形化配置工作流，使没有编程背景的用户能够在2-3小时内从零设计出一个完整的推演场景。配置层的核心设计原则是"全部可配、无一强制"：平台提供8个种子场景模板和系统性参数默认值，但这些都是可选的起点，用户可以使用模板的任意部分，也可以完全忽略模板从零开始设计。配置成果以JSON Schema v2.0格式保存，支持导出、分享、版本管理和A/B场景对照设计。</w:t>
      </w:r>
    </w:p>
    <w:p w14:paraId="5986F9D0">
      <w:pPr>
        <w:pStyle w:val="3"/>
        <w:spacing w:before="320" w:after="140"/>
      </w:pPr>
      <w:r>
        <w:rPr>
          <w:rFonts w:ascii="Arial" w:hAnsi="Arial" w:eastAsia="Arial" w:cs="Arial"/>
          <w:b/>
          <w:bCs/>
          <w:color w:val="174A7E"/>
          <w:sz w:val="25"/>
          <w:szCs w:val="25"/>
        </w:rPr>
        <w:t>5.3 L3运行层：博弈互动的工程实现</w:t>
      </w:r>
    </w:p>
    <w:p w14:paraId="4D5195AB">
      <w:pPr>
        <w:spacing w:before="80" w:after="80"/>
        <w:jc w:val="both"/>
      </w:pPr>
      <w:r>
        <w:rPr>
          <w:rFonts w:ascii="Arial" w:hAnsi="Arial" w:eastAsia="Arial" w:cs="Arial"/>
          <w:b w:val="0"/>
          <w:bCs w:val="0"/>
          <w:color w:val="111111"/>
          <w:sz w:val="22"/>
          <w:szCs w:val="22"/>
        </w:rPr>
        <w:t>运行层是推演进行时的核心引擎，支撑玩家在"五区联动指挥桌"界面上进行实时多角色博弈。运行层的核心组件包括：基于有限状态机（FSM）的推演状态管理器（控制从大厅等待到推演结束的全部状态转换）；实时决策计时器（支持独立计时和全局暂停）；五种协商模式的通信引擎（WebSocket双工实时通信）；AI NPC行为引擎（规则决策树+LLM混合架构）；RAG管道集成接口（每个决策节点触发实时选项生成）。</w:t>
      </w:r>
    </w:p>
    <w:p w14:paraId="4E83771A">
      <w:pPr>
        <w:pStyle w:val="3"/>
        <w:spacing w:before="320" w:after="140"/>
      </w:pPr>
      <w:r>
        <w:rPr>
          <w:rFonts w:ascii="Arial" w:hAnsi="Arial" w:eastAsia="Arial" w:cs="Arial"/>
          <w:b/>
          <w:bCs/>
          <w:color w:val="174A7E"/>
          <w:sz w:val="25"/>
          <w:szCs w:val="25"/>
        </w:rPr>
        <w:t>5.4 L4分析层：研究数据生产基础设施</w:t>
      </w:r>
    </w:p>
    <w:p w14:paraId="5B72B75B">
      <w:pPr>
        <w:spacing w:before="80" w:after="80"/>
        <w:jc w:val="both"/>
      </w:pPr>
      <w:r>
        <w:rPr>
          <w:rFonts w:ascii="Arial" w:hAnsi="Arial" w:eastAsia="Arial" w:cs="Arial"/>
          <w:b w:val="0"/>
          <w:bCs w:val="0"/>
          <w:color w:val="111111"/>
          <w:sz w:val="22"/>
          <w:szCs w:val="22"/>
        </w:rPr>
        <w:t>分析层在用户感知不到的后台全程运行，采集七类行为数据流并为研究者提供分析工具。分析层不影响推演进行，采集行为完全透明（玩家在参与前被告知数据采集范围和用途）。主要组件包括：行为日志采集引擎（每个用户操作都有精确UTC时间戳记录）；RCT随机化控制器（管理处理组分配和知识库版本快照）；实时监控仪表板（教师/研究者可见的全局视图）；AI复盘报告生成器（游戏结束后异步生成）；多格式数据导出接口（CSV/JSON两种格式）。</w:t>
      </w:r>
    </w:p>
    <w:p w14:paraId="0C14D0BC">
      <w:r>
        <w:br w:type="page"/>
      </w:r>
    </w:p>
    <w:p w14:paraId="08739538">
      <w:pPr>
        <w:pStyle w:val="2"/>
        <w:pBdr>
          <w:bottom w:val="single" w:color="1A3A5C" w:sz="8" w:space="2"/>
        </w:pBdr>
        <w:spacing w:before="440" w:after="200"/>
      </w:pPr>
      <w:r>
        <w:rPr>
          <w:rFonts w:ascii="Arial" w:hAnsi="Arial" w:eastAsia="Arial" w:cs="Arial"/>
          <w:b/>
          <w:bCs/>
          <w:color w:val="1A3A5C"/>
          <w:sz w:val="30"/>
          <w:szCs w:val="30"/>
        </w:rPr>
        <w:t>六、L1框架底座：六大制度模块详解</w:t>
      </w:r>
    </w:p>
    <w:p w14:paraId="7928803F">
      <w:pPr>
        <w:spacing w:before="80" w:after="80"/>
        <w:jc w:val="both"/>
      </w:pPr>
      <w:r>
        <w:rPr>
          <w:rFonts w:ascii="Arial" w:hAnsi="Arial" w:eastAsia="Arial" w:cs="Arial"/>
          <w:b w:val="0"/>
          <w:bCs w:val="0"/>
          <w:color w:val="111111"/>
          <w:sz w:val="22"/>
          <w:szCs w:val="22"/>
        </w:rPr>
        <w:t>六大制度模块是政通推演坊实现制度真实性的技术基础，也是平台区别于所有现有政策游戏的根本性特征。每个模块包含两类内容：一是基于学术文献的制度规则编码（以JSON格式存储的条件-行为规则集）；二是这些制度规则在推演中的具体博弈表现（即玩家能感受到的游戏机制）。以下按模块逐一展开。</w:t>
      </w:r>
    </w:p>
    <w:p w14:paraId="14F3C185">
      <w:pPr>
        <w:pStyle w:val="3"/>
        <w:spacing w:before="320" w:after="140"/>
      </w:pPr>
      <w:r>
        <w:rPr>
          <w:rFonts w:ascii="Arial" w:hAnsi="Arial" w:eastAsia="Arial" w:cs="Arial"/>
          <w:b/>
          <w:bCs/>
          <w:color w:val="174A7E"/>
          <w:sz w:val="25"/>
          <w:szCs w:val="25"/>
        </w:rPr>
        <w:t>6.1 M1：党政体制结构模块</w:t>
      </w:r>
    </w:p>
    <w:p w14:paraId="2D2C5727">
      <w:pPr>
        <w:spacing w:before="80" w:after="80"/>
        <w:jc w:val="both"/>
      </w:pPr>
      <w:r>
        <w:rPr>
          <w:rFonts w:ascii="Arial" w:hAnsi="Arial" w:eastAsia="Arial" w:cs="Arial"/>
          <w:b w:val="0"/>
          <w:bCs w:val="0"/>
          <w:color w:val="111111"/>
          <w:sz w:val="22"/>
          <w:szCs w:val="22"/>
        </w:rPr>
        <w:t>M1模块是整个制度框架的核心，编码了中国党政体制的基本运作逻辑。其理论依据来自景跃进（2024）归纳的"党政双轨行政结构"：党掌握领导权和核心决策权，政府体系是党的战略决策的行政实施体系，两者形成"一体双轨"关系；同时，方雷（2024）将党政关系概括为"政治方向与行政效率的辩证统一"，揭示了这一体制的运作张力所在。</w:t>
      </w:r>
    </w:p>
    <w:p w14:paraId="0C625099">
      <w:pPr>
        <w:spacing w:before="80" w:after="80"/>
        <w:jc w:val="both"/>
      </w:pPr>
      <w:r>
        <w:rPr>
          <w:rFonts w:ascii="Arial" w:hAnsi="Arial" w:eastAsia="Arial" w:cs="Arial"/>
          <w:b w:val="0"/>
          <w:bCs w:val="0"/>
          <w:color w:val="111111"/>
          <w:sz w:val="22"/>
          <w:szCs w:val="22"/>
        </w:rPr>
        <w:t>M1模块编码的核心制度规则有以下四条。第一，"一把手负责制"规则：所有被标记为"重大决策"的行动，若没有县委书记角色的背书（公开表态或私信确认），该行动的政治合法性系数降低至0.4，CLR风险系数上升。这直接体现了韦伯式合法权威在中国治理中的运作逻辑（周雪光，2013）。第二，"条块双重约束"规则：职能部门角色（如环保局长）的行动同时受上级业务主管部门的条线约束和本级党委/政府的块块约束，违反任一方向的约束都触发制度合规警告。第三，"四套班子协作成本"规则：涉及党委/政府/人大/政协多方协同的决策，系统自动为该决策的时间成本乘以1.5-2.0的协作系数，体现多中心决策的现实摩擦。第四，"政治敏感度滤波器"：平台内置若干政治敏感度高的行动类型（如公开批评上级决策、直接联系全国性媒体等），这类行动在玩家确认时触发明确警告，提示当前政治风险等级，不禁止玩家选择，但确保玩家做出知情选择。</w:t>
      </w:r>
    </w:p>
    <w:p w14:paraId="0DC254B1">
      <w:pPr>
        <w:spacing w:before="60" w:after="60"/>
      </w:pPr>
    </w:p>
    <w:p w14:paraId="171E5BFF">
      <w:pPr>
        <w:pStyle w:val="3"/>
        <w:spacing w:before="320" w:after="140"/>
      </w:pPr>
      <w:r>
        <w:rPr>
          <w:rFonts w:ascii="Arial" w:hAnsi="Arial" w:eastAsia="Arial" w:cs="Arial"/>
          <w:b/>
          <w:bCs/>
          <w:color w:val="174A7E"/>
          <w:sz w:val="25"/>
          <w:szCs w:val="25"/>
        </w:rPr>
        <w:t>6.2 M2：央地关系模块</w:t>
      </w:r>
    </w:p>
    <w:p w14:paraId="3F1DA9D0">
      <w:pPr>
        <w:spacing w:before="80" w:after="80"/>
        <w:jc w:val="both"/>
      </w:pPr>
      <w:r>
        <w:rPr>
          <w:rFonts w:ascii="Arial" w:hAnsi="Arial" w:eastAsia="Arial" w:cs="Arial"/>
          <w:b w:val="0"/>
          <w:bCs w:val="0"/>
          <w:color w:val="111111"/>
          <w:sz w:val="22"/>
          <w:szCs w:val="22"/>
        </w:rPr>
        <w:t>M2模块编码了中央与地方之间委托代理关系的核心运作逻辑，其理论基础是周黎安（2007）的晋升锦标赛模型：地方官员围绕可量化绩效指标展开竞争，晋升激励深刻塑造行为模式。O'Brien &amp; Li（1999）的"选择性执行"研究揭示了地方在执行中央政策时的策略性变通空间，朱旭峰（2021）则阐明了"寓分权于集权"的制度张力。</w:t>
      </w:r>
    </w:p>
    <w:p w14:paraId="4A7537D4">
      <w:pPr>
        <w:spacing w:before="80" w:after="80"/>
        <w:jc w:val="both"/>
      </w:pPr>
      <w:r>
        <w:rPr>
          <w:rFonts w:ascii="Arial" w:hAnsi="Arial" w:eastAsia="Arial" w:cs="Arial"/>
          <w:b w:val="0"/>
          <w:bCs w:val="0"/>
          <w:color w:val="111111"/>
          <w:sz w:val="22"/>
          <w:szCs w:val="22"/>
        </w:rPr>
        <w:t>M2模块的核心规则编码如下。晋升锦标赛激励系数：官员角色的"政治安全分"（CLR维度的子指标）采用非线性权重设计——近期绩效的边际效用高于历史积累，模拟官员对近期表现的过度关注倾向。政治势能传导规则：当上级关注度参数超过阈值（默认&gt;7）时，系统自动触发跨层级的执行压力传导，使所有基层角色的决策速度提高但风险感知也同步上升。信息失真递增规则：每经过一个行政层级，信息精度自动按折损系数（0.1-0.3，用户可在配置层调整）递减，为科层体制中"信息的编辑与筛选"行为提供制度解释，这一机制来自周雪光（2013）关于官僚体制信息处理的理论分析。</w:t>
      </w:r>
    </w:p>
    <w:p w14:paraId="6AE54D40">
      <w:pPr>
        <w:spacing w:before="60" w:after="60"/>
      </w:pPr>
    </w:p>
    <w:p w14:paraId="3179DA26">
      <w:pPr>
        <w:pStyle w:val="3"/>
        <w:spacing w:before="320" w:after="140"/>
      </w:pPr>
      <w:r>
        <w:rPr>
          <w:rFonts w:ascii="Arial" w:hAnsi="Arial" w:eastAsia="Arial" w:cs="Arial"/>
          <w:b/>
          <w:bCs/>
          <w:color w:val="174A7E"/>
          <w:sz w:val="25"/>
          <w:szCs w:val="25"/>
        </w:rPr>
        <w:t>6.3 M3：府际关系模块</w:t>
      </w:r>
    </w:p>
    <w:p w14:paraId="74ED29A0">
      <w:pPr>
        <w:spacing w:before="80" w:after="80"/>
        <w:jc w:val="both"/>
      </w:pPr>
      <w:r>
        <w:rPr>
          <w:rFonts w:ascii="Arial" w:hAnsi="Arial" w:eastAsia="Arial" w:cs="Arial"/>
          <w:b w:val="0"/>
          <w:bCs w:val="0"/>
          <w:color w:val="111111"/>
          <w:sz w:val="22"/>
          <w:szCs w:val="22"/>
        </w:rPr>
        <w:t>M3模块处理水平行政区划间的协调问题，是政通推演坊中博弈复杂性最高的制度模块。其核心理论支柱是Feiock（2013，JPART）的制度性集体行动（ICA）框架，该框架明确指出水平协调的交易成本（包括信息成本、谈判成本和违约风险）是跨域合作失败的首要解释变量。方雷（2024）将"条块矛盾"归纳为中国治理结构的核心张力：垂直部门利益与属地政府利益之间的持续博弈产生了大量制度摩擦。</w:t>
      </w:r>
    </w:p>
    <w:p w14:paraId="266F1CFC">
      <w:pPr>
        <w:spacing w:before="80" w:after="80"/>
        <w:jc w:val="both"/>
      </w:pPr>
      <w:r>
        <w:rPr>
          <w:rFonts w:ascii="Arial" w:hAnsi="Arial" w:eastAsia="Arial" w:cs="Arial"/>
          <w:b w:val="0"/>
          <w:bCs w:val="0"/>
          <w:color w:val="111111"/>
          <w:sz w:val="22"/>
          <w:szCs w:val="22"/>
        </w:rPr>
        <w:t>M3模块的规则编码重点是"属地管理原则"：跨域问题的责任按行政边界优先划分，跨域协调必须双方同时同意才能启动，任何一方单方面强制协调都触发制度红线警告。横向协调交易成本的计算公式为：交易成本值 = 跨域依存度参数 × 信任水平倒数 × 协调主体数量的平方根。这个公式的核心逻辑来自Feiock的ICA模型：参与方越多、信任越低、依存度越高，协调成本越高。"对口支援"机制的激活需要提请省级批准（时间成本+2轮），但一旦获批可以突破资源稀缺约束，体现了高层级权威在打破横向壁垒中的关键作用（方雷，2024）。</w:t>
      </w:r>
    </w:p>
    <w:p w14:paraId="706F7136">
      <w:pPr>
        <w:spacing w:before="60" w:after="60"/>
      </w:pPr>
    </w:p>
    <w:p w14:paraId="2D95272A">
      <w:pPr>
        <w:pStyle w:val="3"/>
        <w:spacing w:before="320" w:after="140"/>
      </w:pPr>
      <w:r>
        <w:rPr>
          <w:rFonts w:ascii="Arial" w:hAnsi="Arial" w:eastAsia="Arial" w:cs="Arial"/>
          <w:b/>
          <w:bCs/>
          <w:color w:val="174A7E"/>
          <w:sz w:val="25"/>
          <w:szCs w:val="25"/>
        </w:rPr>
        <w:t>6.4 M4：政策过程模块</w:t>
      </w:r>
    </w:p>
    <w:p w14:paraId="5DABE0A7">
      <w:pPr>
        <w:spacing w:before="80" w:after="80"/>
        <w:jc w:val="both"/>
      </w:pPr>
      <w:r>
        <w:rPr>
          <w:rFonts w:ascii="Arial" w:hAnsi="Arial" w:eastAsia="Arial" w:cs="Arial"/>
          <w:b w:val="0"/>
          <w:bCs w:val="0"/>
          <w:color w:val="111111"/>
          <w:sz w:val="22"/>
          <w:szCs w:val="22"/>
        </w:rPr>
        <w:t>M4模块将政策过程理论中最经典的几个命题编码为推演规则。Kingdon（1984）的多源流模型（MSA）被编码为"政策窗口触发条件"：当公众关注（问题流）、议题倡导者存在（政策流）和高层政治支持（政治流）三个条件同时满足预设阈值时，系统触发"政策窗口"事件，此时创新探索类行动的通过概率显著上升（×1.8），时间窗口有限（默认持续2轮）。</w:t>
      </w:r>
    </w:p>
    <w:p w14:paraId="0AE6BEC1">
      <w:pPr>
        <w:spacing w:before="80" w:after="80"/>
        <w:jc w:val="both"/>
      </w:pPr>
      <w:r>
        <w:rPr>
          <w:rFonts w:ascii="Arial" w:hAnsi="Arial" w:eastAsia="Arial" w:cs="Arial"/>
          <w:b w:val="0"/>
          <w:bCs w:val="0"/>
          <w:color w:val="111111"/>
          <w:sz w:val="22"/>
          <w:szCs w:val="22"/>
        </w:rPr>
        <w:t>冯仕政（2011）的"运动式治理"理论被编码为"运动模式激活"规则：当问责压力参数超过预设阈值（用户在配置层可调整，默认&gt;7）时，推演进入运动模式，所有角色的KPI权重向政治安全维度收敛，CLR权重自动翻倍，体现了政治动员条件下激励结构的系统性扭曲。Heilmann（2008）的"试点扩散"机制被编码为"创新探索类行动的试点申请通道"：玩家可以申请将某个创新方案作为试点（需提请上级批准，时间成本+2轮），成功后政治风险降低30%但效果实现周期延长，体现了中国政策创新的渐进扩散逻辑。</w:t>
      </w:r>
    </w:p>
    <w:p w14:paraId="24FA7FE9">
      <w:pPr>
        <w:spacing w:before="60" w:after="60"/>
      </w:pPr>
    </w:p>
    <w:p w14:paraId="29091772">
      <w:pPr>
        <w:pStyle w:val="3"/>
        <w:spacing w:before="320" w:after="140"/>
      </w:pPr>
      <w:r>
        <w:rPr>
          <w:rFonts w:ascii="Arial" w:hAnsi="Arial" w:eastAsia="Arial" w:cs="Arial"/>
          <w:b/>
          <w:bCs/>
          <w:color w:val="174A7E"/>
          <w:sz w:val="25"/>
          <w:szCs w:val="25"/>
        </w:rPr>
        <w:t>6.5 M5：问责督察模块</w:t>
      </w:r>
    </w:p>
    <w:p w14:paraId="0C3F1D54">
      <w:pPr>
        <w:spacing w:before="80" w:after="80"/>
        <w:jc w:val="both"/>
      </w:pPr>
      <w:r>
        <w:rPr>
          <w:rFonts w:ascii="Arial" w:hAnsi="Arial" w:eastAsia="Arial" w:cs="Arial"/>
          <w:b w:val="0"/>
          <w:bCs w:val="0"/>
          <w:color w:val="111111"/>
          <w:sz w:val="22"/>
          <w:szCs w:val="22"/>
        </w:rPr>
        <w:t>M5模块编码了问责压力的间歇性特征和"终身追责"制度的长期效应。杨雪冬（2012）总结的"风险型行政"揭示了问责压力的核心特征：不是均匀持续的，而是间歇性高强度的（督察前密集、督察后松弛），这一间歇性深刻影响地方官员的时间偏好和风险策略。</w:t>
      </w:r>
    </w:p>
    <w:p w14:paraId="6EFF7027">
      <w:pPr>
        <w:spacing w:before="80" w:after="80"/>
        <w:jc w:val="both"/>
      </w:pPr>
      <w:r>
        <w:rPr>
          <w:rFonts w:ascii="Arial" w:hAnsi="Arial" w:eastAsia="Arial" w:cs="Arial"/>
          <w:b w:val="0"/>
          <w:bCs w:val="0"/>
          <w:color w:val="111111"/>
          <w:sz w:val="22"/>
          <w:szCs w:val="22"/>
        </w:rPr>
        <w:t>M5模块在游戏中的核心体现是"督察倒计时"机制：倒计时以周为单位，分为三个压力阶段——正常阶段（&gt;4周）：问责系数1.0；警戒阶段（2-4周）：问责系数×1.8，高风险行动的CLR惩罚加重；危机阶段（&lt;2周）：问责系数×2.5，运动模式自动激活风险上升。督察倒计时的具体数值是全局可见的（对所有玩家显示），但督察的具体关注重点只有特定角色（如由督察专员NPC持有）才知道，形成信息不对称压力。四轨问责（党纪/行政处分/监察/舆论问责）分别设有独立的触发条件，不同类型的违规行为触发不同类型的问责后果，避免了"一刀切"的过度简化。</w:t>
      </w:r>
    </w:p>
    <w:p w14:paraId="07A74F81">
      <w:pPr>
        <w:spacing w:before="60" w:after="60"/>
      </w:pPr>
    </w:p>
    <w:p w14:paraId="3CC307C2">
      <w:pPr>
        <w:pStyle w:val="3"/>
        <w:spacing w:before="320" w:after="140"/>
      </w:pPr>
      <w:r>
        <w:rPr>
          <w:rFonts w:ascii="Arial" w:hAnsi="Arial" w:eastAsia="Arial" w:cs="Arial"/>
          <w:b/>
          <w:bCs/>
          <w:color w:val="174A7E"/>
          <w:sz w:val="25"/>
          <w:szCs w:val="25"/>
        </w:rPr>
        <w:t>6.6 M6：政社关系模块</w:t>
      </w:r>
    </w:p>
    <w:p w14:paraId="39D7F2D8">
      <w:pPr>
        <w:spacing w:before="80" w:after="80"/>
        <w:jc w:val="both"/>
      </w:pPr>
      <w:r>
        <w:rPr>
          <w:rFonts w:ascii="Arial" w:hAnsi="Arial" w:eastAsia="Arial" w:cs="Arial"/>
          <w:b w:val="0"/>
          <w:bCs w:val="0"/>
          <w:color w:val="111111"/>
          <w:sz w:val="22"/>
          <w:szCs w:val="22"/>
        </w:rPr>
        <w:t>M6模块处理政府与社会行动者（媒体、NGO、公众）之间的互动，其核心理论基础是Wang &amp; Minzner（2015）的"授权边界"模型：社会行动者的行动空间取决于政治氛围的动态变化，政府通过调节授权宽窄来控制社会力量的参与边界。King等（2013, APSR）对中国网络信息管控的研究揭示了一个关键的非线性：政府容许个体批评但压制集体行动相关表达，这一发现被编码为"信息传播选择性过滤规则"。</w:t>
      </w:r>
    </w:p>
    <w:p w14:paraId="030071E4">
      <w:pPr>
        <w:spacing w:before="80" w:after="80"/>
        <w:jc w:val="both"/>
      </w:pPr>
      <w:r>
        <w:rPr>
          <w:rFonts w:ascii="Arial" w:hAnsi="Arial" w:eastAsia="Arial" w:cs="Arial"/>
          <w:b w:val="0"/>
          <w:bCs w:val="0"/>
          <w:color w:val="111111"/>
          <w:sz w:val="22"/>
          <w:szCs w:val="22"/>
        </w:rPr>
        <w:t>M6模块包含三个主要子机制。媒体生态三分机制：将媒体角色分为党报（传播速度慢但权威性高，主动传播门槛高）、市场化媒体（传播速度快、选择性报道、可被约谈）、社交媒体/舆情（传播最快、最难控制、通过舆情热度参数体现），三类媒体的差异化参数直接影响信息扩散速度和范围。信访升级阶梯：个体诉求（当前热度任意）→集体上访（热度&gt;50且连续2轮无政府实质回应）→群体性事件（热度&gt;75且5轮无实质回应），每级升级自动触发STS指标大幅下降和全局约束收紧。授权边界动态化：NGO角色的可用行动集合受"政治气候指数"（由upper_pressure参数决定）动态约束，压力高时信息透明类行动受限，压力低时参与空间扩大。</w:t>
      </w:r>
    </w:p>
    <w:p w14:paraId="75B5F0C5">
      <w:r>
        <w:br w:type="page"/>
      </w:r>
    </w:p>
    <w:p w14:paraId="0CBCD6C9">
      <w:pPr>
        <w:pStyle w:val="2"/>
        <w:pBdr>
          <w:bottom w:val="single" w:color="1A3A5C" w:sz="8" w:space="2"/>
        </w:pBdr>
        <w:spacing w:before="440" w:after="200"/>
      </w:pPr>
      <w:r>
        <w:rPr>
          <w:rFonts w:ascii="Arial" w:hAnsi="Arial" w:eastAsia="Arial" w:cs="Arial"/>
          <w:b/>
          <w:bCs/>
          <w:color w:val="1A3A5C"/>
          <w:sz w:val="30"/>
          <w:szCs w:val="30"/>
        </w:rPr>
        <w:t>七、L2配置层：九步配置工作流与二十四参数体系</w:t>
      </w:r>
    </w:p>
    <w:p w14:paraId="492D0E8B">
      <w:pPr>
        <w:spacing w:before="80" w:after="80"/>
        <w:jc w:val="both"/>
      </w:pPr>
      <w:r>
        <w:rPr>
          <w:rFonts w:ascii="Arial" w:hAnsi="Arial" w:eastAsia="Arial" w:cs="Arial"/>
          <w:b w:val="0"/>
          <w:bCs w:val="0"/>
          <w:color w:val="111111"/>
          <w:sz w:val="22"/>
          <w:szCs w:val="22"/>
        </w:rPr>
        <w:t>配置层是政通推演坊"可配置性"承诺的技术实现。本节详细描述教师和研究者如何通过九步工作流自主设计推演场景，以及二十四个参数的完整规格。核心原则再次强调：所有参数均有系统推荐的默认值，平台提供八个种子场景模板，但用户可以使用其中任意部分，也可以完全不使用模板从零创建。</w:t>
      </w:r>
    </w:p>
    <w:p w14:paraId="3E9A4D17">
      <w:pPr>
        <w:pStyle w:val="3"/>
        <w:spacing w:before="320" w:after="140"/>
      </w:pPr>
      <w:r>
        <w:rPr>
          <w:rFonts w:ascii="Arial" w:hAnsi="Arial" w:eastAsia="Arial" w:cs="Arial"/>
          <w:b/>
          <w:bCs/>
          <w:color w:val="174A7E"/>
          <w:sz w:val="25"/>
          <w:szCs w:val="25"/>
        </w:rPr>
        <w:t>7.1 九步配置工作流</w:t>
      </w:r>
    </w:p>
    <w:p w14:paraId="49C4FA58">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55C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5C19FB65">
            <w:pPr>
              <w:spacing w:before="60" w:after="100"/>
            </w:pPr>
            <w:r>
              <w:rPr>
                <w:rFonts w:ascii="Arial" w:hAnsi="Arial" w:eastAsia="Arial" w:cs="Arial"/>
                <w:b/>
                <w:bCs/>
                <w:color w:val="1A3A5C"/>
                <w:sz w:val="21"/>
                <w:szCs w:val="21"/>
              </w:rPr>
              <w:t>▌ 9步配置工作流总览</w:t>
            </w:r>
          </w:p>
          <w:p w14:paraId="4FFB5A00">
            <w:pPr>
              <w:spacing w:before="16" w:after="16"/>
            </w:pPr>
            <w:r>
              <w:rPr>
                <w:rFonts w:ascii="Courier New" w:hAnsi="Courier New" w:eastAsia="Courier New" w:cs="Courier New"/>
                <w:color w:val="1A2233"/>
                <w:sz w:val="19"/>
                <w:szCs w:val="19"/>
              </w:rPr>
              <w:t xml:space="preserve">  ┌────────────────────────────────────────────────────────────────────┐</w:t>
            </w:r>
          </w:p>
          <w:p w14:paraId="673F646A">
            <w:pPr>
              <w:spacing w:before="16" w:after="16"/>
            </w:pPr>
            <w:r>
              <w:rPr>
                <w:rFonts w:ascii="Courier New" w:hAnsi="Courier New" w:eastAsia="Courier New" w:cs="Courier New"/>
                <w:color w:val="1A2233"/>
                <w:sz w:val="19"/>
                <w:szCs w:val="19"/>
              </w:rPr>
              <w:t xml:space="preserve">  │                    教师/研究者 9步配置工作流                        │</w:t>
            </w:r>
          </w:p>
          <w:p w14:paraId="29D7A691">
            <w:pPr>
              <w:spacing w:before="16" w:after="16"/>
            </w:pPr>
            <w:r>
              <w:rPr>
                <w:rFonts w:ascii="Courier New" w:hAnsi="Courier New" w:eastAsia="Courier New" w:cs="Courier New"/>
                <w:color w:val="1A2233"/>
                <w:sz w:val="19"/>
                <w:szCs w:val="19"/>
              </w:rPr>
              <w:t xml:space="preserve">  └────────────────────────────────────────────────────────────────────┘</w:t>
            </w:r>
          </w:p>
          <w:p w14:paraId="76573BBA">
            <w:pPr>
              <w:spacing w:before="16" w:after="16"/>
            </w:pPr>
          </w:p>
          <w:p w14:paraId="2E10E64D">
            <w:pPr>
              <w:spacing w:before="16" w:after="16"/>
            </w:pPr>
            <w:r>
              <w:rPr>
                <w:rFonts w:ascii="Courier New" w:hAnsi="Courier New" w:eastAsia="Courier New" w:cs="Courier New"/>
                <w:color w:val="1A2233"/>
                <w:sz w:val="19"/>
                <w:szCs w:val="19"/>
              </w:rPr>
              <w:t xml:space="preserve">   Step1          Step2          Step3          Step4          Step5</w:t>
            </w:r>
          </w:p>
          <w:p w14:paraId="13D17F43">
            <w:pPr>
              <w:spacing w:before="16" w:after="16"/>
            </w:pPr>
            <w:r>
              <w:rPr>
                <w:rFonts w:ascii="Courier New" w:hAnsi="Courier New" w:eastAsia="Courier New" w:cs="Courier New"/>
                <w:color w:val="1A2233"/>
                <w:sz w:val="19"/>
                <w:szCs w:val="19"/>
              </w:rPr>
              <w:t xml:space="preserve">  [创建项目]  →  [场景构建]  →  [参数设定]  →  [角色设计]  →  [规则引擎]</w:t>
            </w:r>
          </w:p>
          <w:p w14:paraId="7DED4D21">
            <w:pPr>
              <w:spacing w:before="16" w:after="16"/>
            </w:pPr>
            <w:r>
              <w:rPr>
                <w:rFonts w:ascii="Courier New" w:hAnsi="Courier New" w:eastAsia="Courier New" w:cs="Courier New"/>
                <w:color w:val="1A2233"/>
                <w:sz w:val="19"/>
                <w:szCs w:val="19"/>
              </w:rPr>
              <w:t xml:space="preserve">   3-5分钟        10-20分钟      10-15分钟      20-40分钟      5-10分钟</w:t>
            </w:r>
          </w:p>
          <w:p w14:paraId="26857FAD">
            <w:pPr>
              <w:spacing w:before="16" w:after="16"/>
            </w:pPr>
          </w:p>
          <w:p w14:paraId="11CB81C5">
            <w:pPr>
              <w:spacing w:before="16" w:after="16"/>
            </w:pPr>
            <w:r>
              <w:rPr>
                <w:rFonts w:ascii="Courier New" w:hAnsi="Courier New" w:eastAsia="Courier New" w:cs="Courier New"/>
                <w:color w:val="1A2233"/>
                <w:sz w:val="19"/>
                <w:szCs w:val="19"/>
              </w:rPr>
              <w:t xml:space="preserve">   Step6          Step7          Step8          Step9</w:t>
            </w:r>
          </w:p>
          <w:p w14:paraId="7C63A3DD">
            <w:pPr>
              <w:spacing w:before="16" w:after="16"/>
            </w:pPr>
            <w:r>
              <w:rPr>
                <w:rFonts w:ascii="Courier New" w:hAnsi="Courier New" w:eastAsia="Courier New" w:cs="Courier New"/>
                <w:color w:val="1A2233"/>
                <w:sz w:val="19"/>
                <w:szCs w:val="19"/>
              </w:rPr>
              <w:t xml:space="preserve">  [知识绑定]  →  [事件脚本]  →  [沙盒测试]  →  [发布上线]</w:t>
            </w:r>
          </w:p>
          <w:p w14:paraId="3AB8F368">
            <w:pPr>
              <w:spacing w:before="16" w:after="16"/>
            </w:pPr>
            <w:r>
              <w:rPr>
                <w:rFonts w:ascii="Courier New" w:hAnsi="Courier New" w:eastAsia="Courier New" w:cs="Courier New"/>
                <w:color w:val="1A2233"/>
                <w:sz w:val="19"/>
                <w:szCs w:val="19"/>
              </w:rPr>
              <w:t xml:space="preserve">   15-30分钟      20-30分钟      20-40分钟      3-5分钟</w:t>
            </w:r>
          </w:p>
          <w:p w14:paraId="62AE4E31">
            <w:pPr>
              <w:spacing w:before="16" w:after="16"/>
            </w:pPr>
          </w:p>
          <w:p w14:paraId="5D0948EB">
            <w:pPr>
              <w:spacing w:before="16" w:after="16"/>
            </w:pPr>
            <w:r>
              <w:rPr>
                <w:rFonts w:ascii="Courier New" w:hAnsi="Courier New" w:eastAsia="Courier New" w:cs="Courier New"/>
                <w:color w:val="1A2233"/>
                <w:sz w:val="19"/>
                <w:szCs w:val="19"/>
              </w:rPr>
              <w:t xml:space="preserve">   ↓每步完成自动保存，可随时返回修改↓</w:t>
            </w:r>
          </w:p>
          <w:p w14:paraId="232BC4A6">
            <w:pPr>
              <w:spacing w:before="16" w:after="16"/>
            </w:pPr>
            <w:r>
              <w:rPr>
                <w:rFonts w:ascii="Courier New" w:hAnsi="Courier New" w:eastAsia="Courier New" w:cs="Courier New"/>
                <w:color w:val="1A2233"/>
                <w:sz w:val="19"/>
                <w:szCs w:val="19"/>
              </w:rPr>
              <w:t xml:space="preserve">   配置成果以 JSON Schema v2.0 格式存储，可导出/导入/版本比较</w:t>
            </w:r>
          </w:p>
        </w:tc>
      </w:tr>
    </w:tbl>
    <w:p w14:paraId="0658A18B">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6"/>
        <w:gridCol w:w="1411"/>
        <w:gridCol w:w="3292"/>
        <w:gridCol w:w="2893"/>
        <w:gridCol w:w="1058"/>
      </w:tblGrid>
      <w:tr w14:paraId="7629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6"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A84550D">
            <w:pPr>
              <w:spacing w:before="36" w:after="36"/>
              <w:jc w:val="center"/>
            </w:pPr>
            <w:r>
              <w:rPr>
                <w:rFonts w:ascii="Arial" w:hAnsi="Arial" w:eastAsia="Arial" w:cs="Arial"/>
                <w:b/>
                <w:bCs/>
                <w:color w:val="FFFFFF"/>
                <w:sz w:val="19"/>
                <w:szCs w:val="19"/>
              </w:rPr>
              <w:t>步骤</w:t>
            </w:r>
          </w:p>
        </w:tc>
        <w:tc>
          <w:tcPr>
            <w:tcW w:w="1411"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A71861D">
            <w:pPr>
              <w:spacing w:before="36" w:after="36"/>
              <w:jc w:val="center"/>
            </w:pPr>
            <w:r>
              <w:rPr>
                <w:rFonts w:ascii="Arial" w:hAnsi="Arial" w:eastAsia="Arial" w:cs="Arial"/>
                <w:b/>
                <w:bCs/>
                <w:color w:val="FFFFFF"/>
                <w:sz w:val="19"/>
                <w:szCs w:val="19"/>
              </w:rPr>
              <w:t>操作名称</w:t>
            </w:r>
          </w:p>
        </w:tc>
        <w:tc>
          <w:tcPr>
            <w:tcW w:w="3292"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2687800">
            <w:pPr>
              <w:spacing w:before="36" w:after="36"/>
              <w:jc w:val="center"/>
            </w:pPr>
            <w:r>
              <w:rPr>
                <w:rFonts w:ascii="Arial" w:hAnsi="Arial" w:eastAsia="Arial" w:cs="Arial"/>
                <w:b/>
                <w:bCs/>
                <w:color w:val="FFFFFF"/>
                <w:sz w:val="19"/>
                <w:szCs w:val="19"/>
              </w:rPr>
              <w:t>用户输入的内容</w:t>
            </w:r>
          </w:p>
        </w:tc>
        <w:tc>
          <w:tcPr>
            <w:tcW w:w="2893"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CFF873B">
            <w:pPr>
              <w:spacing w:before="36" w:after="36"/>
              <w:jc w:val="center"/>
            </w:pPr>
            <w:r>
              <w:rPr>
                <w:rFonts w:ascii="Arial" w:hAnsi="Arial" w:eastAsia="Arial" w:cs="Arial"/>
                <w:b/>
                <w:bCs/>
                <w:color w:val="FFFFFF"/>
                <w:sz w:val="19"/>
                <w:szCs w:val="19"/>
              </w:rPr>
              <w:t>系统响应与验证</w:t>
            </w:r>
          </w:p>
        </w:tc>
        <w:tc>
          <w:tcPr>
            <w:tcW w:w="1058"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EA11F42">
            <w:pPr>
              <w:spacing w:before="36" w:after="36"/>
              <w:jc w:val="center"/>
            </w:pPr>
            <w:r>
              <w:rPr>
                <w:rFonts w:ascii="Arial" w:hAnsi="Arial" w:eastAsia="Arial" w:cs="Arial"/>
                <w:b/>
                <w:bCs/>
                <w:color w:val="FFFFFF"/>
                <w:sz w:val="19"/>
                <w:szCs w:val="19"/>
              </w:rPr>
              <w:t>建议耗时</w:t>
            </w:r>
          </w:p>
        </w:tc>
      </w:tr>
      <w:tr w14:paraId="089CE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824AF6E">
            <w:pPr>
              <w:spacing w:before="36" w:after="36"/>
              <w:jc w:val="left"/>
            </w:pPr>
            <w:r>
              <w:rPr>
                <w:rFonts w:ascii="Arial" w:hAnsi="Arial" w:eastAsia="Arial" w:cs="Arial"/>
                <w:color w:val="222222"/>
                <w:sz w:val="20"/>
                <w:szCs w:val="20"/>
              </w:rPr>
              <w:t>Step 1</w:t>
            </w:r>
          </w:p>
        </w:tc>
        <w:tc>
          <w:tcPr>
            <w:tcW w:w="141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7B3E745">
            <w:pPr>
              <w:spacing w:before="36" w:after="36"/>
              <w:jc w:val="left"/>
            </w:pPr>
            <w:r>
              <w:rPr>
                <w:rFonts w:ascii="Arial" w:hAnsi="Arial" w:eastAsia="Arial" w:cs="Arial"/>
                <w:color w:val="222222"/>
                <w:sz w:val="20"/>
                <w:szCs w:val="20"/>
              </w:rPr>
              <w:t>创建项目</w:t>
            </w:r>
          </w:p>
        </w:tc>
        <w:tc>
          <w:tcPr>
            <w:tcW w:w="329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E42EB83">
            <w:pPr>
              <w:spacing w:before="36" w:after="36"/>
              <w:jc w:val="left"/>
            </w:pPr>
            <w:r>
              <w:rPr>
                <w:rFonts w:ascii="Arial" w:hAnsi="Arial" w:eastAsia="Arial" w:cs="Arial"/>
                <w:color w:val="222222"/>
                <w:sz w:val="20"/>
                <w:szCs w:val="20"/>
              </w:rPr>
              <w:t>项目名称/所属课程或研究项目/目标用户层次（学生/公务员/研究被试）/预计运行次数/数据使用授权级别（教学/匿名研究/完整研究）</w:t>
            </w:r>
          </w:p>
        </w:tc>
        <w:tc>
          <w:tcPr>
            <w:tcW w:w="2893"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0CB4567">
            <w:pPr>
              <w:spacing w:before="36" w:after="36"/>
              <w:jc w:val="left"/>
            </w:pPr>
            <w:r>
              <w:rPr>
                <w:rFonts w:ascii="Arial" w:hAnsi="Arial" w:eastAsia="Arial" w:cs="Arial"/>
                <w:color w:val="222222"/>
                <w:sz w:val="20"/>
                <w:szCs w:val="20"/>
              </w:rPr>
              <w:t>分配唯一项目ID；初始化数据存储空间；自动提示推荐的下一步操作</w:t>
            </w:r>
          </w:p>
        </w:tc>
        <w:tc>
          <w:tcPr>
            <w:tcW w:w="1058"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F1E5244">
            <w:pPr>
              <w:spacing w:before="36" w:after="36"/>
              <w:jc w:val="left"/>
            </w:pPr>
            <w:r>
              <w:rPr>
                <w:rFonts w:ascii="Arial" w:hAnsi="Arial" w:eastAsia="Arial" w:cs="Arial"/>
                <w:color w:val="222222"/>
                <w:sz w:val="20"/>
                <w:szCs w:val="20"/>
              </w:rPr>
              <w:t>3-5分钟</w:t>
            </w:r>
          </w:p>
        </w:tc>
      </w:tr>
      <w:tr w14:paraId="192E7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0E1D8BE">
            <w:pPr>
              <w:spacing w:before="36" w:after="36"/>
              <w:jc w:val="left"/>
            </w:pPr>
            <w:r>
              <w:rPr>
                <w:rFonts w:ascii="Arial" w:hAnsi="Arial" w:eastAsia="Arial" w:cs="Arial"/>
                <w:color w:val="222222"/>
                <w:sz w:val="20"/>
                <w:szCs w:val="20"/>
              </w:rPr>
              <w:t>Step 2</w:t>
            </w:r>
          </w:p>
        </w:tc>
        <w:tc>
          <w:tcPr>
            <w:tcW w:w="141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7901120">
            <w:pPr>
              <w:spacing w:before="36" w:after="36"/>
              <w:jc w:val="left"/>
            </w:pPr>
            <w:r>
              <w:rPr>
                <w:rFonts w:ascii="Arial" w:hAnsi="Arial" w:eastAsia="Arial" w:cs="Arial"/>
                <w:color w:val="222222"/>
                <w:sz w:val="20"/>
                <w:szCs w:val="20"/>
              </w:rPr>
              <w:t>场景构建</w:t>
            </w:r>
          </w:p>
        </w:tc>
        <w:tc>
          <w:tcPr>
            <w:tcW w:w="329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55A16E7">
            <w:pPr>
              <w:spacing w:before="36" w:after="36"/>
              <w:jc w:val="left"/>
            </w:pPr>
            <w:r>
              <w:rPr>
                <w:rFonts w:ascii="Arial" w:hAnsi="Arial" w:eastAsia="Arial" w:cs="Arial"/>
                <w:color w:val="222222"/>
                <w:sz w:val="20"/>
                <w:szCs w:val="20"/>
              </w:rPr>
              <w:t>从模板库选择种子场景（可选），或填写自定义场景：背景文本（≤600字）/核心矛盾描述/涉及的行政区划/时间设定/场景类型标签（多选）</w:t>
            </w:r>
          </w:p>
        </w:tc>
        <w:tc>
          <w:tcPr>
            <w:tcW w:w="2893"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D9C9977">
            <w:pPr>
              <w:spacing w:before="36" w:after="36"/>
              <w:jc w:val="left"/>
            </w:pPr>
            <w:r>
              <w:rPr>
                <w:rFonts w:ascii="Arial" w:hAnsi="Arial" w:eastAsia="Arial" w:cs="Arial"/>
                <w:color w:val="222222"/>
                <w:sz w:val="20"/>
                <w:szCs w:val="20"/>
              </w:rPr>
              <w:t>识别场景类型标签；推荐匹配的角色体系和知识库主题；标注种子场景与自定义内容的边界</w:t>
            </w:r>
          </w:p>
        </w:tc>
        <w:tc>
          <w:tcPr>
            <w:tcW w:w="1058"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CC3A0BB">
            <w:pPr>
              <w:spacing w:before="36" w:after="36"/>
              <w:jc w:val="left"/>
            </w:pPr>
            <w:r>
              <w:rPr>
                <w:rFonts w:ascii="Arial" w:hAnsi="Arial" w:eastAsia="Arial" w:cs="Arial"/>
                <w:color w:val="222222"/>
                <w:sz w:val="20"/>
                <w:szCs w:val="20"/>
              </w:rPr>
              <w:t>10-20分钟</w:t>
            </w:r>
          </w:p>
        </w:tc>
      </w:tr>
      <w:tr w14:paraId="4D34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E5A5F77">
            <w:pPr>
              <w:spacing w:before="36" w:after="36"/>
              <w:jc w:val="left"/>
            </w:pPr>
            <w:r>
              <w:rPr>
                <w:rFonts w:ascii="Arial" w:hAnsi="Arial" w:eastAsia="Arial" w:cs="Arial"/>
                <w:color w:val="222222"/>
                <w:sz w:val="20"/>
                <w:szCs w:val="20"/>
              </w:rPr>
              <w:t>Step 3</w:t>
            </w:r>
          </w:p>
        </w:tc>
        <w:tc>
          <w:tcPr>
            <w:tcW w:w="141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6B63E6B">
            <w:pPr>
              <w:spacing w:before="36" w:after="36"/>
              <w:jc w:val="left"/>
            </w:pPr>
            <w:r>
              <w:rPr>
                <w:rFonts w:ascii="Arial" w:hAnsi="Arial" w:eastAsia="Arial" w:cs="Arial"/>
                <w:color w:val="222222"/>
                <w:sz w:val="20"/>
                <w:szCs w:val="20"/>
              </w:rPr>
              <w:t>参数设定</w:t>
            </w:r>
          </w:p>
        </w:tc>
        <w:tc>
          <w:tcPr>
            <w:tcW w:w="329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8035F67">
            <w:pPr>
              <w:spacing w:before="36" w:after="36"/>
              <w:jc w:val="left"/>
            </w:pPr>
            <w:r>
              <w:rPr>
                <w:rFonts w:ascii="Arial" w:hAnsi="Arial" w:eastAsia="Arial" w:cs="Arial"/>
                <w:color w:val="222222"/>
                <w:sz w:val="20"/>
                <w:szCs w:val="20"/>
              </w:rPr>
              <w:t>调节24个参数（分A/B/C/D四组，每组6个，含折叠说明面板）；可使用场景类型推荐的默认值一键填充</w:t>
            </w:r>
          </w:p>
        </w:tc>
        <w:tc>
          <w:tcPr>
            <w:tcW w:w="2893"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852F20C">
            <w:pPr>
              <w:spacing w:before="36" w:after="36"/>
              <w:jc w:val="left"/>
            </w:pPr>
            <w:r>
              <w:rPr>
                <w:rFonts w:ascii="Arial" w:hAnsi="Arial" w:eastAsia="Arial" w:cs="Arial"/>
                <w:color w:val="222222"/>
                <w:sz w:val="20"/>
                <w:szCs w:val="20"/>
              </w:rPr>
              <w:t>实时参数有效性验证；参数冲突自动警告（如制度刚性=10但开放大量创新类行动，系统警告逻辑矛盾）</w:t>
            </w:r>
          </w:p>
        </w:tc>
        <w:tc>
          <w:tcPr>
            <w:tcW w:w="1058"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BAF4D6F">
            <w:pPr>
              <w:spacing w:before="36" w:after="36"/>
              <w:jc w:val="left"/>
            </w:pPr>
            <w:r>
              <w:rPr>
                <w:rFonts w:ascii="Arial" w:hAnsi="Arial" w:eastAsia="Arial" w:cs="Arial"/>
                <w:color w:val="222222"/>
                <w:sz w:val="20"/>
                <w:szCs w:val="20"/>
              </w:rPr>
              <w:t>10-15分钟</w:t>
            </w:r>
          </w:p>
        </w:tc>
      </w:tr>
      <w:tr w14:paraId="2A27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9B7D92D">
            <w:pPr>
              <w:spacing w:before="36" w:after="36"/>
              <w:jc w:val="left"/>
            </w:pPr>
            <w:r>
              <w:rPr>
                <w:rFonts w:ascii="Arial" w:hAnsi="Arial" w:eastAsia="Arial" w:cs="Arial"/>
                <w:color w:val="222222"/>
                <w:sz w:val="20"/>
                <w:szCs w:val="20"/>
              </w:rPr>
              <w:t>Step 4</w:t>
            </w:r>
          </w:p>
        </w:tc>
        <w:tc>
          <w:tcPr>
            <w:tcW w:w="141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456EF0F">
            <w:pPr>
              <w:spacing w:before="36" w:after="36"/>
              <w:jc w:val="left"/>
            </w:pPr>
            <w:r>
              <w:rPr>
                <w:rFonts w:ascii="Arial" w:hAnsi="Arial" w:eastAsia="Arial" w:cs="Arial"/>
                <w:color w:val="222222"/>
                <w:sz w:val="20"/>
                <w:szCs w:val="20"/>
              </w:rPr>
              <w:t>角色设计</w:t>
            </w:r>
          </w:p>
        </w:tc>
        <w:tc>
          <w:tcPr>
            <w:tcW w:w="329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5B37137">
            <w:pPr>
              <w:spacing w:before="36" w:after="36"/>
              <w:jc w:val="left"/>
            </w:pPr>
            <w:r>
              <w:rPr>
                <w:rFonts w:ascii="Arial" w:hAnsi="Arial" w:eastAsia="Arial" w:cs="Arial"/>
                <w:color w:val="222222"/>
                <w:sz w:val="20"/>
                <w:szCs w:val="20"/>
              </w:rPr>
              <w:t>设定参与角色数量（2-12），为每个角色填写7要素（见7.3节）；可从角色库选择预设角色并修改，也可从零创建</w:t>
            </w:r>
          </w:p>
        </w:tc>
        <w:tc>
          <w:tcPr>
            <w:tcW w:w="2893"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F38C8E2">
            <w:pPr>
              <w:spacing w:before="36" w:after="36"/>
              <w:jc w:val="left"/>
            </w:pPr>
            <w:r>
              <w:rPr>
                <w:rFonts w:ascii="Arial" w:hAnsi="Arial" w:eastAsia="Arial" w:cs="Arial"/>
                <w:color w:val="222222"/>
                <w:sz w:val="20"/>
                <w:szCs w:val="20"/>
              </w:rPr>
              <w:t>自动检查KPI权重是否=100%；检查角色间是否存在≥2对潜在利益冲突（若无，警告博弈性不足）</w:t>
            </w:r>
          </w:p>
        </w:tc>
        <w:tc>
          <w:tcPr>
            <w:tcW w:w="1058"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0CFFF2C">
            <w:pPr>
              <w:spacing w:before="36" w:after="36"/>
              <w:jc w:val="left"/>
            </w:pPr>
            <w:r>
              <w:rPr>
                <w:rFonts w:ascii="Arial" w:hAnsi="Arial" w:eastAsia="Arial" w:cs="Arial"/>
                <w:color w:val="222222"/>
                <w:sz w:val="20"/>
                <w:szCs w:val="20"/>
              </w:rPr>
              <w:t>20-40分钟</w:t>
            </w:r>
          </w:p>
        </w:tc>
      </w:tr>
      <w:tr w14:paraId="60D8A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ED1CF5E">
            <w:pPr>
              <w:spacing w:before="36" w:after="36"/>
              <w:jc w:val="left"/>
            </w:pPr>
            <w:r>
              <w:rPr>
                <w:rFonts w:ascii="Arial" w:hAnsi="Arial" w:eastAsia="Arial" w:cs="Arial"/>
                <w:color w:val="222222"/>
                <w:sz w:val="20"/>
                <w:szCs w:val="20"/>
              </w:rPr>
              <w:t>Step 5</w:t>
            </w:r>
          </w:p>
        </w:tc>
        <w:tc>
          <w:tcPr>
            <w:tcW w:w="141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301C5E7">
            <w:pPr>
              <w:spacing w:before="36" w:after="36"/>
              <w:jc w:val="left"/>
            </w:pPr>
            <w:r>
              <w:rPr>
                <w:rFonts w:ascii="Arial" w:hAnsi="Arial" w:eastAsia="Arial" w:cs="Arial"/>
                <w:color w:val="222222"/>
                <w:sz w:val="20"/>
                <w:szCs w:val="20"/>
              </w:rPr>
              <w:t>规则引擎</w:t>
            </w:r>
          </w:p>
        </w:tc>
        <w:tc>
          <w:tcPr>
            <w:tcW w:w="329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99BD278">
            <w:pPr>
              <w:spacing w:before="36" w:after="36"/>
              <w:jc w:val="left"/>
            </w:pPr>
            <w:r>
              <w:rPr>
                <w:rFonts w:ascii="Arial" w:hAnsi="Arial" w:eastAsia="Arial" w:cs="Arial"/>
                <w:color w:val="222222"/>
                <w:sz w:val="20"/>
                <w:szCs w:val="20"/>
              </w:rPr>
              <w:t>设定推演阶段数/各阶段时长/单决策时限/协商窗口时长/私信限制次数/AI NPC填充数量，以及是否开放自定义选项、联署功能等高级规则</w:t>
            </w:r>
          </w:p>
        </w:tc>
        <w:tc>
          <w:tcPr>
            <w:tcW w:w="2893"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625B434">
            <w:pPr>
              <w:spacing w:before="36" w:after="36"/>
              <w:jc w:val="left"/>
            </w:pPr>
            <w:r>
              <w:rPr>
                <w:rFonts w:ascii="Arial" w:hAnsi="Arial" w:eastAsia="Arial" w:cs="Arial"/>
                <w:color w:val="222222"/>
                <w:sz w:val="20"/>
                <w:szCs w:val="20"/>
              </w:rPr>
              <w:t>生成规则引擎配置文档；预估总推演时长（=Σ阶段时长+协商时间×阶段数）；提示若时长超过N小时建议分次</w:t>
            </w:r>
          </w:p>
        </w:tc>
        <w:tc>
          <w:tcPr>
            <w:tcW w:w="1058"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81F11B4">
            <w:pPr>
              <w:spacing w:before="36" w:after="36"/>
              <w:jc w:val="left"/>
            </w:pPr>
            <w:r>
              <w:rPr>
                <w:rFonts w:ascii="Arial" w:hAnsi="Arial" w:eastAsia="Arial" w:cs="Arial"/>
                <w:color w:val="222222"/>
                <w:sz w:val="20"/>
                <w:szCs w:val="20"/>
              </w:rPr>
              <w:t>5-10分钟</w:t>
            </w:r>
          </w:p>
        </w:tc>
      </w:tr>
      <w:tr w14:paraId="2C22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9CCAEDD">
            <w:pPr>
              <w:spacing w:before="36" w:after="36"/>
              <w:jc w:val="left"/>
            </w:pPr>
            <w:r>
              <w:rPr>
                <w:rFonts w:ascii="Arial" w:hAnsi="Arial" w:eastAsia="Arial" w:cs="Arial"/>
                <w:color w:val="222222"/>
                <w:sz w:val="20"/>
                <w:szCs w:val="20"/>
              </w:rPr>
              <w:t>Step 6</w:t>
            </w:r>
          </w:p>
        </w:tc>
        <w:tc>
          <w:tcPr>
            <w:tcW w:w="141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69C1DEE">
            <w:pPr>
              <w:spacing w:before="36" w:after="36"/>
              <w:jc w:val="left"/>
            </w:pPr>
            <w:r>
              <w:rPr>
                <w:rFonts w:ascii="Arial" w:hAnsi="Arial" w:eastAsia="Arial" w:cs="Arial"/>
                <w:color w:val="222222"/>
                <w:sz w:val="20"/>
                <w:szCs w:val="20"/>
              </w:rPr>
              <w:t>知识绑定</w:t>
            </w:r>
          </w:p>
        </w:tc>
        <w:tc>
          <w:tcPr>
            <w:tcW w:w="329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7130903">
            <w:pPr>
              <w:spacing w:before="36" w:after="36"/>
              <w:jc w:val="left"/>
            </w:pPr>
            <w:r>
              <w:rPr>
                <w:rFonts w:ascii="Arial" w:hAnsi="Arial" w:eastAsia="Arial" w:cs="Arial"/>
                <w:color w:val="222222"/>
                <w:sz w:val="20"/>
                <w:szCs w:val="20"/>
              </w:rPr>
              <w:t>选择使用L1/L2/L3知识库的哪些部分（可多选）；上传私有材料（PDF/Word/TXT）；设定RAG参数（K值/相关度阈值/文献展示方式）</w:t>
            </w:r>
          </w:p>
        </w:tc>
        <w:tc>
          <w:tcPr>
            <w:tcW w:w="2893"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BC318A3">
            <w:pPr>
              <w:spacing w:before="36" w:after="36"/>
              <w:jc w:val="left"/>
            </w:pPr>
            <w:r>
              <w:rPr>
                <w:rFonts w:ascii="Arial" w:hAnsi="Arial" w:eastAsia="Arial" w:cs="Arial"/>
                <w:color w:val="222222"/>
                <w:sz w:val="20"/>
                <w:szCs w:val="20"/>
              </w:rPr>
              <w:t>处理上传文件（预计时长&lt;15分钟）；显示知识覆盖热力图；预览每个主要决策节点的样本选项集</w:t>
            </w:r>
          </w:p>
        </w:tc>
        <w:tc>
          <w:tcPr>
            <w:tcW w:w="1058"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7B33346">
            <w:pPr>
              <w:spacing w:before="36" w:after="36"/>
              <w:jc w:val="left"/>
            </w:pPr>
            <w:r>
              <w:rPr>
                <w:rFonts w:ascii="Arial" w:hAnsi="Arial" w:eastAsia="Arial" w:cs="Arial"/>
                <w:color w:val="222222"/>
                <w:sz w:val="20"/>
                <w:szCs w:val="20"/>
              </w:rPr>
              <w:t>15-30分钟</w:t>
            </w:r>
          </w:p>
        </w:tc>
      </w:tr>
      <w:tr w14:paraId="0CE4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800533A">
            <w:pPr>
              <w:spacing w:before="36" w:after="36"/>
              <w:jc w:val="left"/>
            </w:pPr>
            <w:r>
              <w:rPr>
                <w:rFonts w:ascii="Arial" w:hAnsi="Arial" w:eastAsia="Arial" w:cs="Arial"/>
                <w:color w:val="222222"/>
                <w:sz w:val="20"/>
                <w:szCs w:val="20"/>
              </w:rPr>
              <w:t>Step 7</w:t>
            </w:r>
          </w:p>
        </w:tc>
        <w:tc>
          <w:tcPr>
            <w:tcW w:w="141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16860FE">
            <w:pPr>
              <w:spacing w:before="36" w:after="36"/>
              <w:jc w:val="left"/>
            </w:pPr>
            <w:r>
              <w:rPr>
                <w:rFonts w:ascii="Arial" w:hAnsi="Arial" w:eastAsia="Arial" w:cs="Arial"/>
                <w:color w:val="222222"/>
                <w:sz w:val="20"/>
                <w:szCs w:val="20"/>
              </w:rPr>
              <w:t>事件脚本</w:t>
            </w:r>
          </w:p>
        </w:tc>
        <w:tc>
          <w:tcPr>
            <w:tcW w:w="329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A8A2A95">
            <w:pPr>
              <w:spacing w:before="36" w:after="36"/>
              <w:jc w:val="left"/>
            </w:pPr>
            <w:r>
              <w:rPr>
                <w:rFonts w:ascii="Arial" w:hAnsi="Arial" w:eastAsia="Arial" w:cs="Arial"/>
                <w:color w:val="222222"/>
                <w:sz w:val="20"/>
                <w:szCs w:val="20"/>
              </w:rPr>
              <w:t>设计4-10张事件卡片，每张包含：触发条件（指标阈值/阶段条件/随机概率）/接收对象/事件文本（全体可见/差异化推送）/指标直接修正值</w:t>
            </w:r>
          </w:p>
        </w:tc>
        <w:tc>
          <w:tcPr>
            <w:tcW w:w="2893"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7848FFC">
            <w:pPr>
              <w:spacing w:before="36" w:after="36"/>
              <w:jc w:val="left"/>
            </w:pPr>
            <w:r>
              <w:rPr>
                <w:rFonts w:ascii="Arial" w:hAnsi="Arial" w:eastAsia="Arial" w:cs="Arial"/>
                <w:color w:val="222222"/>
                <w:sz w:val="20"/>
                <w:szCs w:val="20"/>
              </w:rPr>
              <w:t>验证触发条件逻辑无冲突；检查事件覆盖关键博弈节点；生成事件序列时间轴预览</w:t>
            </w:r>
          </w:p>
        </w:tc>
        <w:tc>
          <w:tcPr>
            <w:tcW w:w="1058"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7ECDF15">
            <w:pPr>
              <w:spacing w:before="36" w:after="36"/>
              <w:jc w:val="left"/>
            </w:pPr>
            <w:r>
              <w:rPr>
                <w:rFonts w:ascii="Arial" w:hAnsi="Arial" w:eastAsia="Arial" w:cs="Arial"/>
                <w:color w:val="222222"/>
                <w:sz w:val="20"/>
                <w:szCs w:val="20"/>
              </w:rPr>
              <w:t>20-30分钟</w:t>
            </w:r>
          </w:p>
        </w:tc>
      </w:tr>
      <w:tr w14:paraId="7151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15B5971">
            <w:pPr>
              <w:spacing w:before="36" w:after="36"/>
              <w:jc w:val="left"/>
            </w:pPr>
            <w:r>
              <w:rPr>
                <w:rFonts w:ascii="Arial" w:hAnsi="Arial" w:eastAsia="Arial" w:cs="Arial"/>
                <w:color w:val="222222"/>
                <w:sz w:val="20"/>
                <w:szCs w:val="20"/>
              </w:rPr>
              <w:t>Step 8</w:t>
            </w:r>
          </w:p>
        </w:tc>
        <w:tc>
          <w:tcPr>
            <w:tcW w:w="141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D093F19">
            <w:pPr>
              <w:spacing w:before="36" w:after="36"/>
              <w:jc w:val="left"/>
            </w:pPr>
            <w:r>
              <w:rPr>
                <w:rFonts w:ascii="Arial" w:hAnsi="Arial" w:eastAsia="Arial" w:cs="Arial"/>
                <w:color w:val="222222"/>
                <w:sz w:val="20"/>
                <w:szCs w:val="20"/>
              </w:rPr>
              <w:t>沙盒测试</w:t>
            </w:r>
          </w:p>
        </w:tc>
        <w:tc>
          <w:tcPr>
            <w:tcW w:w="329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C9FEB6F">
            <w:pPr>
              <w:spacing w:before="36" w:after="36"/>
              <w:jc w:val="left"/>
            </w:pPr>
            <w:r>
              <w:rPr>
                <w:rFonts w:ascii="Arial" w:hAnsi="Arial" w:eastAsia="Arial" w:cs="Arial"/>
                <w:color w:val="222222"/>
                <w:sz w:val="20"/>
                <w:szCs w:val="20"/>
              </w:rPr>
              <w:t>进入单人沙盒测试模式，逐一检验各角色视角、RAG选项质量、事件触发效果、指标变化逻辑</w:t>
            </w:r>
          </w:p>
        </w:tc>
        <w:tc>
          <w:tcPr>
            <w:tcW w:w="2893"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9A4D781">
            <w:pPr>
              <w:spacing w:before="36" w:after="36"/>
              <w:jc w:val="left"/>
            </w:pPr>
            <w:r>
              <w:rPr>
                <w:rFonts w:ascii="Arial" w:hAnsi="Arial" w:eastAsia="Arial" w:cs="Arial"/>
                <w:color w:val="222222"/>
                <w:sz w:val="20"/>
                <w:szCs w:val="20"/>
              </w:rPr>
              <w:t>输出测试报告（问题列表+建议修改项）；可从测试报告直接跳回对应配置步骤修改</w:t>
            </w:r>
          </w:p>
        </w:tc>
        <w:tc>
          <w:tcPr>
            <w:tcW w:w="1058"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15E3F09">
            <w:pPr>
              <w:spacing w:before="36" w:after="36"/>
              <w:jc w:val="left"/>
            </w:pPr>
            <w:r>
              <w:rPr>
                <w:rFonts w:ascii="Arial" w:hAnsi="Arial" w:eastAsia="Arial" w:cs="Arial"/>
                <w:color w:val="222222"/>
                <w:sz w:val="20"/>
                <w:szCs w:val="20"/>
              </w:rPr>
              <w:t>20-40分钟</w:t>
            </w:r>
          </w:p>
        </w:tc>
      </w:tr>
      <w:tr w14:paraId="41C8F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6"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229AD5E">
            <w:pPr>
              <w:spacing w:before="36" w:after="36"/>
              <w:jc w:val="left"/>
            </w:pPr>
            <w:r>
              <w:rPr>
                <w:rFonts w:ascii="Arial" w:hAnsi="Arial" w:eastAsia="Arial" w:cs="Arial"/>
                <w:color w:val="222222"/>
                <w:sz w:val="20"/>
                <w:szCs w:val="20"/>
              </w:rPr>
              <w:t>Step 9</w:t>
            </w:r>
          </w:p>
        </w:tc>
        <w:tc>
          <w:tcPr>
            <w:tcW w:w="141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46A237A">
            <w:pPr>
              <w:spacing w:before="36" w:after="36"/>
              <w:jc w:val="left"/>
            </w:pPr>
            <w:r>
              <w:rPr>
                <w:rFonts w:ascii="Arial" w:hAnsi="Arial" w:eastAsia="Arial" w:cs="Arial"/>
                <w:color w:val="222222"/>
                <w:sz w:val="20"/>
                <w:szCs w:val="20"/>
              </w:rPr>
              <w:t>发布上线</w:t>
            </w:r>
          </w:p>
        </w:tc>
        <w:tc>
          <w:tcPr>
            <w:tcW w:w="329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2D2930D">
            <w:pPr>
              <w:spacing w:before="36" w:after="36"/>
              <w:jc w:val="left"/>
            </w:pPr>
            <w:r>
              <w:rPr>
                <w:rFonts w:ascii="Arial" w:hAnsi="Arial" w:eastAsia="Arial" w:cs="Arial"/>
                <w:color w:val="222222"/>
                <w:sz w:val="20"/>
                <w:szCs w:val="20"/>
              </w:rPr>
              <w:t>设定房间容量/访问方式（链接/密码/班级绑定）/数据授权等级；选择是否开启旁观者模式</w:t>
            </w:r>
          </w:p>
        </w:tc>
        <w:tc>
          <w:tcPr>
            <w:tcW w:w="2893"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DC135F1">
            <w:pPr>
              <w:spacing w:before="36" w:after="36"/>
              <w:jc w:val="left"/>
            </w:pPr>
            <w:r>
              <w:rPr>
                <w:rFonts w:ascii="Arial" w:hAnsi="Arial" w:eastAsia="Arial" w:cs="Arial"/>
                <w:color w:val="222222"/>
                <w:sz w:val="20"/>
                <w:szCs w:val="20"/>
              </w:rPr>
              <w:t>发布上线；生成加入链接和二维码；开启实时监控控制台；配置JSON文件自动备份</w:t>
            </w:r>
          </w:p>
        </w:tc>
        <w:tc>
          <w:tcPr>
            <w:tcW w:w="1058"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B8800FD">
            <w:pPr>
              <w:spacing w:before="36" w:after="36"/>
              <w:jc w:val="left"/>
            </w:pPr>
            <w:r>
              <w:rPr>
                <w:rFonts w:ascii="Arial" w:hAnsi="Arial" w:eastAsia="Arial" w:cs="Arial"/>
                <w:color w:val="222222"/>
                <w:sz w:val="20"/>
                <w:szCs w:val="20"/>
              </w:rPr>
              <w:t>3-5分钟</w:t>
            </w:r>
          </w:p>
        </w:tc>
      </w:tr>
    </w:tbl>
    <w:p w14:paraId="1ACCB7A0">
      <w:pPr>
        <w:spacing w:before="60" w:after="60"/>
      </w:pPr>
    </w:p>
    <w:p w14:paraId="077DAFAE">
      <w:pPr>
        <w:pStyle w:val="3"/>
        <w:spacing w:before="320" w:after="140"/>
      </w:pPr>
      <w:r>
        <w:rPr>
          <w:rFonts w:ascii="Arial" w:hAnsi="Arial" w:eastAsia="Arial" w:cs="Arial"/>
          <w:b/>
          <w:bCs/>
          <w:color w:val="174A7E"/>
          <w:sz w:val="25"/>
          <w:szCs w:val="25"/>
        </w:rPr>
        <w:t>7.2 二十四参数完整规格</w:t>
      </w:r>
    </w:p>
    <w:p w14:paraId="1E3BE1E7">
      <w:pPr>
        <w:spacing w:before="80" w:after="80"/>
        <w:jc w:val="both"/>
      </w:pPr>
      <w:r>
        <w:rPr>
          <w:rFonts w:ascii="Arial" w:hAnsi="Arial" w:eastAsia="Arial" w:cs="Arial"/>
          <w:b w:val="0"/>
          <w:bCs w:val="0"/>
          <w:color w:val="111111"/>
          <w:sz w:val="22"/>
          <w:szCs w:val="22"/>
        </w:rPr>
        <w:t>二十四个参数分为四组，每组六个，分别控制场景的辖区环境、压力动态、结构约束和博弈规则。以下逐组列出完整规格，包括参数名称、符号、取值范围、默认值、含义和跨参数逻辑。每个参数在配置界面都有说明文档，点击问号图标可展开含义解释、推荐取值范围和文献依据。</w:t>
      </w:r>
    </w:p>
    <w:p w14:paraId="04E16FF9">
      <w:pPr>
        <w:pStyle w:val="4"/>
        <w:spacing w:before="220" w:after="100"/>
      </w:pPr>
      <w:r>
        <w:rPr>
          <w:rFonts w:ascii="Arial" w:hAnsi="Arial" w:eastAsia="Arial" w:cs="Arial"/>
          <w:b/>
          <w:bCs/>
          <w:color w:val="1B5E96"/>
          <w:sz w:val="22"/>
          <w:szCs w:val="22"/>
        </w:rPr>
        <w:t>A组：辖区环境参数（6个）</w:t>
      </w:r>
    </w:p>
    <w:p w14:paraId="19498604">
      <w:pPr>
        <w:spacing w:before="80" w:after="80"/>
        <w:jc w:val="both"/>
      </w:pPr>
      <w:r>
        <w:rPr>
          <w:rFonts w:ascii="Arial" w:hAnsi="Arial" w:eastAsia="Arial" w:cs="Arial"/>
          <w:b w:val="0"/>
          <w:bCs w:val="0"/>
          <w:color w:val="111111"/>
          <w:sz w:val="22"/>
          <w:szCs w:val="22"/>
        </w:rPr>
        <w:t>A组参数描述推演场景所在行政区划的基本客观特征，构成博弈发生的"物质基础"。这些参数不直接反映任何人的决策，而是设定了全部玩家共同面对的环境约束。</w:t>
      </w:r>
    </w:p>
    <w:p w14:paraId="7A654A39">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5"/>
        <w:gridCol w:w="1450"/>
        <w:gridCol w:w="1444"/>
        <w:gridCol w:w="957"/>
        <w:gridCol w:w="4054"/>
      </w:tblGrid>
      <w:tr w14:paraId="0DEF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5DDF5ED4">
            <w:pPr>
              <w:spacing w:before="36" w:after="36"/>
              <w:jc w:val="center"/>
            </w:pPr>
            <w:r>
              <w:rPr>
                <w:rFonts w:ascii="Arial" w:hAnsi="Arial" w:eastAsia="Arial" w:cs="Arial"/>
                <w:b/>
                <w:bCs/>
                <w:color w:val="FFFFFF"/>
                <w:sz w:val="19"/>
                <w:szCs w:val="19"/>
              </w:rPr>
              <w:t>参数名称</w:t>
            </w:r>
          </w:p>
        </w:tc>
        <w:tc>
          <w:tcPr>
            <w:tcW w:w="9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E148B57">
            <w:pPr>
              <w:spacing w:before="36" w:after="36"/>
              <w:jc w:val="center"/>
            </w:pPr>
            <w:r>
              <w:rPr>
                <w:rFonts w:ascii="Arial" w:hAnsi="Arial" w:eastAsia="Arial" w:cs="Arial"/>
                <w:b/>
                <w:bCs/>
                <w:color w:val="FFFFFF"/>
                <w:sz w:val="19"/>
                <w:szCs w:val="19"/>
              </w:rPr>
              <w:t>符号</w:t>
            </w:r>
          </w:p>
        </w:tc>
        <w:tc>
          <w:tcPr>
            <w:tcW w:w="15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4DFE3BEB">
            <w:pPr>
              <w:spacing w:before="36" w:after="36"/>
              <w:jc w:val="center"/>
            </w:pPr>
            <w:r>
              <w:rPr>
                <w:rFonts w:ascii="Arial" w:hAnsi="Arial" w:eastAsia="Arial" w:cs="Arial"/>
                <w:b/>
                <w:bCs/>
                <w:color w:val="FFFFFF"/>
                <w:sz w:val="19"/>
                <w:szCs w:val="19"/>
              </w:rPr>
              <w:t>取值范围</w:t>
            </w:r>
          </w:p>
        </w:tc>
        <w:tc>
          <w:tcPr>
            <w:tcW w:w="1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3DC2DF7F">
            <w:pPr>
              <w:spacing w:before="36" w:after="36"/>
              <w:jc w:val="center"/>
            </w:pPr>
            <w:r>
              <w:rPr>
                <w:rFonts w:ascii="Arial" w:hAnsi="Arial" w:eastAsia="Arial" w:cs="Arial"/>
                <w:b/>
                <w:bCs/>
                <w:color w:val="FFFFFF"/>
                <w:sz w:val="19"/>
                <w:szCs w:val="19"/>
              </w:rPr>
              <w:t>默认值</w:t>
            </w:r>
          </w:p>
        </w:tc>
        <w:tc>
          <w:tcPr>
            <w:tcW w:w="43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5CF771B">
            <w:pPr>
              <w:spacing w:before="36" w:after="36"/>
              <w:jc w:val="center"/>
            </w:pPr>
            <w:r>
              <w:rPr>
                <w:rFonts w:ascii="Arial" w:hAnsi="Arial" w:eastAsia="Arial" w:cs="Arial"/>
                <w:b/>
                <w:bCs/>
                <w:color w:val="FFFFFF"/>
                <w:sz w:val="19"/>
                <w:szCs w:val="19"/>
              </w:rPr>
              <w:t>含义与跨参数逻辑</w:t>
            </w:r>
          </w:p>
        </w:tc>
      </w:tr>
      <w:tr w14:paraId="3680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AEEE09A">
            <w:pPr>
              <w:spacing w:before="36" w:after="36"/>
              <w:jc w:val="left"/>
            </w:pPr>
            <w:r>
              <w:rPr>
                <w:rFonts w:ascii="Arial" w:hAnsi="Arial" w:eastAsia="Arial" w:cs="Arial"/>
                <w:color w:val="222222"/>
                <w:sz w:val="20"/>
                <w:szCs w:val="20"/>
              </w:rPr>
              <w:t>行政级别</w:t>
            </w:r>
          </w:p>
        </w:tc>
        <w:tc>
          <w:tcPr>
            <w:tcW w:w="9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AE7D87E">
            <w:pPr>
              <w:spacing w:before="36" w:after="36"/>
              <w:jc w:val="left"/>
            </w:pPr>
            <w:r>
              <w:rPr>
                <w:rFonts w:ascii="Arial" w:hAnsi="Arial" w:eastAsia="Arial" w:cs="Arial"/>
                <w:color w:val="222222"/>
                <w:sz w:val="20"/>
                <w:szCs w:val="20"/>
              </w:rPr>
              <w:t>admin_level</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E959420">
            <w:pPr>
              <w:spacing w:before="36" w:after="36"/>
              <w:jc w:val="left"/>
            </w:pPr>
            <w:r>
              <w:rPr>
                <w:rFonts w:ascii="Arial" w:hAnsi="Arial" w:eastAsia="Arial" w:cs="Arial"/>
                <w:color w:val="222222"/>
                <w:sz w:val="20"/>
                <w:szCs w:val="20"/>
              </w:rPr>
              <w:t>省/市/县/乡（枚举）</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1853A7F">
            <w:pPr>
              <w:spacing w:before="36" w:after="36"/>
              <w:jc w:val="left"/>
            </w:pPr>
            <w:r>
              <w:rPr>
                <w:rFonts w:ascii="Arial" w:hAnsi="Arial" w:eastAsia="Arial" w:cs="Arial"/>
                <w:color w:val="222222"/>
                <w:sz w:val="20"/>
                <w:szCs w:val="20"/>
              </w:rPr>
              <w:t>县/市</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DE583CF">
            <w:pPr>
              <w:spacing w:before="36" w:after="36"/>
              <w:jc w:val="left"/>
            </w:pPr>
            <w:r>
              <w:rPr>
                <w:rFonts w:ascii="Arial" w:hAnsi="Arial" w:eastAsia="Arial" w:cs="Arial"/>
                <w:color w:val="222222"/>
                <w:sz w:val="20"/>
                <w:szCs w:val="20"/>
              </w:rPr>
              <w:t>决定权限上限、问责基准强度和资源调配能力。省级×1.3系数；乡镇资源极度稀缺，联署类行动交易成本×1.4</w:t>
            </w:r>
          </w:p>
        </w:tc>
      </w:tr>
      <w:tr w14:paraId="26F38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4E6B80F">
            <w:pPr>
              <w:spacing w:before="36" w:after="36"/>
              <w:jc w:val="left"/>
            </w:pPr>
            <w:r>
              <w:rPr>
                <w:rFonts w:ascii="Arial" w:hAnsi="Arial" w:eastAsia="Arial" w:cs="Arial"/>
                <w:color w:val="222222"/>
                <w:sz w:val="20"/>
                <w:szCs w:val="20"/>
              </w:rPr>
              <w:t>常住人口</w:t>
            </w:r>
          </w:p>
        </w:tc>
        <w:tc>
          <w:tcPr>
            <w:tcW w:w="9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EB0D228">
            <w:pPr>
              <w:spacing w:before="36" w:after="36"/>
              <w:jc w:val="left"/>
            </w:pPr>
            <w:r>
              <w:rPr>
                <w:rFonts w:ascii="Arial" w:hAnsi="Arial" w:eastAsia="Arial" w:cs="Arial"/>
                <w:color w:val="222222"/>
                <w:sz w:val="20"/>
                <w:szCs w:val="20"/>
              </w:rPr>
              <w:t>pop_scale</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57CF522">
            <w:pPr>
              <w:spacing w:before="36" w:after="36"/>
              <w:jc w:val="left"/>
            </w:pPr>
            <w:r>
              <w:rPr>
                <w:rFonts w:ascii="Arial" w:hAnsi="Arial" w:eastAsia="Arial" w:cs="Arial"/>
                <w:color w:val="222222"/>
                <w:sz w:val="20"/>
                <w:szCs w:val="20"/>
              </w:rPr>
              <w:t>5-3000万人</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5578FD8">
            <w:pPr>
              <w:spacing w:before="36" w:after="36"/>
              <w:jc w:val="left"/>
            </w:pPr>
            <w:r>
              <w:rPr>
                <w:rFonts w:ascii="Arial" w:hAnsi="Arial" w:eastAsia="Arial" w:cs="Arial"/>
                <w:color w:val="222222"/>
                <w:sz w:val="20"/>
                <w:szCs w:val="20"/>
              </w:rPr>
              <w:t>100万</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EC3CF2D">
            <w:pPr>
              <w:spacing w:before="36" w:after="36"/>
              <w:jc w:val="left"/>
            </w:pPr>
            <w:r>
              <w:rPr>
                <w:rFonts w:ascii="Arial" w:hAnsi="Arial" w:eastAsia="Arial" w:cs="Arial"/>
                <w:color w:val="222222"/>
                <w:sz w:val="20"/>
                <w:szCs w:val="20"/>
              </w:rPr>
              <w:t>&gt;200万时群体事件风险基数×1.5；&lt;30万时媒体关注基数×0.7；影响社会沟通类行动的覆盖范围估算</w:t>
            </w:r>
          </w:p>
        </w:tc>
      </w:tr>
      <w:tr w14:paraId="66FA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C4CF281">
            <w:pPr>
              <w:spacing w:before="36" w:after="36"/>
              <w:jc w:val="left"/>
            </w:pPr>
            <w:r>
              <w:rPr>
                <w:rFonts w:ascii="Arial" w:hAnsi="Arial" w:eastAsia="Arial" w:cs="Arial"/>
                <w:color w:val="222222"/>
                <w:sz w:val="20"/>
                <w:szCs w:val="20"/>
              </w:rPr>
              <w:t>财政自给率</w:t>
            </w:r>
          </w:p>
        </w:tc>
        <w:tc>
          <w:tcPr>
            <w:tcW w:w="9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7C4551E">
            <w:pPr>
              <w:spacing w:before="36" w:after="36"/>
              <w:jc w:val="left"/>
            </w:pPr>
            <w:r>
              <w:rPr>
                <w:rFonts w:ascii="Arial" w:hAnsi="Arial" w:eastAsia="Arial" w:cs="Arial"/>
                <w:color w:val="222222"/>
                <w:sz w:val="20"/>
                <w:szCs w:val="20"/>
              </w:rPr>
              <w:t>fiscal_ratio</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6CF649E">
            <w:pPr>
              <w:spacing w:before="36" w:after="36"/>
              <w:jc w:val="left"/>
            </w:pPr>
            <w:r>
              <w:rPr>
                <w:rFonts w:ascii="Arial" w:hAnsi="Arial" w:eastAsia="Arial" w:cs="Arial"/>
                <w:color w:val="222222"/>
                <w:sz w:val="20"/>
                <w:szCs w:val="20"/>
              </w:rPr>
              <w:t>20-120%</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829FF11">
            <w:pPr>
              <w:spacing w:before="36" w:after="36"/>
              <w:jc w:val="left"/>
            </w:pPr>
            <w:r>
              <w:rPr>
                <w:rFonts w:ascii="Arial" w:hAnsi="Arial" w:eastAsia="Arial" w:cs="Arial"/>
                <w:color w:val="222222"/>
                <w:sz w:val="20"/>
                <w:szCs w:val="20"/>
              </w:rPr>
              <w:t>55%</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9FA72F3">
            <w:pPr>
              <w:spacing w:before="36" w:after="36"/>
              <w:jc w:val="left"/>
            </w:pPr>
            <w:r>
              <w:rPr>
                <w:rFonts w:ascii="Arial" w:hAnsi="Arial" w:eastAsia="Arial" w:cs="Arial"/>
                <w:color w:val="222222"/>
                <w:sz w:val="20"/>
                <w:szCs w:val="20"/>
              </w:rPr>
              <w:t>&lt;60%触发财政约束机制（资源调配类行动成本+30%）；&gt;90%增加地方自主度；与资源稀缺度参数强正相关</w:t>
            </w:r>
          </w:p>
        </w:tc>
      </w:tr>
      <w:tr w14:paraId="0CB4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F11489C">
            <w:pPr>
              <w:spacing w:before="36" w:after="36"/>
              <w:jc w:val="left"/>
            </w:pPr>
            <w:r>
              <w:rPr>
                <w:rFonts w:ascii="Arial" w:hAnsi="Arial" w:eastAsia="Arial" w:cs="Arial"/>
                <w:color w:val="222222"/>
                <w:sz w:val="20"/>
                <w:szCs w:val="20"/>
              </w:rPr>
              <w:t>主导产业</w:t>
            </w:r>
          </w:p>
        </w:tc>
        <w:tc>
          <w:tcPr>
            <w:tcW w:w="9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D5C0721">
            <w:pPr>
              <w:spacing w:before="36" w:after="36"/>
              <w:jc w:val="left"/>
            </w:pPr>
            <w:r>
              <w:rPr>
                <w:rFonts w:ascii="Arial" w:hAnsi="Arial" w:eastAsia="Arial" w:cs="Arial"/>
                <w:color w:val="222222"/>
                <w:sz w:val="20"/>
                <w:szCs w:val="20"/>
              </w:rPr>
              <w:t>industry_type</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2DA295B">
            <w:pPr>
              <w:spacing w:before="36" w:after="36"/>
              <w:jc w:val="left"/>
            </w:pPr>
            <w:r>
              <w:rPr>
                <w:rFonts w:ascii="Arial" w:hAnsi="Arial" w:eastAsia="Arial" w:cs="Arial"/>
                <w:color w:val="222222"/>
                <w:sz w:val="20"/>
                <w:szCs w:val="20"/>
              </w:rPr>
              <w:t>重工/轻工/农业/服务/混合（枚举）</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90BD4BE">
            <w:pPr>
              <w:spacing w:before="36" w:after="36"/>
              <w:jc w:val="left"/>
            </w:pPr>
            <w:r>
              <w:rPr>
                <w:rFonts w:ascii="Arial" w:hAnsi="Arial" w:eastAsia="Arial" w:cs="Arial"/>
                <w:color w:val="222222"/>
                <w:sz w:val="20"/>
                <w:szCs w:val="20"/>
              </w:rPr>
              <w:t>重工业</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16FE557">
            <w:pPr>
              <w:spacing w:before="36" w:after="36"/>
              <w:jc w:val="left"/>
            </w:pPr>
            <w:r>
              <w:rPr>
                <w:rFonts w:ascii="Arial" w:hAnsi="Arial" w:eastAsia="Arial" w:cs="Arial"/>
                <w:color w:val="222222"/>
                <w:sz w:val="20"/>
                <w:szCs w:val="20"/>
              </w:rPr>
              <w:t>重工业场景：关停企业的就业风险系数+30%；农业主导：土地矛盾风险系数+20%；服务业：媒体开放度基准↑</w:t>
            </w:r>
          </w:p>
        </w:tc>
      </w:tr>
      <w:tr w14:paraId="00BA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651BD05">
            <w:pPr>
              <w:spacing w:before="36" w:after="36"/>
              <w:jc w:val="left"/>
            </w:pPr>
            <w:r>
              <w:rPr>
                <w:rFonts w:ascii="Arial" w:hAnsi="Arial" w:eastAsia="Arial" w:cs="Arial"/>
                <w:color w:val="222222"/>
                <w:sz w:val="20"/>
                <w:szCs w:val="20"/>
              </w:rPr>
              <w:t>历史遗留问题</w:t>
            </w:r>
          </w:p>
        </w:tc>
        <w:tc>
          <w:tcPr>
            <w:tcW w:w="9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3E08D3A">
            <w:pPr>
              <w:spacing w:before="36" w:after="36"/>
              <w:jc w:val="left"/>
            </w:pPr>
            <w:r>
              <w:rPr>
                <w:rFonts w:ascii="Arial" w:hAnsi="Arial" w:eastAsia="Arial" w:cs="Arial"/>
                <w:color w:val="222222"/>
                <w:sz w:val="20"/>
                <w:szCs w:val="20"/>
              </w:rPr>
              <w:t>legacy_score</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69C8467">
            <w:pPr>
              <w:spacing w:before="36" w:after="36"/>
              <w:jc w:val="left"/>
            </w:pPr>
            <w:r>
              <w:rPr>
                <w:rFonts w:ascii="Arial" w:hAnsi="Arial" w:eastAsia="Arial" w:cs="Arial"/>
                <w:color w:val="222222"/>
                <w:sz w:val="20"/>
                <w:szCs w:val="20"/>
              </w:rPr>
              <w:t>1-10整数</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0393A5D">
            <w:pPr>
              <w:spacing w:before="36" w:after="36"/>
              <w:jc w:val="left"/>
            </w:pPr>
            <w:r>
              <w:rPr>
                <w:rFonts w:ascii="Arial" w:hAnsi="Arial" w:eastAsia="Arial" w:cs="Arial"/>
                <w:color w:val="222222"/>
                <w:sz w:val="20"/>
                <w:szCs w:val="20"/>
              </w:rPr>
              <w:t>4</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20DA59C">
            <w:pPr>
              <w:spacing w:before="36" w:after="36"/>
              <w:jc w:val="left"/>
            </w:pPr>
            <w:r>
              <w:rPr>
                <w:rFonts w:ascii="Arial" w:hAnsi="Arial" w:eastAsia="Arial" w:cs="Arial"/>
                <w:color w:val="222222"/>
                <w:sz w:val="20"/>
                <w:szCs w:val="20"/>
              </w:rPr>
              <w:t>&gt;6则初始社会信任水平（STS）强制≤45；影响跨域协调交易成本（+legacy×0.5），体现历史因素对协作的制约</w:t>
            </w:r>
          </w:p>
        </w:tc>
      </w:tr>
      <w:tr w14:paraId="7750F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242693A">
            <w:pPr>
              <w:spacing w:before="36" w:after="36"/>
              <w:jc w:val="left"/>
            </w:pPr>
            <w:r>
              <w:rPr>
                <w:rFonts w:ascii="Arial" w:hAnsi="Arial" w:eastAsia="Arial" w:cs="Arial"/>
                <w:color w:val="222222"/>
                <w:sz w:val="20"/>
                <w:szCs w:val="20"/>
              </w:rPr>
              <w:t>城镇化率</w:t>
            </w:r>
          </w:p>
        </w:tc>
        <w:tc>
          <w:tcPr>
            <w:tcW w:w="9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CF9A7A4">
            <w:pPr>
              <w:spacing w:before="36" w:after="36"/>
              <w:jc w:val="left"/>
            </w:pPr>
            <w:r>
              <w:rPr>
                <w:rFonts w:ascii="Arial" w:hAnsi="Arial" w:eastAsia="Arial" w:cs="Arial"/>
                <w:color w:val="222222"/>
                <w:sz w:val="20"/>
                <w:szCs w:val="20"/>
              </w:rPr>
              <w:t>urbanization</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BB46247">
            <w:pPr>
              <w:spacing w:before="36" w:after="36"/>
              <w:jc w:val="left"/>
            </w:pPr>
            <w:r>
              <w:rPr>
                <w:rFonts w:ascii="Arial" w:hAnsi="Arial" w:eastAsia="Arial" w:cs="Arial"/>
                <w:color w:val="222222"/>
                <w:sz w:val="20"/>
                <w:szCs w:val="20"/>
              </w:rPr>
              <w:t>15-100%</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C8E2B1A">
            <w:pPr>
              <w:spacing w:before="36" w:after="36"/>
              <w:jc w:val="left"/>
            </w:pPr>
            <w:r>
              <w:rPr>
                <w:rFonts w:ascii="Arial" w:hAnsi="Arial" w:eastAsia="Arial" w:cs="Arial"/>
                <w:color w:val="222222"/>
                <w:sz w:val="20"/>
                <w:szCs w:val="20"/>
              </w:rPr>
              <w:t>45%</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DB35C38">
            <w:pPr>
              <w:spacing w:before="36" w:after="36"/>
              <w:jc w:val="left"/>
            </w:pPr>
            <w:r>
              <w:rPr>
                <w:rFonts w:ascii="Arial" w:hAnsi="Arial" w:eastAsia="Arial" w:cs="Arial"/>
                <w:color w:val="222222"/>
                <w:sz w:val="20"/>
                <w:szCs w:val="20"/>
              </w:rPr>
              <w:t>&gt;60%社交媒体传播速度×1.3（城市人口使用率高）；&lt;40%集体上访发生概率×1.4（农村动员能力更强）</w:t>
            </w:r>
          </w:p>
        </w:tc>
      </w:tr>
    </w:tbl>
    <w:p w14:paraId="712A0BB9">
      <w:pPr>
        <w:spacing w:before="60" w:after="60"/>
      </w:pPr>
    </w:p>
    <w:p w14:paraId="6252E799">
      <w:pPr>
        <w:pStyle w:val="4"/>
        <w:spacing w:before="220" w:after="100"/>
      </w:pPr>
      <w:r>
        <w:rPr>
          <w:rFonts w:ascii="Arial" w:hAnsi="Arial" w:eastAsia="Arial" w:cs="Arial"/>
          <w:b/>
          <w:bCs/>
          <w:color w:val="1B5E96"/>
          <w:sz w:val="22"/>
          <w:szCs w:val="22"/>
        </w:rPr>
        <w:t>B组：压力动态参数（6个）</w:t>
      </w:r>
    </w:p>
    <w:p w14:paraId="35077C8A">
      <w:pPr>
        <w:spacing w:before="80" w:after="80"/>
        <w:jc w:val="both"/>
      </w:pPr>
      <w:r>
        <w:rPr>
          <w:rFonts w:ascii="Arial" w:hAnsi="Arial" w:eastAsia="Arial" w:cs="Arial"/>
          <w:b w:val="0"/>
          <w:bCs w:val="0"/>
          <w:color w:val="111111"/>
          <w:sz w:val="22"/>
          <w:szCs w:val="22"/>
        </w:rPr>
        <w:t>B组参数控制推演中的各类外部压力来源，直接影响玩家的风险感知和决策倾向。这组参数是教学设计中最常被调整的一组：教师可以通过调高督察倒计时创造紧迫感，或调低舆情初始热度降低推演难度。</w:t>
      </w:r>
    </w:p>
    <w:p w14:paraId="1578661F">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850"/>
        <w:gridCol w:w="1227"/>
        <w:gridCol w:w="919"/>
        <w:gridCol w:w="3964"/>
      </w:tblGrid>
      <w:tr w14:paraId="341E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25A025E">
            <w:pPr>
              <w:spacing w:before="36" w:after="36"/>
              <w:jc w:val="center"/>
            </w:pPr>
            <w:r>
              <w:rPr>
                <w:rFonts w:ascii="Arial" w:hAnsi="Arial" w:eastAsia="Arial" w:cs="Arial"/>
                <w:b/>
                <w:bCs/>
                <w:color w:val="FFFFFF"/>
                <w:sz w:val="19"/>
                <w:szCs w:val="19"/>
              </w:rPr>
              <w:t>参数名称</w:t>
            </w:r>
          </w:p>
        </w:tc>
        <w:tc>
          <w:tcPr>
            <w:tcW w:w="11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E5CDB30">
            <w:pPr>
              <w:spacing w:before="36" w:after="36"/>
              <w:jc w:val="center"/>
            </w:pPr>
            <w:r>
              <w:rPr>
                <w:rFonts w:ascii="Arial" w:hAnsi="Arial" w:eastAsia="Arial" w:cs="Arial"/>
                <w:b/>
                <w:bCs/>
                <w:color w:val="FFFFFF"/>
                <w:sz w:val="19"/>
                <w:szCs w:val="19"/>
              </w:rPr>
              <w:t>符号</w:t>
            </w:r>
          </w:p>
        </w:tc>
        <w:tc>
          <w:tcPr>
            <w:tcW w:w="13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52C4CCFD">
            <w:pPr>
              <w:spacing w:before="36" w:after="36"/>
              <w:jc w:val="center"/>
            </w:pPr>
            <w:r>
              <w:rPr>
                <w:rFonts w:ascii="Arial" w:hAnsi="Arial" w:eastAsia="Arial" w:cs="Arial"/>
                <w:b/>
                <w:bCs/>
                <w:color w:val="FFFFFF"/>
                <w:sz w:val="19"/>
                <w:szCs w:val="19"/>
              </w:rPr>
              <w:t>取值范围</w:t>
            </w:r>
          </w:p>
        </w:tc>
        <w:tc>
          <w:tcPr>
            <w:tcW w:w="1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5203BA28">
            <w:pPr>
              <w:spacing w:before="36" w:after="36"/>
              <w:jc w:val="center"/>
            </w:pPr>
            <w:r>
              <w:rPr>
                <w:rFonts w:ascii="Arial" w:hAnsi="Arial" w:eastAsia="Arial" w:cs="Arial"/>
                <w:b/>
                <w:bCs/>
                <w:color w:val="FFFFFF"/>
                <w:sz w:val="19"/>
                <w:szCs w:val="19"/>
              </w:rPr>
              <w:t>默认值</w:t>
            </w:r>
          </w:p>
        </w:tc>
        <w:tc>
          <w:tcPr>
            <w:tcW w:w="43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50ACA40">
            <w:pPr>
              <w:spacing w:before="36" w:after="36"/>
              <w:jc w:val="center"/>
            </w:pPr>
            <w:r>
              <w:rPr>
                <w:rFonts w:ascii="Arial" w:hAnsi="Arial" w:eastAsia="Arial" w:cs="Arial"/>
                <w:b/>
                <w:bCs/>
                <w:color w:val="FFFFFF"/>
                <w:sz w:val="19"/>
                <w:szCs w:val="19"/>
              </w:rPr>
              <w:t>含义与跨参数逻辑</w:t>
            </w:r>
          </w:p>
        </w:tc>
      </w:tr>
      <w:tr w14:paraId="68F2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31DDCEA">
            <w:pPr>
              <w:spacing w:before="36" w:after="36"/>
              <w:jc w:val="left"/>
            </w:pPr>
            <w:r>
              <w:rPr>
                <w:rFonts w:ascii="Arial" w:hAnsi="Arial" w:eastAsia="Arial" w:cs="Arial"/>
                <w:color w:val="222222"/>
                <w:sz w:val="20"/>
                <w:szCs w:val="20"/>
              </w:rPr>
              <w:t>督察倒计时</w:t>
            </w:r>
          </w:p>
        </w:tc>
        <w:tc>
          <w:tcPr>
            <w:tcW w:w="11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A6F724C">
            <w:pPr>
              <w:spacing w:before="36" w:after="36"/>
              <w:jc w:val="left"/>
            </w:pPr>
            <w:r>
              <w:rPr>
                <w:rFonts w:ascii="Arial" w:hAnsi="Arial" w:eastAsia="Arial" w:cs="Arial"/>
                <w:color w:val="222222"/>
                <w:sz w:val="20"/>
                <w:szCs w:val="20"/>
              </w:rPr>
              <w:t>insp_countdown</w:t>
            </w:r>
          </w:p>
        </w:tc>
        <w:tc>
          <w:tcPr>
            <w:tcW w:w="13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E55BA96">
            <w:pPr>
              <w:spacing w:before="36" w:after="36"/>
              <w:jc w:val="left"/>
            </w:pPr>
            <w:r>
              <w:rPr>
                <w:rFonts w:ascii="Arial" w:hAnsi="Arial" w:eastAsia="Arial" w:cs="Arial"/>
                <w:color w:val="222222"/>
                <w:sz w:val="20"/>
                <w:szCs w:val="20"/>
              </w:rPr>
              <w:t>0-26周</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C1A4E01">
            <w:pPr>
              <w:spacing w:before="36" w:after="36"/>
              <w:jc w:val="left"/>
            </w:pPr>
            <w:r>
              <w:rPr>
                <w:rFonts w:ascii="Arial" w:hAnsi="Arial" w:eastAsia="Arial" w:cs="Arial"/>
                <w:color w:val="222222"/>
                <w:sz w:val="20"/>
                <w:szCs w:val="20"/>
              </w:rPr>
              <w:t>8周</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9CD49E8">
            <w:pPr>
              <w:spacing w:before="36" w:after="36"/>
              <w:jc w:val="left"/>
            </w:pPr>
            <w:r>
              <w:rPr>
                <w:rFonts w:ascii="Arial" w:hAnsi="Arial" w:eastAsia="Arial" w:cs="Arial"/>
                <w:color w:val="222222"/>
                <w:sz w:val="20"/>
                <w:szCs w:val="20"/>
              </w:rPr>
              <w:t>最重要的压力参数。&lt;4周：问责风险系数×1.8；=0：全局决策风险×2.5并自动触发运动模式。研究模式建议精确设置以控制实验条件</w:t>
            </w:r>
          </w:p>
        </w:tc>
      </w:tr>
      <w:tr w14:paraId="0986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715C69F">
            <w:pPr>
              <w:spacing w:before="36" w:after="36"/>
              <w:jc w:val="left"/>
            </w:pPr>
            <w:r>
              <w:rPr>
                <w:rFonts w:ascii="Arial" w:hAnsi="Arial" w:eastAsia="Arial" w:cs="Arial"/>
                <w:color w:val="222222"/>
                <w:sz w:val="20"/>
                <w:szCs w:val="20"/>
              </w:rPr>
              <w:t>舆情初始热度</w:t>
            </w:r>
          </w:p>
        </w:tc>
        <w:tc>
          <w:tcPr>
            <w:tcW w:w="11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4500EDF">
            <w:pPr>
              <w:spacing w:before="36" w:after="36"/>
              <w:jc w:val="left"/>
            </w:pPr>
            <w:r>
              <w:rPr>
                <w:rFonts w:ascii="Arial" w:hAnsi="Arial" w:eastAsia="Arial" w:cs="Arial"/>
                <w:color w:val="222222"/>
                <w:sz w:val="20"/>
                <w:szCs w:val="20"/>
              </w:rPr>
              <w:t>public_heat0</w:t>
            </w:r>
          </w:p>
        </w:tc>
        <w:tc>
          <w:tcPr>
            <w:tcW w:w="13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3ED7D9F">
            <w:pPr>
              <w:spacing w:before="36" w:after="36"/>
              <w:jc w:val="left"/>
            </w:pPr>
            <w:r>
              <w:rPr>
                <w:rFonts w:ascii="Arial" w:hAnsi="Arial" w:eastAsia="Arial" w:cs="Arial"/>
                <w:color w:val="222222"/>
                <w:sz w:val="20"/>
                <w:szCs w:val="20"/>
              </w:rPr>
              <w:t>0-100分</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9013B92">
            <w:pPr>
              <w:spacing w:before="36" w:after="36"/>
              <w:jc w:val="left"/>
            </w:pPr>
            <w:r>
              <w:rPr>
                <w:rFonts w:ascii="Arial" w:hAnsi="Arial" w:eastAsia="Arial" w:cs="Arial"/>
                <w:color w:val="222222"/>
                <w:sz w:val="20"/>
                <w:szCs w:val="20"/>
              </w:rPr>
              <w:t>20分</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EEE8D6A">
            <w:pPr>
              <w:spacing w:before="36" w:after="36"/>
              <w:jc w:val="left"/>
            </w:pPr>
            <w:r>
              <w:rPr>
                <w:rFonts w:ascii="Arial" w:hAnsi="Arial" w:eastAsia="Arial" w:cs="Arial"/>
                <w:color w:val="222222"/>
                <w:sz w:val="20"/>
                <w:szCs w:val="20"/>
              </w:rPr>
              <w:t>&gt;60触发市场化媒体NPC激活；&gt;80自动触发"省级关注"事件。与扩散速度参数叠加，影响信息管控类行动的有效性窗口</w:t>
            </w:r>
          </w:p>
        </w:tc>
      </w:tr>
      <w:tr w14:paraId="3FA01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E2D808F">
            <w:pPr>
              <w:spacing w:before="36" w:after="36"/>
              <w:jc w:val="left"/>
            </w:pPr>
            <w:r>
              <w:rPr>
                <w:rFonts w:ascii="Arial" w:hAnsi="Arial" w:eastAsia="Arial" w:cs="Arial"/>
                <w:color w:val="222222"/>
                <w:sz w:val="20"/>
                <w:szCs w:val="20"/>
              </w:rPr>
              <w:t>舆情扩散速度</w:t>
            </w:r>
          </w:p>
        </w:tc>
        <w:tc>
          <w:tcPr>
            <w:tcW w:w="11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B234B53">
            <w:pPr>
              <w:spacing w:before="36" w:after="36"/>
              <w:jc w:val="left"/>
            </w:pPr>
            <w:r>
              <w:rPr>
                <w:rFonts w:ascii="Arial" w:hAnsi="Arial" w:eastAsia="Arial" w:cs="Arial"/>
                <w:color w:val="222222"/>
                <w:sz w:val="20"/>
                <w:szCs w:val="20"/>
              </w:rPr>
              <w:t>spread_rate</w:t>
            </w:r>
          </w:p>
        </w:tc>
        <w:tc>
          <w:tcPr>
            <w:tcW w:w="13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99DA06E">
            <w:pPr>
              <w:spacing w:before="36" w:after="36"/>
              <w:jc w:val="left"/>
            </w:pPr>
            <w:r>
              <w:rPr>
                <w:rFonts w:ascii="Arial" w:hAnsi="Arial" w:eastAsia="Arial" w:cs="Arial"/>
                <w:color w:val="222222"/>
                <w:sz w:val="20"/>
                <w:szCs w:val="20"/>
              </w:rPr>
              <w:t>0-15分/轮</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F60317C">
            <w:pPr>
              <w:spacing w:before="36" w:after="36"/>
              <w:jc w:val="left"/>
            </w:pPr>
            <w:r>
              <w:rPr>
                <w:rFonts w:ascii="Arial" w:hAnsi="Arial" w:eastAsia="Arial" w:cs="Arial"/>
                <w:color w:val="222222"/>
                <w:sz w:val="20"/>
                <w:szCs w:val="20"/>
              </w:rPr>
              <w:t>3分/轮</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ECCDFEF">
            <w:pPr>
              <w:spacing w:before="36" w:after="36"/>
              <w:jc w:val="left"/>
            </w:pPr>
            <w:r>
              <w:rPr>
                <w:rFonts w:ascii="Arial" w:hAnsi="Arial" w:eastAsia="Arial" w:cs="Arial"/>
                <w:color w:val="222222"/>
                <w:sz w:val="20"/>
                <w:szCs w:val="20"/>
              </w:rPr>
              <w:t>信息透明度越低扩散速度额外增加（+spread_rate×0.3/轮）。延迟等待类决策不降低扩散速度，体现舆情自然发酵</w:t>
            </w:r>
          </w:p>
        </w:tc>
      </w:tr>
      <w:tr w14:paraId="5EEB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4D30067">
            <w:pPr>
              <w:spacing w:before="36" w:after="36"/>
              <w:jc w:val="left"/>
            </w:pPr>
            <w:r>
              <w:rPr>
                <w:rFonts w:ascii="Arial" w:hAnsi="Arial" w:eastAsia="Arial" w:cs="Arial"/>
                <w:color w:val="222222"/>
                <w:sz w:val="20"/>
                <w:szCs w:val="20"/>
              </w:rPr>
              <w:t>上级政治压力</w:t>
            </w:r>
          </w:p>
        </w:tc>
        <w:tc>
          <w:tcPr>
            <w:tcW w:w="11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45A3413">
            <w:pPr>
              <w:spacing w:before="36" w:after="36"/>
              <w:jc w:val="left"/>
            </w:pPr>
            <w:r>
              <w:rPr>
                <w:rFonts w:ascii="Arial" w:hAnsi="Arial" w:eastAsia="Arial" w:cs="Arial"/>
                <w:color w:val="222222"/>
                <w:sz w:val="20"/>
                <w:szCs w:val="20"/>
              </w:rPr>
              <w:t>upper_pressure</w:t>
            </w:r>
          </w:p>
        </w:tc>
        <w:tc>
          <w:tcPr>
            <w:tcW w:w="13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470C023">
            <w:pPr>
              <w:spacing w:before="36" w:after="36"/>
              <w:jc w:val="left"/>
            </w:pPr>
            <w:r>
              <w:rPr>
                <w:rFonts w:ascii="Arial" w:hAnsi="Arial" w:eastAsia="Arial" w:cs="Arial"/>
                <w:color w:val="222222"/>
                <w:sz w:val="20"/>
                <w:szCs w:val="20"/>
              </w:rPr>
              <w:t>0-10整数</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ED1490E">
            <w:pPr>
              <w:spacing w:before="36" w:after="36"/>
              <w:jc w:val="left"/>
            </w:pPr>
            <w:r>
              <w:rPr>
                <w:rFonts w:ascii="Arial" w:hAnsi="Arial" w:eastAsia="Arial" w:cs="Arial"/>
                <w:color w:val="222222"/>
                <w:sz w:val="20"/>
                <w:szCs w:val="20"/>
              </w:rPr>
              <w:t>4</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22C4634">
            <w:pPr>
              <w:spacing w:before="36" w:after="36"/>
              <w:jc w:val="left"/>
            </w:pPr>
            <w:r>
              <w:rPr>
                <w:rFonts w:ascii="Arial" w:hAnsi="Arial" w:eastAsia="Arial" w:cs="Arial"/>
                <w:color w:val="222222"/>
                <w:sz w:val="20"/>
                <w:szCs w:val="20"/>
              </w:rPr>
              <w:t>&gt;7时上级NPC主动发催办指令（每2轮一次）；影响官员KPI中政治响应性权重；NGO授权边界受此参数约束</w:t>
            </w:r>
          </w:p>
        </w:tc>
      </w:tr>
      <w:tr w14:paraId="7B8E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B1B361B">
            <w:pPr>
              <w:spacing w:before="36" w:after="36"/>
              <w:jc w:val="left"/>
            </w:pPr>
            <w:r>
              <w:rPr>
                <w:rFonts w:ascii="Arial" w:hAnsi="Arial" w:eastAsia="Arial" w:cs="Arial"/>
                <w:color w:val="222222"/>
                <w:sz w:val="20"/>
                <w:szCs w:val="20"/>
              </w:rPr>
              <w:t>外部问责压力</w:t>
            </w:r>
          </w:p>
        </w:tc>
        <w:tc>
          <w:tcPr>
            <w:tcW w:w="11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E51EBEF">
            <w:pPr>
              <w:spacing w:before="36" w:after="36"/>
              <w:jc w:val="left"/>
            </w:pPr>
            <w:r>
              <w:rPr>
                <w:rFonts w:ascii="Arial" w:hAnsi="Arial" w:eastAsia="Arial" w:cs="Arial"/>
                <w:color w:val="222222"/>
                <w:sz w:val="20"/>
                <w:szCs w:val="20"/>
              </w:rPr>
              <w:t>account_pressure</w:t>
            </w:r>
          </w:p>
        </w:tc>
        <w:tc>
          <w:tcPr>
            <w:tcW w:w="13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8830E7F">
            <w:pPr>
              <w:spacing w:before="36" w:after="36"/>
              <w:jc w:val="left"/>
            </w:pPr>
            <w:r>
              <w:rPr>
                <w:rFonts w:ascii="Arial" w:hAnsi="Arial" w:eastAsia="Arial" w:cs="Arial"/>
                <w:color w:val="222222"/>
                <w:sz w:val="20"/>
                <w:szCs w:val="20"/>
              </w:rPr>
              <w:t>0-10整数</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B8D4B34">
            <w:pPr>
              <w:spacing w:before="36" w:after="36"/>
              <w:jc w:val="left"/>
            </w:pPr>
            <w:r>
              <w:rPr>
                <w:rFonts w:ascii="Arial" w:hAnsi="Arial" w:eastAsia="Arial" w:cs="Arial"/>
                <w:color w:val="222222"/>
                <w:sz w:val="20"/>
                <w:szCs w:val="20"/>
              </w:rPr>
              <w:t>3</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DB2644D">
            <w:pPr>
              <w:spacing w:before="36" w:after="36"/>
              <w:jc w:val="left"/>
            </w:pPr>
            <w:r>
              <w:rPr>
                <w:rFonts w:ascii="Arial" w:hAnsi="Arial" w:eastAsia="Arial" w:cs="Arial"/>
                <w:color w:val="222222"/>
                <w:sz w:val="20"/>
                <w:szCs w:val="20"/>
              </w:rPr>
              <w:t>与督察倒计时联动：倒计时&lt;4周时自动+2-3；影响延迟等待类选项的CLR风险系数；&gt;8时四轨问责全部激活</w:t>
            </w:r>
          </w:p>
        </w:tc>
      </w:tr>
      <w:tr w14:paraId="4908F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C1CECA6">
            <w:pPr>
              <w:spacing w:before="36" w:after="36"/>
              <w:jc w:val="left"/>
            </w:pPr>
            <w:r>
              <w:rPr>
                <w:rFonts w:ascii="Arial" w:hAnsi="Arial" w:eastAsia="Arial" w:cs="Arial"/>
                <w:color w:val="222222"/>
                <w:sz w:val="20"/>
                <w:szCs w:val="20"/>
              </w:rPr>
              <w:t>时间压力系数</w:t>
            </w:r>
          </w:p>
        </w:tc>
        <w:tc>
          <w:tcPr>
            <w:tcW w:w="11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B63002E">
            <w:pPr>
              <w:spacing w:before="36" w:after="36"/>
              <w:jc w:val="left"/>
            </w:pPr>
            <w:r>
              <w:rPr>
                <w:rFonts w:ascii="Arial" w:hAnsi="Arial" w:eastAsia="Arial" w:cs="Arial"/>
                <w:color w:val="222222"/>
                <w:sz w:val="20"/>
                <w:szCs w:val="20"/>
              </w:rPr>
              <w:t>time_pressure</w:t>
            </w:r>
          </w:p>
        </w:tc>
        <w:tc>
          <w:tcPr>
            <w:tcW w:w="13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D372A95">
            <w:pPr>
              <w:spacing w:before="36" w:after="36"/>
              <w:jc w:val="left"/>
            </w:pPr>
            <w:r>
              <w:rPr>
                <w:rFonts w:ascii="Arial" w:hAnsi="Arial" w:eastAsia="Arial" w:cs="Arial"/>
                <w:color w:val="222222"/>
                <w:sz w:val="20"/>
                <w:szCs w:val="20"/>
              </w:rPr>
              <w:t>0.5-3.0倍率</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2324669">
            <w:pPr>
              <w:spacing w:before="36" w:after="36"/>
              <w:jc w:val="left"/>
            </w:pPr>
            <w:r>
              <w:rPr>
                <w:rFonts w:ascii="Arial" w:hAnsi="Arial" w:eastAsia="Arial" w:cs="Arial"/>
                <w:color w:val="222222"/>
                <w:sz w:val="20"/>
                <w:szCs w:val="20"/>
              </w:rPr>
              <w:t>1.2</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4A2027C">
            <w:pPr>
              <w:spacing w:before="36" w:after="36"/>
              <w:jc w:val="left"/>
            </w:pPr>
            <w:r>
              <w:rPr>
                <w:rFonts w:ascii="Arial" w:hAnsi="Arial" w:eastAsia="Arial" w:cs="Arial"/>
                <w:color w:val="222222"/>
                <w:sz w:val="20"/>
                <w:szCs w:val="20"/>
              </w:rPr>
              <w:t>&gt;1.5时决策随机扰动因子+10%（模拟高压认知偏差）；研究精确行为测量时建议设为1.0；干部训练可设为2.0</w:t>
            </w:r>
          </w:p>
        </w:tc>
      </w:tr>
    </w:tbl>
    <w:p w14:paraId="58A1DEDD">
      <w:pPr>
        <w:spacing w:before="60" w:after="60"/>
      </w:pPr>
    </w:p>
    <w:p w14:paraId="66EBBAC4">
      <w:pPr>
        <w:pStyle w:val="4"/>
        <w:spacing w:before="220" w:after="100"/>
      </w:pPr>
      <w:r>
        <w:rPr>
          <w:rFonts w:ascii="Arial" w:hAnsi="Arial" w:eastAsia="Arial" w:cs="Arial"/>
          <w:b/>
          <w:bCs/>
          <w:color w:val="1B5E96"/>
          <w:sz w:val="22"/>
          <w:szCs w:val="22"/>
        </w:rPr>
        <w:t>C组：结构约束参数（6个）</w:t>
      </w:r>
    </w:p>
    <w:p w14:paraId="657B9475">
      <w:pPr>
        <w:spacing w:before="80" w:after="80"/>
        <w:jc w:val="both"/>
      </w:pPr>
      <w:r>
        <w:rPr>
          <w:rFonts w:ascii="Arial" w:hAnsi="Arial" w:eastAsia="Arial" w:cs="Arial"/>
          <w:b w:val="0"/>
          <w:bCs w:val="0"/>
          <w:color w:val="111111"/>
          <w:sz w:val="22"/>
          <w:szCs w:val="22"/>
        </w:rPr>
        <w:t>C组参数控制博弈的结构性约束条件，包括信息环境、制度弹性和社会基础等，是决定场景博弈特征最重要的一组参数。研究者在设计实验处理时最常操作这组参数。</w:t>
      </w:r>
    </w:p>
    <w:p w14:paraId="7F3BB79E">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64"/>
        <w:gridCol w:w="1528"/>
        <w:gridCol w:w="1224"/>
        <w:gridCol w:w="934"/>
        <w:gridCol w:w="4210"/>
      </w:tblGrid>
      <w:tr w14:paraId="5F9A0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650FE5C">
            <w:pPr>
              <w:spacing w:before="36" w:after="36"/>
              <w:jc w:val="center"/>
            </w:pPr>
            <w:r>
              <w:rPr>
                <w:rFonts w:ascii="Arial" w:hAnsi="Arial" w:eastAsia="Arial" w:cs="Arial"/>
                <w:b/>
                <w:bCs/>
                <w:color w:val="FFFFFF"/>
                <w:sz w:val="19"/>
                <w:szCs w:val="19"/>
              </w:rPr>
              <w:t>参数名称</w:t>
            </w:r>
          </w:p>
        </w:tc>
        <w:tc>
          <w:tcPr>
            <w:tcW w:w="11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C7ABDC9">
            <w:pPr>
              <w:spacing w:before="36" w:after="36"/>
              <w:jc w:val="center"/>
            </w:pPr>
            <w:r>
              <w:rPr>
                <w:rFonts w:ascii="Arial" w:hAnsi="Arial" w:eastAsia="Arial" w:cs="Arial"/>
                <w:b/>
                <w:bCs/>
                <w:color w:val="FFFFFF"/>
                <w:sz w:val="19"/>
                <w:szCs w:val="19"/>
              </w:rPr>
              <w:t>符号</w:t>
            </w:r>
          </w:p>
        </w:tc>
        <w:tc>
          <w:tcPr>
            <w:tcW w:w="13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F66923F">
            <w:pPr>
              <w:spacing w:before="36" w:after="36"/>
              <w:jc w:val="center"/>
            </w:pPr>
            <w:r>
              <w:rPr>
                <w:rFonts w:ascii="Arial" w:hAnsi="Arial" w:eastAsia="Arial" w:cs="Arial"/>
                <w:b/>
                <w:bCs/>
                <w:color w:val="FFFFFF"/>
                <w:sz w:val="19"/>
                <w:szCs w:val="19"/>
              </w:rPr>
              <w:t>取值范围</w:t>
            </w:r>
          </w:p>
        </w:tc>
        <w:tc>
          <w:tcPr>
            <w:tcW w:w="1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A3A6021">
            <w:pPr>
              <w:spacing w:before="36" w:after="36"/>
              <w:jc w:val="center"/>
            </w:pPr>
            <w:r>
              <w:rPr>
                <w:rFonts w:ascii="Arial" w:hAnsi="Arial" w:eastAsia="Arial" w:cs="Arial"/>
                <w:b/>
                <w:bCs/>
                <w:color w:val="FFFFFF"/>
                <w:sz w:val="19"/>
                <w:szCs w:val="19"/>
              </w:rPr>
              <w:t>默认值</w:t>
            </w:r>
          </w:p>
        </w:tc>
        <w:tc>
          <w:tcPr>
            <w:tcW w:w="43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46DFE05">
            <w:pPr>
              <w:spacing w:before="36" w:after="36"/>
              <w:jc w:val="center"/>
            </w:pPr>
            <w:r>
              <w:rPr>
                <w:rFonts w:ascii="Arial" w:hAnsi="Arial" w:eastAsia="Arial" w:cs="Arial"/>
                <w:b/>
                <w:bCs/>
                <w:color w:val="FFFFFF"/>
                <w:sz w:val="19"/>
                <w:szCs w:val="19"/>
              </w:rPr>
              <w:t>含义与跨参数逻辑</w:t>
            </w:r>
          </w:p>
        </w:tc>
      </w:tr>
      <w:tr w14:paraId="4FEF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F8C625B">
            <w:pPr>
              <w:spacing w:before="36" w:after="36"/>
              <w:jc w:val="left"/>
            </w:pPr>
            <w:r>
              <w:rPr>
                <w:rFonts w:ascii="Arial" w:hAnsi="Arial" w:eastAsia="Arial" w:cs="Arial"/>
                <w:color w:val="222222"/>
                <w:sz w:val="20"/>
                <w:szCs w:val="20"/>
              </w:rPr>
              <w:t>信息不对称度</w:t>
            </w:r>
          </w:p>
        </w:tc>
        <w:tc>
          <w:tcPr>
            <w:tcW w:w="11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9B7CF58">
            <w:pPr>
              <w:spacing w:before="36" w:after="36"/>
              <w:jc w:val="left"/>
            </w:pPr>
            <w:r>
              <w:rPr>
                <w:rFonts w:ascii="Arial" w:hAnsi="Arial" w:eastAsia="Arial" w:cs="Arial"/>
                <w:color w:val="222222"/>
                <w:sz w:val="20"/>
                <w:szCs w:val="20"/>
              </w:rPr>
              <w:t>info_asym</w:t>
            </w:r>
          </w:p>
        </w:tc>
        <w:tc>
          <w:tcPr>
            <w:tcW w:w="13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2A92F59">
            <w:pPr>
              <w:spacing w:before="36" w:after="36"/>
              <w:jc w:val="left"/>
            </w:pPr>
            <w:r>
              <w:rPr>
                <w:rFonts w:ascii="Arial" w:hAnsi="Arial" w:eastAsia="Arial" w:cs="Arial"/>
                <w:color w:val="222222"/>
                <w:sz w:val="20"/>
                <w:szCs w:val="20"/>
              </w:rPr>
              <w:t>0-10整数</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EC42BDD">
            <w:pPr>
              <w:spacing w:before="36" w:after="36"/>
              <w:jc w:val="left"/>
            </w:pPr>
            <w:r>
              <w:rPr>
                <w:rFonts w:ascii="Arial" w:hAnsi="Arial" w:eastAsia="Arial" w:cs="Arial"/>
                <w:color w:val="222222"/>
                <w:sz w:val="20"/>
                <w:szCs w:val="20"/>
              </w:rPr>
              <w:t>6</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63FFA0D">
            <w:pPr>
              <w:spacing w:before="36" w:after="36"/>
              <w:jc w:val="left"/>
            </w:pPr>
            <w:r>
              <w:rPr>
                <w:rFonts w:ascii="Arial" w:hAnsi="Arial" w:eastAsia="Arial" w:cs="Arial"/>
                <w:color w:val="222222"/>
                <w:sz w:val="20"/>
                <w:szCs w:val="20"/>
              </w:rPr>
              <w:t>&gt;7强制启用差异化信息模式（角色间独占信息重叠度&lt;40%）；&lt;3趋向高度协作均衡；是研究信息政治的核心控制变量</w:t>
            </w:r>
          </w:p>
        </w:tc>
      </w:tr>
      <w:tr w14:paraId="1470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7001BF3">
            <w:pPr>
              <w:spacing w:before="36" w:after="36"/>
              <w:jc w:val="left"/>
            </w:pPr>
            <w:r>
              <w:rPr>
                <w:rFonts w:ascii="Arial" w:hAnsi="Arial" w:eastAsia="Arial" w:cs="Arial"/>
                <w:color w:val="222222"/>
                <w:sz w:val="20"/>
                <w:szCs w:val="20"/>
              </w:rPr>
              <w:t>制度刚性</w:t>
            </w:r>
          </w:p>
        </w:tc>
        <w:tc>
          <w:tcPr>
            <w:tcW w:w="11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E5196A1">
            <w:pPr>
              <w:spacing w:before="36" w:after="36"/>
              <w:jc w:val="left"/>
            </w:pPr>
            <w:r>
              <w:rPr>
                <w:rFonts w:ascii="Arial" w:hAnsi="Arial" w:eastAsia="Arial" w:cs="Arial"/>
                <w:color w:val="222222"/>
                <w:sz w:val="20"/>
                <w:szCs w:val="20"/>
              </w:rPr>
              <w:t>instit_rigid</w:t>
            </w:r>
          </w:p>
        </w:tc>
        <w:tc>
          <w:tcPr>
            <w:tcW w:w="13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0448B02">
            <w:pPr>
              <w:spacing w:before="36" w:after="36"/>
              <w:jc w:val="left"/>
            </w:pPr>
            <w:r>
              <w:rPr>
                <w:rFonts w:ascii="Arial" w:hAnsi="Arial" w:eastAsia="Arial" w:cs="Arial"/>
                <w:color w:val="222222"/>
                <w:sz w:val="20"/>
                <w:szCs w:val="20"/>
              </w:rPr>
              <w:t>0-10整数</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FF771EF">
            <w:pPr>
              <w:spacing w:before="36" w:after="36"/>
              <w:jc w:val="left"/>
            </w:pPr>
            <w:r>
              <w:rPr>
                <w:rFonts w:ascii="Arial" w:hAnsi="Arial" w:eastAsia="Arial" w:cs="Arial"/>
                <w:color w:val="222222"/>
                <w:sz w:val="20"/>
                <w:szCs w:val="20"/>
              </w:rPr>
              <w:t>6</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1280767">
            <w:pPr>
              <w:spacing w:before="36" w:after="36"/>
              <w:jc w:val="left"/>
            </w:pPr>
            <w:r>
              <w:rPr>
                <w:rFonts w:ascii="Arial" w:hAnsi="Arial" w:eastAsia="Arial" w:cs="Arial"/>
                <w:color w:val="222222"/>
                <w:sz w:val="20"/>
                <w:szCs w:val="20"/>
              </w:rPr>
              <w:t>越高则创新探索类选项的风险系数越大；越低则变通应对的惩罚越小。=10时灰色地带行动全部被制度合规验证器阻止</w:t>
            </w:r>
          </w:p>
        </w:tc>
      </w:tr>
      <w:tr w14:paraId="1BB8E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41EC605">
            <w:pPr>
              <w:spacing w:before="36" w:after="36"/>
              <w:jc w:val="left"/>
            </w:pPr>
            <w:r>
              <w:rPr>
                <w:rFonts w:ascii="Arial" w:hAnsi="Arial" w:eastAsia="Arial" w:cs="Arial"/>
                <w:color w:val="222222"/>
                <w:sz w:val="20"/>
                <w:szCs w:val="20"/>
              </w:rPr>
              <w:t>跨域依存度</w:t>
            </w:r>
          </w:p>
        </w:tc>
        <w:tc>
          <w:tcPr>
            <w:tcW w:w="11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2C8FB57">
            <w:pPr>
              <w:spacing w:before="36" w:after="36"/>
              <w:jc w:val="left"/>
            </w:pPr>
            <w:r>
              <w:rPr>
                <w:rFonts w:ascii="Arial" w:hAnsi="Arial" w:eastAsia="Arial" w:cs="Arial"/>
                <w:color w:val="222222"/>
                <w:sz w:val="20"/>
                <w:szCs w:val="20"/>
              </w:rPr>
              <w:t>cross_dep</w:t>
            </w:r>
          </w:p>
        </w:tc>
        <w:tc>
          <w:tcPr>
            <w:tcW w:w="13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E29E7A2">
            <w:pPr>
              <w:spacing w:before="36" w:after="36"/>
              <w:jc w:val="left"/>
            </w:pPr>
            <w:r>
              <w:rPr>
                <w:rFonts w:ascii="Arial" w:hAnsi="Arial" w:eastAsia="Arial" w:cs="Arial"/>
                <w:color w:val="222222"/>
                <w:sz w:val="20"/>
                <w:szCs w:val="20"/>
              </w:rPr>
              <w:t>0-10整数</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1F9456D">
            <w:pPr>
              <w:spacing w:before="36" w:after="36"/>
              <w:jc w:val="left"/>
            </w:pPr>
            <w:r>
              <w:rPr>
                <w:rFonts w:ascii="Arial" w:hAnsi="Arial" w:eastAsia="Arial" w:cs="Arial"/>
                <w:color w:val="222222"/>
                <w:sz w:val="20"/>
                <w:szCs w:val="20"/>
              </w:rPr>
              <w:t>5</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69C1814">
            <w:pPr>
              <w:spacing w:before="36" w:after="36"/>
              <w:jc w:val="left"/>
            </w:pPr>
            <w:r>
              <w:rPr>
                <w:rFonts w:ascii="Arial" w:hAnsi="Arial" w:eastAsia="Arial" w:cs="Arial"/>
                <w:color w:val="222222"/>
                <w:sz w:val="20"/>
                <w:szCs w:val="20"/>
              </w:rPr>
              <w:t>&gt;6强制激活M3府际关系模块；影响协调类决策的交易成本（×cross_dep×0.3）；与历史信任水平负向交互</w:t>
            </w:r>
          </w:p>
        </w:tc>
      </w:tr>
      <w:tr w14:paraId="3E5A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3BB2326">
            <w:pPr>
              <w:spacing w:before="36" w:after="36"/>
              <w:jc w:val="left"/>
            </w:pPr>
            <w:r>
              <w:rPr>
                <w:rFonts w:ascii="Arial" w:hAnsi="Arial" w:eastAsia="Arial" w:cs="Arial"/>
                <w:color w:val="222222"/>
                <w:sz w:val="20"/>
                <w:szCs w:val="20"/>
              </w:rPr>
              <w:t>资源稀缺度</w:t>
            </w:r>
          </w:p>
        </w:tc>
        <w:tc>
          <w:tcPr>
            <w:tcW w:w="11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61ED15D">
            <w:pPr>
              <w:spacing w:before="36" w:after="36"/>
              <w:jc w:val="left"/>
            </w:pPr>
            <w:r>
              <w:rPr>
                <w:rFonts w:ascii="Arial" w:hAnsi="Arial" w:eastAsia="Arial" w:cs="Arial"/>
                <w:color w:val="222222"/>
                <w:sz w:val="20"/>
                <w:szCs w:val="20"/>
              </w:rPr>
              <w:t>resource_scar</w:t>
            </w:r>
          </w:p>
        </w:tc>
        <w:tc>
          <w:tcPr>
            <w:tcW w:w="13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FE643BC">
            <w:pPr>
              <w:spacing w:before="36" w:after="36"/>
              <w:jc w:val="left"/>
            </w:pPr>
            <w:r>
              <w:rPr>
                <w:rFonts w:ascii="Arial" w:hAnsi="Arial" w:eastAsia="Arial" w:cs="Arial"/>
                <w:color w:val="222222"/>
                <w:sz w:val="20"/>
                <w:szCs w:val="20"/>
              </w:rPr>
              <w:t>1-10整数</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44D2D3F">
            <w:pPr>
              <w:spacing w:before="36" w:after="36"/>
              <w:jc w:val="left"/>
            </w:pPr>
            <w:r>
              <w:rPr>
                <w:rFonts w:ascii="Arial" w:hAnsi="Arial" w:eastAsia="Arial" w:cs="Arial"/>
                <w:color w:val="222222"/>
                <w:sz w:val="20"/>
                <w:szCs w:val="20"/>
              </w:rPr>
              <w:t>4</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301843B">
            <w:pPr>
              <w:spacing w:before="36" w:after="36"/>
              <w:jc w:val="left"/>
            </w:pPr>
            <w:r>
              <w:rPr>
                <w:rFonts w:ascii="Arial" w:hAnsi="Arial" w:eastAsia="Arial" w:cs="Arial"/>
                <w:color w:val="222222"/>
                <w:sz w:val="20"/>
                <w:szCs w:val="20"/>
              </w:rPr>
              <w:t>&lt;4时资源调配类选项受限（受限概率=(5-resource_scar)×15%）；&gt;8时资源约束成为最主要的行动障碍</w:t>
            </w:r>
          </w:p>
        </w:tc>
      </w:tr>
      <w:tr w14:paraId="2D35A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214B530">
            <w:pPr>
              <w:spacing w:before="36" w:after="36"/>
              <w:jc w:val="left"/>
            </w:pPr>
            <w:r>
              <w:rPr>
                <w:rFonts w:ascii="Arial" w:hAnsi="Arial" w:eastAsia="Arial" w:cs="Arial"/>
                <w:color w:val="222222"/>
                <w:sz w:val="20"/>
                <w:szCs w:val="20"/>
              </w:rPr>
              <w:t>社会监督强度</w:t>
            </w:r>
          </w:p>
        </w:tc>
        <w:tc>
          <w:tcPr>
            <w:tcW w:w="11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D9C65FC">
            <w:pPr>
              <w:spacing w:before="36" w:after="36"/>
              <w:jc w:val="left"/>
            </w:pPr>
            <w:r>
              <w:rPr>
                <w:rFonts w:ascii="Arial" w:hAnsi="Arial" w:eastAsia="Arial" w:cs="Arial"/>
                <w:color w:val="222222"/>
                <w:sz w:val="20"/>
                <w:szCs w:val="20"/>
              </w:rPr>
              <w:t>soc_monitor</w:t>
            </w:r>
          </w:p>
        </w:tc>
        <w:tc>
          <w:tcPr>
            <w:tcW w:w="13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2BD09CE">
            <w:pPr>
              <w:spacing w:before="36" w:after="36"/>
              <w:jc w:val="left"/>
            </w:pPr>
            <w:r>
              <w:rPr>
                <w:rFonts w:ascii="Arial" w:hAnsi="Arial" w:eastAsia="Arial" w:cs="Arial"/>
                <w:color w:val="222222"/>
                <w:sz w:val="20"/>
                <w:szCs w:val="20"/>
              </w:rPr>
              <w:t>0-10整数</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517574C">
            <w:pPr>
              <w:spacing w:before="36" w:after="36"/>
              <w:jc w:val="left"/>
            </w:pPr>
            <w:r>
              <w:rPr>
                <w:rFonts w:ascii="Arial" w:hAnsi="Arial" w:eastAsia="Arial" w:cs="Arial"/>
                <w:color w:val="222222"/>
                <w:sz w:val="20"/>
                <w:szCs w:val="20"/>
              </w:rPr>
              <w:t>4</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FB020CF">
            <w:pPr>
              <w:spacing w:before="36" w:after="36"/>
              <w:jc w:val="left"/>
            </w:pPr>
            <w:r>
              <w:rPr>
                <w:rFonts w:ascii="Arial" w:hAnsi="Arial" w:eastAsia="Arial" w:cs="Arial"/>
                <w:color w:val="222222"/>
                <w:sz w:val="20"/>
                <w:szCs w:val="20"/>
              </w:rPr>
              <w:t>&gt;7时信息管控类选项风险×1.5；NGO行动能力与此正相关；与媒体开放度联合决定政社关系博弈强度</w:t>
            </w:r>
          </w:p>
        </w:tc>
      </w:tr>
      <w:tr w14:paraId="365F3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C85FA12">
            <w:pPr>
              <w:spacing w:before="36" w:after="36"/>
              <w:jc w:val="left"/>
            </w:pPr>
            <w:r>
              <w:rPr>
                <w:rFonts w:ascii="Arial" w:hAnsi="Arial" w:eastAsia="Arial" w:cs="Arial"/>
                <w:color w:val="222222"/>
                <w:sz w:val="20"/>
                <w:szCs w:val="20"/>
              </w:rPr>
              <w:t>历史信任水平</w:t>
            </w:r>
          </w:p>
        </w:tc>
        <w:tc>
          <w:tcPr>
            <w:tcW w:w="11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B48D6D9">
            <w:pPr>
              <w:spacing w:before="36" w:after="36"/>
              <w:jc w:val="left"/>
            </w:pPr>
            <w:r>
              <w:rPr>
                <w:rFonts w:ascii="Arial" w:hAnsi="Arial" w:eastAsia="Arial" w:cs="Arial"/>
                <w:color w:val="222222"/>
                <w:sz w:val="20"/>
                <w:szCs w:val="20"/>
              </w:rPr>
              <w:t>trust_init</w:t>
            </w:r>
          </w:p>
        </w:tc>
        <w:tc>
          <w:tcPr>
            <w:tcW w:w="13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EA09F19">
            <w:pPr>
              <w:spacing w:before="36" w:after="36"/>
              <w:jc w:val="left"/>
            </w:pPr>
            <w:r>
              <w:rPr>
                <w:rFonts w:ascii="Arial" w:hAnsi="Arial" w:eastAsia="Arial" w:cs="Arial"/>
                <w:color w:val="222222"/>
                <w:sz w:val="20"/>
                <w:szCs w:val="20"/>
              </w:rPr>
              <w:t>0-10整数</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4EF2486">
            <w:pPr>
              <w:spacing w:before="36" w:after="36"/>
              <w:jc w:val="left"/>
            </w:pPr>
            <w:r>
              <w:rPr>
                <w:rFonts w:ascii="Arial" w:hAnsi="Arial" w:eastAsia="Arial" w:cs="Arial"/>
                <w:color w:val="222222"/>
                <w:sz w:val="20"/>
                <w:szCs w:val="20"/>
              </w:rPr>
              <w:t>4</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65476E3">
            <w:pPr>
              <w:spacing w:before="36" w:after="36"/>
              <w:jc w:val="left"/>
            </w:pPr>
            <w:r>
              <w:rPr>
                <w:rFonts w:ascii="Arial" w:hAnsi="Arial" w:eastAsia="Arial" w:cs="Arial"/>
                <w:color w:val="222222"/>
                <w:sz w:val="20"/>
                <w:szCs w:val="20"/>
              </w:rPr>
              <w:t>&lt;3时协调类选项额外触发"信任建立"步骤（消耗额外1轮）；与遗留问题参数负相关；研究合作治理时的关键前提变量</w:t>
            </w:r>
          </w:p>
        </w:tc>
      </w:tr>
    </w:tbl>
    <w:p w14:paraId="7DC3467E">
      <w:pPr>
        <w:spacing w:before="60" w:after="60"/>
      </w:pPr>
    </w:p>
    <w:p w14:paraId="77108C3D">
      <w:pPr>
        <w:pStyle w:val="4"/>
        <w:spacing w:before="220" w:after="100"/>
      </w:pPr>
      <w:r>
        <w:rPr>
          <w:rFonts w:ascii="Arial" w:hAnsi="Arial" w:eastAsia="Arial" w:cs="Arial"/>
          <w:b/>
          <w:bCs/>
          <w:color w:val="1B5E96"/>
          <w:sz w:val="22"/>
          <w:szCs w:val="22"/>
        </w:rPr>
        <w:t>D组：博弈规则参数（6个）</w:t>
      </w:r>
    </w:p>
    <w:p w14:paraId="264B5F39">
      <w:pPr>
        <w:spacing w:before="80" w:after="80"/>
        <w:jc w:val="both"/>
      </w:pPr>
      <w:r>
        <w:rPr>
          <w:rFonts w:ascii="Arial" w:hAnsi="Arial" w:eastAsia="Arial" w:cs="Arial"/>
          <w:b w:val="0"/>
          <w:bCs w:val="0"/>
          <w:color w:val="111111"/>
          <w:sz w:val="22"/>
          <w:szCs w:val="22"/>
        </w:rPr>
        <w:t>D组参数直接控制推演的游戏规则结构，包括时间分配、沟通规则和AI辅助程度。这组参数对研究者设计实验处理最为重要，教学用户则通常根据课时安排来设定。</w:t>
      </w:r>
    </w:p>
    <w:p w14:paraId="3EE2D61A">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5"/>
        <w:gridCol w:w="1328"/>
        <w:gridCol w:w="1364"/>
        <w:gridCol w:w="971"/>
        <w:gridCol w:w="4162"/>
      </w:tblGrid>
      <w:tr w14:paraId="6BBE2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72FBB66">
            <w:pPr>
              <w:spacing w:before="36" w:after="36"/>
              <w:jc w:val="center"/>
            </w:pPr>
            <w:r>
              <w:rPr>
                <w:rFonts w:ascii="Arial" w:hAnsi="Arial" w:eastAsia="Arial" w:cs="Arial"/>
                <w:b/>
                <w:bCs/>
                <w:color w:val="FFFFFF"/>
                <w:sz w:val="19"/>
                <w:szCs w:val="19"/>
              </w:rPr>
              <w:t>参数名称</w:t>
            </w:r>
          </w:p>
        </w:tc>
        <w:tc>
          <w:tcPr>
            <w:tcW w:w="1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5B9067D5">
            <w:pPr>
              <w:spacing w:before="36" w:after="36"/>
              <w:jc w:val="center"/>
            </w:pPr>
            <w:r>
              <w:rPr>
                <w:rFonts w:ascii="Arial" w:hAnsi="Arial" w:eastAsia="Arial" w:cs="Arial"/>
                <w:b/>
                <w:bCs/>
                <w:color w:val="FFFFFF"/>
                <w:sz w:val="19"/>
                <w:szCs w:val="19"/>
              </w:rPr>
              <w:t>符号</w:t>
            </w:r>
          </w:p>
        </w:tc>
        <w:tc>
          <w:tcPr>
            <w:tcW w:w="14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8175AE9">
            <w:pPr>
              <w:spacing w:before="36" w:after="36"/>
              <w:jc w:val="center"/>
            </w:pPr>
            <w:r>
              <w:rPr>
                <w:rFonts w:ascii="Arial" w:hAnsi="Arial" w:eastAsia="Arial" w:cs="Arial"/>
                <w:b/>
                <w:bCs/>
                <w:color w:val="FFFFFF"/>
                <w:sz w:val="19"/>
                <w:szCs w:val="19"/>
              </w:rPr>
              <w:t>取值范围</w:t>
            </w:r>
          </w:p>
        </w:tc>
        <w:tc>
          <w:tcPr>
            <w:tcW w:w="1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54AD3037">
            <w:pPr>
              <w:spacing w:before="36" w:after="36"/>
              <w:jc w:val="center"/>
            </w:pPr>
            <w:r>
              <w:rPr>
                <w:rFonts w:ascii="Arial" w:hAnsi="Arial" w:eastAsia="Arial" w:cs="Arial"/>
                <w:b/>
                <w:bCs/>
                <w:color w:val="FFFFFF"/>
                <w:sz w:val="19"/>
                <w:szCs w:val="19"/>
              </w:rPr>
              <w:t>默认值</w:t>
            </w:r>
          </w:p>
        </w:tc>
        <w:tc>
          <w:tcPr>
            <w:tcW w:w="43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1D55A47">
            <w:pPr>
              <w:spacing w:before="36" w:after="36"/>
              <w:jc w:val="center"/>
            </w:pPr>
            <w:r>
              <w:rPr>
                <w:rFonts w:ascii="Arial" w:hAnsi="Arial" w:eastAsia="Arial" w:cs="Arial"/>
                <w:b/>
                <w:bCs/>
                <w:color w:val="FFFFFF"/>
                <w:sz w:val="19"/>
                <w:szCs w:val="19"/>
              </w:rPr>
              <w:t>含义与跨参数逻辑</w:t>
            </w:r>
          </w:p>
        </w:tc>
      </w:tr>
      <w:tr w14:paraId="4B01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04E0265">
            <w:pPr>
              <w:spacing w:before="36" w:after="36"/>
              <w:jc w:val="left"/>
            </w:pPr>
            <w:r>
              <w:rPr>
                <w:rFonts w:ascii="Arial" w:hAnsi="Arial" w:eastAsia="Arial" w:cs="Arial"/>
                <w:color w:val="222222"/>
                <w:sz w:val="20"/>
                <w:szCs w:val="20"/>
              </w:rPr>
              <w:t>推演阶段数</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45EBA5F">
            <w:pPr>
              <w:spacing w:before="36" w:after="36"/>
              <w:jc w:val="left"/>
            </w:pPr>
            <w:r>
              <w:rPr>
                <w:rFonts w:ascii="Arial" w:hAnsi="Arial" w:eastAsia="Arial" w:cs="Arial"/>
                <w:color w:val="222222"/>
                <w:sz w:val="20"/>
                <w:szCs w:val="20"/>
              </w:rPr>
              <w:t>stage_num</w:t>
            </w:r>
          </w:p>
        </w:tc>
        <w:tc>
          <w:tcPr>
            <w:tcW w:w="1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D75775D">
            <w:pPr>
              <w:spacing w:before="36" w:after="36"/>
              <w:jc w:val="left"/>
            </w:pPr>
            <w:r>
              <w:rPr>
                <w:rFonts w:ascii="Arial" w:hAnsi="Arial" w:eastAsia="Arial" w:cs="Arial"/>
                <w:color w:val="222222"/>
                <w:sz w:val="20"/>
                <w:szCs w:val="20"/>
              </w:rPr>
              <w:t>1-8个</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0274858">
            <w:pPr>
              <w:spacing w:before="36" w:after="36"/>
              <w:jc w:val="left"/>
            </w:pPr>
            <w:r>
              <w:rPr>
                <w:rFonts w:ascii="Arial" w:hAnsi="Arial" w:eastAsia="Arial" w:cs="Arial"/>
                <w:color w:val="222222"/>
                <w:sz w:val="20"/>
                <w:szCs w:val="20"/>
              </w:rPr>
              <w:t>5</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0649E4C">
            <w:pPr>
              <w:spacing w:before="36" w:after="36"/>
              <w:jc w:val="left"/>
            </w:pPr>
            <w:r>
              <w:rPr>
                <w:rFonts w:ascii="Arial" w:hAnsi="Arial" w:eastAsia="Arial" w:cs="Arial"/>
                <w:color w:val="222222"/>
                <w:sz w:val="20"/>
                <w:szCs w:val="20"/>
              </w:rPr>
              <w:t>每阶段有独立的情境叙事、事件触发和指标节点。研究者建议≥5以观察动态演化；教学用户建议3-4以控制课时</w:t>
            </w:r>
          </w:p>
        </w:tc>
      </w:tr>
      <w:tr w14:paraId="2F570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267FF7E">
            <w:pPr>
              <w:spacing w:before="36" w:after="36"/>
              <w:jc w:val="left"/>
            </w:pPr>
            <w:r>
              <w:rPr>
                <w:rFonts w:ascii="Arial" w:hAnsi="Arial" w:eastAsia="Arial" w:cs="Arial"/>
                <w:color w:val="222222"/>
                <w:sz w:val="20"/>
                <w:szCs w:val="20"/>
              </w:rPr>
              <w:t>单阶段时长</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3AAA21B">
            <w:pPr>
              <w:spacing w:before="36" w:after="36"/>
              <w:jc w:val="left"/>
            </w:pPr>
            <w:r>
              <w:rPr>
                <w:rFonts w:ascii="Arial" w:hAnsi="Arial" w:eastAsia="Arial" w:cs="Arial"/>
                <w:color w:val="222222"/>
                <w:sz w:val="20"/>
                <w:szCs w:val="20"/>
              </w:rPr>
              <w:t>stage_min</w:t>
            </w:r>
          </w:p>
        </w:tc>
        <w:tc>
          <w:tcPr>
            <w:tcW w:w="14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AE63C67">
            <w:pPr>
              <w:spacing w:before="36" w:after="36"/>
              <w:jc w:val="left"/>
            </w:pPr>
            <w:r>
              <w:rPr>
                <w:rFonts w:ascii="Arial" w:hAnsi="Arial" w:eastAsia="Arial" w:cs="Arial"/>
                <w:color w:val="222222"/>
                <w:sz w:val="20"/>
                <w:szCs w:val="20"/>
              </w:rPr>
              <w:t>10-60分钟</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6676791">
            <w:pPr>
              <w:spacing w:before="36" w:after="36"/>
              <w:jc w:val="left"/>
            </w:pPr>
            <w:r>
              <w:rPr>
                <w:rFonts w:ascii="Arial" w:hAnsi="Arial" w:eastAsia="Arial" w:cs="Arial"/>
                <w:color w:val="222222"/>
                <w:sz w:val="20"/>
                <w:szCs w:val="20"/>
              </w:rPr>
              <w:t>30分钟</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576AEA0">
            <w:pPr>
              <w:spacing w:before="36" w:after="36"/>
              <w:jc w:val="left"/>
            </w:pPr>
            <w:r>
              <w:rPr>
                <w:rFonts w:ascii="Arial" w:hAnsi="Arial" w:eastAsia="Arial" w:cs="Arial"/>
                <w:color w:val="222222"/>
                <w:sz w:val="20"/>
                <w:szCs w:val="20"/>
              </w:rPr>
              <w:t>实际游戏时间（不含协商时间）；总推演时长=Σstage_min+协商时间×阶段数；建议每次推演总时长2-3小时</w:t>
            </w:r>
          </w:p>
        </w:tc>
      </w:tr>
      <w:tr w14:paraId="7EE32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AED75D9">
            <w:pPr>
              <w:spacing w:before="36" w:after="36"/>
              <w:jc w:val="left"/>
            </w:pPr>
            <w:r>
              <w:rPr>
                <w:rFonts w:ascii="Arial" w:hAnsi="Arial" w:eastAsia="Arial" w:cs="Arial"/>
                <w:color w:val="222222"/>
                <w:sz w:val="20"/>
                <w:szCs w:val="20"/>
              </w:rPr>
              <w:t>单决策时限</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437421A">
            <w:pPr>
              <w:spacing w:before="36" w:after="36"/>
              <w:jc w:val="left"/>
            </w:pPr>
            <w:r>
              <w:rPr>
                <w:rFonts w:ascii="Arial" w:hAnsi="Arial" w:eastAsia="Arial" w:cs="Arial"/>
                <w:color w:val="222222"/>
                <w:sz w:val="20"/>
                <w:szCs w:val="20"/>
              </w:rPr>
              <w:t>dec_sec</w:t>
            </w:r>
          </w:p>
        </w:tc>
        <w:tc>
          <w:tcPr>
            <w:tcW w:w="1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107DA08">
            <w:pPr>
              <w:spacing w:before="36" w:after="36"/>
              <w:jc w:val="left"/>
            </w:pPr>
            <w:r>
              <w:rPr>
                <w:rFonts w:ascii="Arial" w:hAnsi="Arial" w:eastAsia="Arial" w:cs="Arial"/>
                <w:color w:val="222222"/>
                <w:sz w:val="20"/>
                <w:szCs w:val="20"/>
              </w:rPr>
              <w:t>30-600秒</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2EB8E38">
            <w:pPr>
              <w:spacing w:before="36" w:after="36"/>
              <w:jc w:val="left"/>
            </w:pPr>
            <w:r>
              <w:rPr>
                <w:rFonts w:ascii="Arial" w:hAnsi="Arial" w:eastAsia="Arial" w:cs="Arial"/>
                <w:color w:val="222222"/>
                <w:sz w:val="20"/>
                <w:szCs w:val="20"/>
              </w:rPr>
              <w:t>120秒</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D4343CB">
            <w:pPr>
              <w:spacing w:before="36" w:after="36"/>
              <w:jc w:val="left"/>
            </w:pPr>
            <w:r>
              <w:rPr>
                <w:rFonts w:ascii="Arial" w:hAnsi="Arial" w:eastAsia="Arial" w:cs="Arial"/>
                <w:color w:val="222222"/>
                <w:sz w:val="20"/>
                <w:szCs w:val="20"/>
              </w:rPr>
              <w:t>压力设计：&lt;60秒时玩家倾向直觉决策；&gt;300秒允许深思熟虑。研究快速决策偏差时设低，研究深思熟虑时设高</w:t>
            </w:r>
          </w:p>
        </w:tc>
      </w:tr>
      <w:tr w14:paraId="0BAF1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DDDE231">
            <w:pPr>
              <w:spacing w:before="36" w:after="36"/>
              <w:jc w:val="left"/>
            </w:pPr>
            <w:r>
              <w:rPr>
                <w:rFonts w:ascii="Arial" w:hAnsi="Arial" w:eastAsia="Arial" w:cs="Arial"/>
                <w:color w:val="222222"/>
                <w:sz w:val="20"/>
                <w:szCs w:val="20"/>
              </w:rPr>
              <w:t>协商窗口</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DD6751E">
            <w:pPr>
              <w:spacing w:before="36" w:after="36"/>
              <w:jc w:val="left"/>
            </w:pPr>
            <w:r>
              <w:rPr>
                <w:rFonts w:ascii="Arial" w:hAnsi="Arial" w:eastAsia="Arial" w:cs="Arial"/>
                <w:color w:val="222222"/>
                <w:sz w:val="20"/>
                <w:szCs w:val="20"/>
              </w:rPr>
              <w:t>consult_min</w:t>
            </w:r>
          </w:p>
        </w:tc>
        <w:tc>
          <w:tcPr>
            <w:tcW w:w="14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72B088D">
            <w:pPr>
              <w:spacing w:before="36" w:after="36"/>
              <w:jc w:val="left"/>
            </w:pPr>
            <w:r>
              <w:rPr>
                <w:rFonts w:ascii="Arial" w:hAnsi="Arial" w:eastAsia="Arial" w:cs="Arial"/>
                <w:color w:val="222222"/>
                <w:sz w:val="20"/>
                <w:szCs w:val="20"/>
              </w:rPr>
              <w:t>3-20分钟/阶段</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61ABEE1">
            <w:pPr>
              <w:spacing w:before="36" w:after="36"/>
              <w:jc w:val="left"/>
            </w:pPr>
            <w:r>
              <w:rPr>
                <w:rFonts w:ascii="Arial" w:hAnsi="Arial" w:eastAsia="Arial" w:cs="Arial"/>
                <w:color w:val="222222"/>
                <w:sz w:val="20"/>
                <w:szCs w:val="20"/>
              </w:rPr>
              <w:t>8分钟</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23A1207">
            <w:pPr>
              <w:spacing w:before="36" w:after="36"/>
              <w:jc w:val="left"/>
            </w:pPr>
            <w:r>
              <w:rPr>
                <w:rFonts w:ascii="Arial" w:hAnsi="Arial" w:eastAsia="Arial" w:cs="Arial"/>
                <w:color w:val="222222"/>
                <w:sz w:val="20"/>
                <w:szCs w:val="20"/>
              </w:rPr>
              <w:t>专门用于多角色互动的时间段；越短则协调博弈越紧张；研究协商行为时可适当延长以保证互动量</w:t>
            </w:r>
          </w:p>
        </w:tc>
      </w:tr>
      <w:tr w14:paraId="484D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930E488">
            <w:pPr>
              <w:spacing w:before="36" w:after="36"/>
              <w:jc w:val="left"/>
            </w:pPr>
            <w:r>
              <w:rPr>
                <w:rFonts w:ascii="Arial" w:hAnsi="Arial" w:eastAsia="Arial" w:cs="Arial"/>
                <w:color w:val="222222"/>
                <w:sz w:val="20"/>
                <w:szCs w:val="20"/>
              </w:rPr>
              <w:t>私信限制</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4EB9929">
            <w:pPr>
              <w:spacing w:before="36" w:after="36"/>
              <w:jc w:val="left"/>
            </w:pPr>
            <w:r>
              <w:rPr>
                <w:rFonts w:ascii="Arial" w:hAnsi="Arial" w:eastAsia="Arial" w:cs="Arial"/>
                <w:color w:val="222222"/>
                <w:sz w:val="20"/>
                <w:szCs w:val="20"/>
              </w:rPr>
              <w:t>pm_rounds</w:t>
            </w:r>
          </w:p>
        </w:tc>
        <w:tc>
          <w:tcPr>
            <w:tcW w:w="1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5B4074B">
            <w:pPr>
              <w:spacing w:before="36" w:after="36"/>
              <w:jc w:val="left"/>
            </w:pPr>
            <w:r>
              <w:rPr>
                <w:rFonts w:ascii="Arial" w:hAnsi="Arial" w:eastAsia="Arial" w:cs="Arial"/>
                <w:color w:val="222222"/>
                <w:sz w:val="20"/>
                <w:szCs w:val="20"/>
              </w:rPr>
              <w:t>0次/阶段至不限</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FFE7E16">
            <w:pPr>
              <w:spacing w:before="36" w:after="36"/>
              <w:jc w:val="left"/>
            </w:pPr>
            <w:r>
              <w:rPr>
                <w:rFonts w:ascii="Arial" w:hAnsi="Arial" w:eastAsia="Arial" w:cs="Arial"/>
                <w:color w:val="222222"/>
                <w:sz w:val="20"/>
                <w:szCs w:val="20"/>
              </w:rPr>
              <w:t>2次/阶段</w:t>
            </w:r>
          </w:p>
        </w:tc>
        <w:tc>
          <w:tcPr>
            <w:tcW w:w="4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30BF74C">
            <w:pPr>
              <w:spacing w:before="36" w:after="36"/>
              <w:jc w:val="left"/>
            </w:pPr>
            <w:r>
              <w:rPr>
                <w:rFonts w:ascii="Arial" w:hAnsi="Arial" w:eastAsia="Arial" w:cs="Arial"/>
                <w:color w:val="222222"/>
                <w:sz w:val="20"/>
                <w:szCs w:val="20"/>
              </w:rPr>
              <w:t>0=禁止私信（研究公开博弈）；不限=允许充分私下博弈（研究非正式政治）；2次为平衡设置</w:t>
            </w:r>
          </w:p>
        </w:tc>
      </w:tr>
      <w:tr w14:paraId="734A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3E1B88F">
            <w:pPr>
              <w:spacing w:before="36" w:after="36"/>
              <w:jc w:val="left"/>
            </w:pPr>
            <w:r>
              <w:rPr>
                <w:rFonts w:ascii="Arial" w:hAnsi="Arial" w:eastAsia="Arial" w:cs="Arial"/>
                <w:color w:val="222222"/>
                <w:sz w:val="20"/>
                <w:szCs w:val="20"/>
              </w:rPr>
              <w:t>AI NPC上限</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81609C9">
            <w:pPr>
              <w:spacing w:before="36" w:after="36"/>
              <w:jc w:val="left"/>
            </w:pPr>
            <w:r>
              <w:rPr>
                <w:rFonts w:ascii="Arial" w:hAnsi="Arial" w:eastAsia="Arial" w:cs="Arial"/>
                <w:color w:val="222222"/>
                <w:sz w:val="20"/>
                <w:szCs w:val="20"/>
              </w:rPr>
              <w:t>npc_max</w:t>
            </w:r>
          </w:p>
        </w:tc>
        <w:tc>
          <w:tcPr>
            <w:tcW w:w="14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063C89A">
            <w:pPr>
              <w:spacing w:before="36" w:after="36"/>
              <w:jc w:val="left"/>
            </w:pPr>
            <w:r>
              <w:rPr>
                <w:rFonts w:ascii="Arial" w:hAnsi="Arial" w:eastAsia="Arial" w:cs="Arial"/>
                <w:color w:val="222222"/>
                <w:sz w:val="20"/>
                <w:szCs w:val="20"/>
              </w:rPr>
              <w:t>0至总角色数-1</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C87E9C9">
            <w:pPr>
              <w:spacing w:before="36" w:after="36"/>
              <w:jc w:val="left"/>
            </w:pPr>
            <w:r>
              <w:rPr>
                <w:rFonts w:ascii="Arial" w:hAnsi="Arial" w:eastAsia="Arial" w:cs="Arial"/>
                <w:color w:val="222222"/>
                <w:sz w:val="20"/>
                <w:szCs w:val="20"/>
              </w:rPr>
              <w:t>角色数-真人数</w:t>
            </w:r>
          </w:p>
        </w:tc>
        <w:tc>
          <w:tcPr>
            <w:tcW w:w="4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0485950">
            <w:pPr>
              <w:spacing w:before="36" w:after="36"/>
              <w:jc w:val="left"/>
            </w:pPr>
            <w:r>
              <w:rPr>
                <w:rFonts w:ascii="Arial" w:hAnsi="Arial" w:eastAsia="Arial" w:cs="Arial"/>
                <w:color w:val="222222"/>
                <w:sz w:val="20"/>
                <w:szCs w:val="20"/>
              </w:rPr>
              <w:t>少于最少参与人数时由AI填充；研究行为数据时建议0-1（减少AI干扰）；教学演示时可设较多以保证流畅</w:t>
            </w:r>
          </w:p>
        </w:tc>
      </w:tr>
    </w:tbl>
    <w:p w14:paraId="11061047">
      <w:pPr>
        <w:spacing w:before="60" w:after="60"/>
      </w:pPr>
    </w:p>
    <w:p w14:paraId="5F09D413">
      <w:pPr>
        <w:pStyle w:val="3"/>
        <w:spacing w:before="320" w:after="140"/>
      </w:pPr>
      <w:r>
        <w:rPr>
          <w:rFonts w:ascii="Arial" w:hAnsi="Arial" w:eastAsia="Arial" w:cs="Arial"/>
          <w:b/>
          <w:bCs/>
          <w:color w:val="174A7E"/>
          <w:sz w:val="25"/>
          <w:szCs w:val="25"/>
        </w:rPr>
        <w:t>7.3 角色设计系统：七要素规格</w:t>
      </w:r>
    </w:p>
    <w:p w14:paraId="31BD43A0">
      <w:pPr>
        <w:spacing w:before="80" w:after="80"/>
        <w:jc w:val="both"/>
      </w:pPr>
      <w:r>
        <w:rPr>
          <w:rFonts w:ascii="Arial" w:hAnsi="Arial" w:eastAsia="Arial" w:cs="Arial"/>
          <w:b w:val="0"/>
          <w:bCs w:val="0"/>
          <w:color w:val="111111"/>
          <w:sz w:val="22"/>
          <w:szCs w:val="22"/>
        </w:rPr>
        <w:t>角色是推演中玩家的行动载体，也是政通推演坊制度真实性的重要体现。每个角色的设计必须填写七个要素，这七个要素共同定义了该角色在推演中的行为边界、激励结构和信息条件。需要强调的是：平台提供了涵盖县级治理主要行为主体的角色库（七类约30个预设角色），但用户可以在预设角色基础上修改，也可以完全自主创建新角色，平台不强制使用任何预设角色。</w:t>
      </w:r>
    </w:p>
    <w:p w14:paraId="379E74CA">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4560"/>
      </w:tblGrid>
      <w:tr w14:paraId="2726D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CEF1047">
            <w:pPr>
              <w:spacing w:before="36" w:after="36"/>
              <w:jc w:val="center"/>
            </w:pPr>
            <w:r>
              <w:rPr>
                <w:rFonts w:ascii="Arial" w:hAnsi="Arial" w:eastAsia="Arial" w:cs="Arial"/>
                <w:b/>
                <w:bCs/>
                <w:color w:val="FFFFFF"/>
                <w:sz w:val="19"/>
                <w:szCs w:val="19"/>
              </w:rPr>
              <w:t>要素名称</w:t>
            </w:r>
          </w:p>
        </w:tc>
        <w:tc>
          <w:tcPr>
            <w:tcW w:w="3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542BC42A">
            <w:pPr>
              <w:spacing w:before="36" w:after="36"/>
              <w:jc w:val="center"/>
            </w:pPr>
            <w:r>
              <w:rPr>
                <w:rFonts w:ascii="Arial" w:hAnsi="Arial" w:eastAsia="Arial" w:cs="Arial"/>
                <w:b/>
                <w:bCs/>
                <w:color w:val="FFFFFF"/>
                <w:sz w:val="19"/>
                <w:szCs w:val="19"/>
              </w:rPr>
              <w:t>填写规范</w:t>
            </w:r>
          </w:p>
        </w:tc>
        <w:tc>
          <w:tcPr>
            <w:tcW w:w="45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5C58FF3C">
            <w:pPr>
              <w:spacing w:before="36" w:after="36"/>
              <w:jc w:val="center"/>
            </w:pPr>
            <w:r>
              <w:rPr>
                <w:rFonts w:ascii="Arial" w:hAnsi="Arial" w:eastAsia="Arial" w:cs="Arial"/>
                <w:b/>
                <w:bCs/>
                <w:color w:val="FFFFFF"/>
                <w:sz w:val="19"/>
                <w:szCs w:val="19"/>
              </w:rPr>
              <w:t>设计说明</w:t>
            </w:r>
          </w:p>
        </w:tc>
      </w:tr>
      <w:tr w14:paraId="6A11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269BE83">
            <w:pPr>
              <w:spacing w:before="36" w:after="36"/>
              <w:jc w:val="left"/>
            </w:pPr>
            <w:r>
              <w:rPr>
                <w:rFonts w:ascii="Arial" w:hAnsi="Arial" w:eastAsia="Arial" w:cs="Arial"/>
                <w:color w:val="222222"/>
                <w:sz w:val="20"/>
                <w:szCs w:val="20"/>
              </w:rPr>
              <w:t>① 职位全称</w:t>
            </w:r>
          </w:p>
        </w:tc>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41CF364">
            <w:pPr>
              <w:spacing w:before="36" w:after="36"/>
              <w:jc w:val="left"/>
            </w:pPr>
            <w:r>
              <w:rPr>
                <w:rFonts w:ascii="Arial" w:hAnsi="Arial" w:eastAsia="Arial" w:cs="Arial"/>
                <w:color w:val="222222"/>
                <w:sz w:val="20"/>
                <w:szCs w:val="20"/>
              </w:rPr>
              <w:t>填写符合中国行政体制的正式职位名称（如：Z省Y市X县委书记）</w:t>
            </w:r>
          </w:p>
        </w:tc>
        <w:tc>
          <w:tcPr>
            <w:tcW w:w="4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C5334B3">
            <w:pPr>
              <w:spacing w:before="36" w:after="36"/>
              <w:jc w:val="left"/>
            </w:pPr>
            <w:r>
              <w:rPr>
                <w:rFonts w:ascii="Arial" w:hAnsi="Arial" w:eastAsia="Arial" w:cs="Arial"/>
                <w:color w:val="222222"/>
                <w:sz w:val="20"/>
                <w:szCs w:val="20"/>
              </w:rPr>
              <w:t>职位名称决定制度模块归属（M1-M6中的哪一层），进而确定权限边界基准。虚构职位名称会降低制度合规验证的准确性</w:t>
            </w:r>
          </w:p>
        </w:tc>
      </w:tr>
      <w:tr w14:paraId="78837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600009E">
            <w:pPr>
              <w:spacing w:before="36" w:after="36"/>
              <w:jc w:val="left"/>
            </w:pPr>
            <w:r>
              <w:rPr>
                <w:rFonts w:ascii="Arial" w:hAnsi="Arial" w:eastAsia="Arial" w:cs="Arial"/>
                <w:color w:val="222222"/>
                <w:sz w:val="20"/>
                <w:szCs w:val="20"/>
              </w:rPr>
              <w:t>② 制度模块归属</w:t>
            </w:r>
          </w:p>
        </w:tc>
        <w:tc>
          <w:tcPr>
            <w:tcW w:w="3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AF555B4">
            <w:pPr>
              <w:spacing w:before="36" w:after="36"/>
              <w:jc w:val="left"/>
            </w:pPr>
            <w:r>
              <w:rPr>
                <w:rFonts w:ascii="Arial" w:hAnsi="Arial" w:eastAsia="Arial" w:cs="Arial"/>
                <w:color w:val="222222"/>
                <w:sz w:val="20"/>
                <w:szCs w:val="20"/>
              </w:rPr>
              <w:t>从M1-M6六大制度模块中选择主要归属（可选1-2个）</w:t>
            </w:r>
          </w:p>
        </w:tc>
        <w:tc>
          <w:tcPr>
            <w:tcW w:w="45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9B3DB64">
            <w:pPr>
              <w:spacing w:before="36" w:after="36"/>
              <w:jc w:val="left"/>
            </w:pPr>
            <w:r>
              <w:rPr>
                <w:rFonts w:ascii="Arial" w:hAnsi="Arial" w:eastAsia="Arial" w:cs="Arial"/>
                <w:color w:val="222222"/>
                <w:sz w:val="20"/>
                <w:szCs w:val="20"/>
              </w:rPr>
              <w:t>决定该角色在哪些制度规则下受到主要约束，以及哪些行动类型是其"主权领域"</w:t>
            </w:r>
          </w:p>
        </w:tc>
      </w:tr>
      <w:tr w14:paraId="49155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51ECD4C">
            <w:pPr>
              <w:spacing w:before="36" w:after="36"/>
              <w:jc w:val="left"/>
            </w:pPr>
            <w:r>
              <w:rPr>
                <w:rFonts w:ascii="Arial" w:hAnsi="Arial" w:eastAsia="Arial" w:cs="Arial"/>
                <w:color w:val="222222"/>
                <w:sz w:val="20"/>
                <w:szCs w:val="20"/>
              </w:rPr>
              <w:t>③ KPI权重分配</w:t>
            </w:r>
          </w:p>
        </w:tc>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623EB1F">
            <w:pPr>
              <w:spacing w:before="36" w:after="36"/>
              <w:jc w:val="left"/>
            </w:pPr>
            <w:r>
              <w:rPr>
                <w:rFonts w:ascii="Arial" w:hAnsi="Arial" w:eastAsia="Arial" w:cs="Arial"/>
                <w:color w:val="222222"/>
                <w:sz w:val="20"/>
                <w:szCs w:val="20"/>
              </w:rPr>
              <w:t>为五维指标（PSR/CLR/STS/IGA/ARC）各分配权重，总和必须=100%</w:t>
            </w:r>
          </w:p>
        </w:tc>
        <w:tc>
          <w:tcPr>
            <w:tcW w:w="4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BE704E7">
            <w:pPr>
              <w:spacing w:before="36" w:after="36"/>
              <w:jc w:val="left"/>
            </w:pPr>
            <w:r>
              <w:rPr>
                <w:rFonts w:ascii="Arial" w:hAnsi="Arial" w:eastAsia="Arial" w:cs="Arial"/>
                <w:color w:val="222222"/>
                <w:sz w:val="20"/>
                <w:szCs w:val="20"/>
              </w:rPr>
              <w:t>权重分配体现该角色的制度激励结构。不同角色的权重差异是博弈张力的来源。平台提供职位典型权重参考但不强制使用</w:t>
            </w:r>
          </w:p>
        </w:tc>
      </w:tr>
      <w:tr w14:paraId="487DC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EB0E3A0">
            <w:pPr>
              <w:spacing w:before="36" w:after="36"/>
              <w:jc w:val="left"/>
            </w:pPr>
            <w:r>
              <w:rPr>
                <w:rFonts w:ascii="Arial" w:hAnsi="Arial" w:eastAsia="Arial" w:cs="Arial"/>
                <w:color w:val="222222"/>
                <w:sz w:val="20"/>
                <w:szCs w:val="20"/>
              </w:rPr>
              <w:t>④ 可用行动类型</w:t>
            </w:r>
          </w:p>
        </w:tc>
        <w:tc>
          <w:tcPr>
            <w:tcW w:w="3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AB2DE47">
            <w:pPr>
              <w:spacing w:before="36" w:after="36"/>
              <w:jc w:val="left"/>
            </w:pPr>
            <w:r>
              <w:rPr>
                <w:rFonts w:ascii="Arial" w:hAnsi="Arial" w:eastAsia="Arial" w:cs="Arial"/>
                <w:color w:val="222222"/>
                <w:sz w:val="20"/>
                <w:szCs w:val="20"/>
              </w:rPr>
              <w:t>从12类行动中勾选该角色可以使用的类别（至少4类，建议6-8类）</w:t>
            </w:r>
          </w:p>
        </w:tc>
        <w:tc>
          <w:tcPr>
            <w:tcW w:w="45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010522B">
            <w:pPr>
              <w:spacing w:before="36" w:after="36"/>
              <w:jc w:val="left"/>
            </w:pPr>
            <w:r>
              <w:rPr>
                <w:rFonts w:ascii="Arial" w:hAnsi="Arial" w:eastAsia="Arial" w:cs="Arial"/>
                <w:color w:val="222222"/>
                <w:sz w:val="20"/>
                <w:szCs w:val="20"/>
              </w:rPr>
              <w:t>体现该角色的"行动能力边界"，对应其在制度体系中的权限范围。去掉不符合职位的类别，保留合理的类别</w:t>
            </w:r>
          </w:p>
        </w:tc>
      </w:tr>
      <w:tr w14:paraId="3382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C63B3DB">
            <w:pPr>
              <w:spacing w:before="36" w:after="36"/>
              <w:jc w:val="left"/>
            </w:pPr>
            <w:r>
              <w:rPr>
                <w:rFonts w:ascii="Arial" w:hAnsi="Arial" w:eastAsia="Arial" w:cs="Arial"/>
                <w:color w:val="222222"/>
                <w:sz w:val="20"/>
                <w:szCs w:val="20"/>
              </w:rPr>
              <w:t>⑤ 独占信息配置</w:t>
            </w:r>
          </w:p>
        </w:tc>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2E2B871">
            <w:pPr>
              <w:spacing w:before="36" w:after="36"/>
              <w:jc w:val="left"/>
            </w:pPr>
            <w:r>
              <w:rPr>
                <w:rFonts w:ascii="Arial" w:hAnsi="Arial" w:eastAsia="Arial" w:cs="Arial"/>
                <w:color w:val="222222"/>
                <w:sz w:val="20"/>
                <w:szCs w:val="20"/>
              </w:rPr>
              <w:t>设计该角色在推演开始时持有的独占信息（其他角色不知道），可选0-3条</w:t>
            </w:r>
          </w:p>
        </w:tc>
        <w:tc>
          <w:tcPr>
            <w:tcW w:w="4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78D6B42">
            <w:pPr>
              <w:spacing w:before="36" w:after="36"/>
              <w:jc w:val="left"/>
            </w:pPr>
            <w:r>
              <w:rPr>
                <w:rFonts w:ascii="Arial" w:hAnsi="Arial" w:eastAsia="Arial" w:cs="Arial"/>
                <w:color w:val="222222"/>
                <w:sz w:val="20"/>
                <w:szCs w:val="20"/>
              </w:rPr>
              <w:t>独占信息是信息博弈的基础。高信息不对称参数时此要素特别重要。可以设计策略性有价值的信息，也可以设计干扰性信息</w:t>
            </w:r>
          </w:p>
        </w:tc>
      </w:tr>
      <w:tr w14:paraId="5AE03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BB74B06">
            <w:pPr>
              <w:spacing w:before="36" w:after="36"/>
              <w:jc w:val="left"/>
            </w:pPr>
            <w:r>
              <w:rPr>
                <w:rFonts w:ascii="Arial" w:hAnsi="Arial" w:eastAsia="Arial" w:cs="Arial"/>
                <w:color w:val="222222"/>
                <w:sz w:val="20"/>
                <w:szCs w:val="20"/>
              </w:rPr>
              <w:t>⑥ 隐藏任务（可选）</w:t>
            </w:r>
          </w:p>
        </w:tc>
        <w:tc>
          <w:tcPr>
            <w:tcW w:w="3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DCAC131">
            <w:pPr>
              <w:spacing w:before="36" w:after="36"/>
              <w:jc w:val="left"/>
            </w:pPr>
            <w:r>
              <w:rPr>
                <w:rFonts w:ascii="Arial" w:hAnsi="Arial" w:eastAsia="Arial" w:cs="Arial"/>
                <w:color w:val="222222"/>
                <w:sz w:val="20"/>
                <w:szCs w:val="20"/>
              </w:rPr>
              <w:t>设计只有该角色知道的额外目标（非KPI）。可留空</w:t>
            </w:r>
          </w:p>
        </w:tc>
        <w:tc>
          <w:tcPr>
            <w:tcW w:w="45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09C1257">
            <w:pPr>
              <w:spacing w:before="36" w:after="36"/>
              <w:jc w:val="left"/>
            </w:pPr>
            <w:r>
              <w:rPr>
                <w:rFonts w:ascii="Arial" w:hAnsi="Arial" w:eastAsia="Arial" w:cs="Arial"/>
                <w:color w:val="222222"/>
                <w:sz w:val="20"/>
                <w:szCs w:val="20"/>
              </w:rPr>
              <w:t>隐藏任务增加博弈的不可预测性和真实感，但也增加设计复杂度。建议3人以上参与时才设计隐藏任务</w:t>
            </w:r>
          </w:p>
        </w:tc>
      </w:tr>
      <w:tr w14:paraId="1668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3068D4C">
            <w:pPr>
              <w:spacing w:before="36" w:after="36"/>
              <w:jc w:val="left"/>
            </w:pPr>
            <w:r>
              <w:rPr>
                <w:rFonts w:ascii="Arial" w:hAnsi="Arial" w:eastAsia="Arial" w:cs="Arial"/>
                <w:color w:val="222222"/>
                <w:sz w:val="20"/>
                <w:szCs w:val="20"/>
              </w:rPr>
              <w:t>⑦ 角色背景卡</w:t>
            </w:r>
          </w:p>
        </w:tc>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AAB4D84">
            <w:pPr>
              <w:spacing w:before="36" w:after="36"/>
              <w:jc w:val="left"/>
            </w:pPr>
            <w:r>
              <w:rPr>
                <w:rFonts w:ascii="Arial" w:hAnsi="Arial" w:eastAsia="Arial" w:cs="Arial"/>
                <w:color w:val="222222"/>
                <w:sz w:val="20"/>
                <w:szCs w:val="20"/>
              </w:rPr>
              <w:t>撰写300-500字的角色背景描述，包括个人履历、当前面临的主要压力、与其他角色的历史关系</w:t>
            </w:r>
          </w:p>
        </w:tc>
        <w:tc>
          <w:tcPr>
            <w:tcW w:w="4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BAFB36D">
            <w:pPr>
              <w:spacing w:before="36" w:after="36"/>
              <w:jc w:val="left"/>
            </w:pPr>
            <w:r>
              <w:rPr>
                <w:rFonts w:ascii="Arial" w:hAnsi="Arial" w:eastAsia="Arial" w:cs="Arial"/>
                <w:color w:val="222222"/>
                <w:sz w:val="20"/>
                <w:szCs w:val="20"/>
              </w:rPr>
              <w:t>玩家进入推演前阅读背景卡，帮助快速进入角色。背景卡中可以埋入对博弈有影响的历史信息，但要说明哪些是公开信息、哪些是独占信息</w:t>
            </w:r>
          </w:p>
        </w:tc>
      </w:tr>
    </w:tbl>
    <w:p w14:paraId="2196C6FD">
      <w:pPr>
        <w:spacing w:before="120" w:after="120"/>
      </w:pPr>
    </w:p>
    <w:p w14:paraId="4C174DEF">
      <w:pPr>
        <w:pStyle w:val="3"/>
        <w:spacing w:before="320" w:after="140"/>
      </w:pPr>
      <w:r>
        <w:rPr>
          <w:rFonts w:ascii="Arial" w:hAnsi="Arial" w:eastAsia="Arial" w:cs="Arial"/>
          <w:b/>
          <w:bCs/>
          <w:color w:val="174A7E"/>
          <w:sz w:val="25"/>
          <w:szCs w:val="25"/>
        </w:rPr>
        <w:t>7.4 事件脚本设计系统</w:t>
      </w:r>
    </w:p>
    <w:p w14:paraId="51090B27">
      <w:pPr>
        <w:spacing w:before="80" w:after="80"/>
        <w:jc w:val="both"/>
      </w:pPr>
      <w:r>
        <w:rPr>
          <w:rFonts w:ascii="Arial" w:hAnsi="Arial" w:eastAsia="Arial" w:cs="Arial"/>
          <w:b w:val="0"/>
          <w:bCs w:val="0"/>
          <w:color w:val="111111"/>
          <w:sz w:val="22"/>
          <w:szCs w:val="22"/>
        </w:rPr>
        <w:t>事件卡（Event Card）是推演中主持人（或系统自动）向玩家推送的情境更新信息，是制造戏剧性转折、测试玩家应变能力的核心机制。每张事件卡的设计包含六个字段：事件名称（内部识别用）；触发条件（支持三类：①指标阈值条件，如STS&lt;35；②阶段条件，如进入阶段3时必发；③随机概率，如每轮15%概率）；接收对象（全体/特定角色/特定角色组，支持差异化内容推送给不同角色）；事件文本（向接收方展示的信息，≤200字）；直接指标修正值（该事件对五维指标的即时影响，优先级高于RAG生成选项的效果）；信息归属（该事件信息是全体可见还是仅部分角色可见）。</w:t>
      </w:r>
    </w:p>
    <w:p w14:paraId="7826C157">
      <w:pPr>
        <w:spacing w:before="80" w:after="80"/>
        <w:jc w:val="both"/>
      </w:pPr>
      <w:r>
        <w:rPr>
          <w:rFonts w:ascii="Arial" w:hAnsi="Arial" w:eastAsia="Arial" w:cs="Arial"/>
          <w:b w:val="0"/>
          <w:bCs w:val="0"/>
          <w:color w:val="111111"/>
          <w:sz w:val="22"/>
          <w:szCs w:val="22"/>
        </w:rPr>
        <w:t>平台建议每个推演场景配置10-20张事件卡，其中必发事件卡（条件触发）占60%、随机事件卡（概率触发）占40%。必发事件卡确保推演在关键节点有明确的情境推进；随机事件卡制造不确定性，测试玩家在非预期情境下的适应能力，这与有限理性研究对"冲击响应"的关注直接对应（Simon, 1957；Kahneman, 2011）。用户可以从平台的事件卡模板库选取现有卡片，也可以完全自己设计，不限类型和数量。</w:t>
      </w:r>
    </w:p>
    <w:p w14:paraId="2A1E86F1">
      <w:r>
        <w:br w:type="page"/>
      </w:r>
    </w:p>
    <w:p w14:paraId="3BD172B6">
      <w:pPr>
        <w:pStyle w:val="2"/>
        <w:pBdr>
          <w:bottom w:val="single" w:color="1A3A5C" w:sz="8" w:space="2"/>
        </w:pBdr>
        <w:spacing w:before="440" w:after="200"/>
      </w:pPr>
      <w:r>
        <w:rPr>
          <w:rFonts w:ascii="Arial" w:hAnsi="Arial" w:eastAsia="Arial" w:cs="Arial"/>
          <w:b/>
          <w:bCs/>
          <w:color w:val="1A3A5C"/>
          <w:sz w:val="30"/>
          <w:szCs w:val="30"/>
        </w:rPr>
        <w:t>八、三类用户与平台的完整交互设计</w:t>
      </w:r>
    </w:p>
    <w:p w14:paraId="00F0B2D5">
      <w:pPr>
        <w:spacing w:before="80" w:after="80"/>
        <w:jc w:val="both"/>
      </w:pPr>
      <w:r>
        <w:rPr>
          <w:rFonts w:ascii="Arial" w:hAnsi="Arial" w:eastAsia="Arial" w:cs="Arial"/>
          <w:b w:val="0"/>
          <w:bCs w:val="0"/>
          <w:color w:val="111111"/>
          <w:sz w:val="22"/>
          <w:szCs w:val="22"/>
        </w:rPr>
        <w:t>政通推演坊服务三类核心用户：场景配置者（教师/研究者）、推演参与者（玩家）、数据分析者（研究者）。三类用户的权限和界面完全不同，但在同一次推演中协同工作。本节描述三类用户与平台的完整交互设计，重点阐述推演进行中玩家的"五区联动指挥桌"界面和五种协商模式。</w:t>
      </w:r>
    </w:p>
    <w:p w14:paraId="507FC4D1">
      <w:pPr>
        <w:pStyle w:val="3"/>
        <w:spacing w:before="320" w:after="140"/>
      </w:pPr>
      <w:r>
        <w:rPr>
          <w:rFonts w:ascii="Arial" w:hAnsi="Arial" w:eastAsia="Arial" w:cs="Arial"/>
          <w:b/>
          <w:bCs/>
          <w:color w:val="174A7E"/>
          <w:sz w:val="25"/>
          <w:szCs w:val="25"/>
        </w:rPr>
        <w:t>8.1 配置者权限与配置端界面</w:t>
      </w:r>
    </w:p>
    <w:p w14:paraId="2D233B4F">
      <w:pPr>
        <w:spacing w:before="80" w:after="80"/>
        <w:jc w:val="both"/>
      </w:pPr>
      <w:r>
        <w:rPr>
          <w:rFonts w:ascii="Arial" w:hAnsi="Arial" w:eastAsia="Arial" w:cs="Arial"/>
          <w:b w:val="0"/>
          <w:bCs w:val="0"/>
          <w:color w:val="111111"/>
          <w:sz w:val="22"/>
          <w:szCs w:val="22"/>
        </w:rPr>
        <w:t>场景配置者（通常也是推演主持人）在完成九步配置工作流后，进入配置端管理界面，拥有以下权限：查看所有角色的完整信息（包括独占信息）；实时监控全体玩家的决策进度和指标状态；手动触发事件卡（在预设触发条件之外添加临时事件）；调整全局压力参数（实时提高或降低督察倒计时、舆情热度等）；暂停和恢复推演（用于插入课堂讲解）；强制推进到下一阶段（当某玩家超时时）；广播主持人提示（不进入游戏日志，仅用于临时沟通）。配置端的核心监控界面是"实时仪表盘"，展示全体玩家的决策进度（已提交/思考中/超时标记）、五维指标全局走势和通信网络实时图谱。</w:t>
      </w:r>
    </w:p>
    <w:p w14:paraId="06B8D270">
      <w:pPr>
        <w:spacing w:before="60" w:after="60"/>
      </w:pPr>
    </w:p>
    <w:p w14:paraId="66AFFA0B">
      <w:pPr>
        <w:pStyle w:val="3"/>
        <w:spacing w:before="320" w:after="140"/>
      </w:pPr>
      <w:r>
        <w:rPr>
          <w:rFonts w:ascii="Arial" w:hAnsi="Arial" w:eastAsia="Arial" w:cs="Arial"/>
          <w:b/>
          <w:bCs/>
          <w:color w:val="174A7E"/>
          <w:sz w:val="25"/>
          <w:szCs w:val="25"/>
        </w:rPr>
        <w:t>8.2 玩家"五区联动指挥桌"界面详解</w:t>
      </w:r>
    </w:p>
    <w:p w14:paraId="47591B79">
      <w:pPr>
        <w:spacing w:before="80" w:after="80"/>
        <w:jc w:val="both"/>
      </w:pPr>
      <w:r>
        <w:rPr>
          <w:rFonts w:ascii="Arial" w:hAnsi="Arial" w:eastAsia="Arial" w:cs="Arial"/>
          <w:b w:val="0"/>
          <w:bCs w:val="0"/>
          <w:color w:val="111111"/>
          <w:sz w:val="22"/>
          <w:szCs w:val="22"/>
        </w:rPr>
        <w:t>玩家的核心操作界面"五区联动指挥桌"将信息呈现、决策操作、协商互动、指标监控和地图视图整合在一个屏幕上，各区联动响应，形成高密度的沉浸式博弈体验。</w:t>
      </w:r>
    </w:p>
    <w:p w14:paraId="1991AF5E">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E7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724866A3">
            <w:pPr>
              <w:spacing w:before="60" w:after="100"/>
            </w:pPr>
            <w:r>
              <w:rPr>
                <w:rFonts w:ascii="Arial" w:hAnsi="Arial" w:eastAsia="Arial" w:cs="Arial"/>
                <w:b/>
                <w:bCs/>
                <w:color w:val="1A3A5C"/>
                <w:sz w:val="21"/>
                <w:szCs w:val="21"/>
              </w:rPr>
              <w:t>▌ 玩家"五区联动指挥桌"界面布局</w:t>
            </w:r>
          </w:p>
          <w:p w14:paraId="4F7326EE">
            <w:pPr>
              <w:spacing w:before="16" w:after="16"/>
            </w:pPr>
            <w:r>
              <w:rPr>
                <w:rFonts w:ascii="Courier New" w:hAnsi="Courier New" w:eastAsia="Courier New" w:cs="Courier New"/>
                <w:color w:val="1A2233"/>
                <w:sz w:val="19"/>
                <w:szCs w:val="19"/>
              </w:rPr>
              <w:t xml:space="preserve">  ┌─────────────────────────────────────────────────────────────────────────┐</w:t>
            </w:r>
          </w:p>
          <w:p w14:paraId="6B7CB1A3">
            <w:pPr>
              <w:spacing w:before="16" w:after="16"/>
            </w:pPr>
            <w:r>
              <w:rPr>
                <w:rFonts w:ascii="Courier New" w:hAnsi="Courier New" w:eastAsia="Courier New" w:cs="Courier New"/>
                <w:color w:val="1A2233"/>
                <w:sz w:val="19"/>
                <w:szCs w:val="19"/>
              </w:rPr>
              <w:t xml:space="preserve">  │   顶部横栏：指标仪表盘（五维KPI实时状态条 + 变化动画 + 督察倒计时）     │</w:t>
            </w:r>
          </w:p>
          <w:p w14:paraId="73E7B40A">
            <w:pPr>
              <w:spacing w:before="16" w:after="16"/>
            </w:pPr>
            <w:r>
              <w:rPr>
                <w:rFonts w:ascii="Courier New" w:hAnsi="Courier New" w:eastAsia="Courier New" w:cs="Courier New"/>
                <w:color w:val="1A2233"/>
                <w:sz w:val="19"/>
                <w:szCs w:val="19"/>
              </w:rPr>
              <w:t xml:space="preserve">  ├──────────────────┬───────────────────────────┬────────────────────────  ┤</w:t>
            </w:r>
          </w:p>
          <w:p w14:paraId="79135969">
            <w:pPr>
              <w:spacing w:before="16" w:after="16"/>
            </w:pPr>
            <w:r>
              <w:rPr>
                <w:rFonts w:ascii="Courier New" w:hAnsi="Courier New" w:eastAsia="Courier New" w:cs="Courier New"/>
                <w:color w:val="1A2233"/>
                <w:sz w:val="19"/>
                <w:szCs w:val="19"/>
              </w:rPr>
              <w:t xml:space="preserve">  │                  │                           │                          │</w:t>
            </w:r>
          </w:p>
          <w:p w14:paraId="0D2B05AF">
            <w:pPr>
              <w:spacing w:before="16" w:after="16"/>
            </w:pPr>
            <w:r>
              <w:rPr>
                <w:rFonts w:ascii="Courier New" w:hAnsi="Courier New" w:eastAsia="Courier New" w:cs="Courier New"/>
                <w:color w:val="1A2233"/>
                <w:sz w:val="19"/>
                <w:szCs w:val="19"/>
              </w:rPr>
              <w:t xml:space="preserve">  │  左侧纵栏        │    中央主区：核心决策区    │  右侧纵栏                │</w:t>
            </w:r>
          </w:p>
          <w:p w14:paraId="147BF113">
            <w:pPr>
              <w:spacing w:before="16" w:after="16"/>
            </w:pPr>
            <w:r>
              <w:rPr>
                <w:rFonts w:ascii="Courier New" w:hAnsi="Courier New" w:eastAsia="Courier New" w:cs="Courier New"/>
                <w:color w:val="1A2233"/>
                <w:sz w:val="19"/>
                <w:szCs w:val="19"/>
              </w:rPr>
              <w:t xml:space="preserve">  │  情报流区        │                           │  协商互动区              │</w:t>
            </w:r>
          </w:p>
          <w:p w14:paraId="55BA6608">
            <w:pPr>
              <w:spacing w:before="16" w:after="16"/>
            </w:pPr>
            <w:r>
              <w:rPr>
                <w:rFonts w:ascii="Courier New" w:hAnsi="Courier New" w:eastAsia="Courier New" w:cs="Courier New"/>
                <w:color w:val="1A2233"/>
                <w:sz w:val="19"/>
                <w:szCs w:val="19"/>
              </w:rPr>
              <w:t xml:space="preserve">  │                  │  ┌─────────────────────┐  │                          │</w:t>
            </w:r>
          </w:p>
          <w:p w14:paraId="4EB272E2">
            <w:pPr>
              <w:spacing w:before="16" w:after="16"/>
            </w:pPr>
            <w:r>
              <w:rPr>
                <w:rFonts w:ascii="Courier New" w:hAnsi="Courier New" w:eastAsia="Courier New" w:cs="Courier New"/>
                <w:color w:val="1A2233"/>
                <w:sz w:val="19"/>
                <w:szCs w:val="19"/>
              </w:rPr>
              <w:t xml:space="preserve">  │  系统推送的：    │  │ 当前决策节点情境描述  │  │  [全体公开频道]          │</w:t>
            </w:r>
          </w:p>
          <w:p w14:paraId="3A141F77">
            <w:pPr>
              <w:spacing w:before="16" w:after="16"/>
            </w:pPr>
            <w:r>
              <w:rPr>
                <w:rFonts w:ascii="Courier New" w:hAnsi="Courier New" w:eastAsia="Courier New" w:cs="Courier New"/>
                <w:color w:val="1A2233"/>
                <w:sz w:val="19"/>
                <w:szCs w:val="19"/>
              </w:rPr>
              <w:t xml:space="preserve">  │  · 上级函件      │  │ (≤150字)             │  │  [部门内频道]            │</w:t>
            </w:r>
          </w:p>
          <w:p w14:paraId="497E58F8">
            <w:pPr>
              <w:spacing w:before="16" w:after="16"/>
            </w:pPr>
            <w:r>
              <w:rPr>
                <w:rFonts w:ascii="Courier New" w:hAnsi="Courier New" w:eastAsia="Courier New" w:cs="Courier New"/>
                <w:color w:val="1A2233"/>
                <w:sz w:val="19"/>
                <w:szCs w:val="19"/>
              </w:rPr>
              <w:t xml:space="preserve">  │  · 事件卡通知    │  ├─────────────────────┤  │  [私信频道]              │</w:t>
            </w:r>
          </w:p>
          <w:p w14:paraId="681066E8">
            <w:pPr>
              <w:spacing w:before="16" w:after="16"/>
            </w:pPr>
            <w:r>
              <w:rPr>
                <w:rFonts w:ascii="Courier New" w:hAnsi="Courier New" w:eastAsia="Courier New" w:cs="Courier New"/>
                <w:color w:val="1A2233"/>
                <w:sz w:val="19"/>
                <w:szCs w:val="19"/>
              </w:rPr>
              <w:t xml:space="preserve">  │  · 公开行动更新  │  │ 候选选项 A  [📖依据]  │  │  [联席会议入口]          │</w:t>
            </w:r>
          </w:p>
          <w:p w14:paraId="64A6EBF8">
            <w:pPr>
              <w:spacing w:before="16" w:after="16"/>
            </w:pPr>
            <w:r>
              <w:rPr>
                <w:rFonts w:ascii="Courier New" w:hAnsi="Courier New" w:eastAsia="Courier New" w:cs="Courier New"/>
                <w:color w:val="1A2233"/>
                <w:sz w:val="19"/>
                <w:szCs w:val="19"/>
              </w:rPr>
              <w:t xml:space="preserve">  │  · 实时新闻      │  │ 候选选项 B  [📖依据]  │  │  [快捷短语面板]          │</w:t>
            </w:r>
          </w:p>
          <w:p w14:paraId="5A28AC32">
            <w:pPr>
              <w:spacing w:before="16" w:after="16"/>
            </w:pPr>
            <w:r>
              <w:rPr>
                <w:rFonts w:ascii="Courier New" w:hAnsi="Courier New" w:eastAsia="Courier New" w:cs="Courier New"/>
                <w:color w:val="1A2233"/>
                <w:sz w:val="19"/>
                <w:szCs w:val="19"/>
              </w:rPr>
              <w:t xml:space="preserve">  │                  │  │ 候选选项 C  [📖依据]  │  │  [联署发起/响应]         │</w:t>
            </w:r>
          </w:p>
          <w:p w14:paraId="5BEDC605">
            <w:pPr>
              <w:spacing w:before="16" w:after="16"/>
            </w:pPr>
            <w:r>
              <w:rPr>
                <w:rFonts w:ascii="Courier New" w:hAnsi="Courier New" w:eastAsia="Courier New" w:cs="Courier New"/>
                <w:color w:val="1A2233"/>
                <w:sz w:val="19"/>
                <w:szCs w:val="19"/>
              </w:rPr>
              <w:t xml:space="preserve">  │  ← 按时间序排列  │  │ [+ 添加自定义选项]    │  │  [紧急协商申请]          │</w:t>
            </w:r>
          </w:p>
          <w:p w14:paraId="33812D40">
            <w:pPr>
              <w:spacing w:before="16" w:after="16"/>
            </w:pPr>
            <w:r>
              <w:rPr>
                <w:rFonts w:ascii="Courier New" w:hAnsi="Courier New" w:eastAsia="Courier New" w:cs="Courier New"/>
                <w:color w:val="1A2233"/>
                <w:sz w:val="19"/>
                <w:szCs w:val="19"/>
              </w:rPr>
              <w:t xml:space="preserve">  │  红色=关键情报   │  │ ⏱ 倒计时  02:34       │  │                          │</w:t>
            </w:r>
          </w:p>
          <w:p w14:paraId="5BDB2309">
            <w:pPr>
              <w:spacing w:before="16" w:after="16"/>
            </w:pPr>
            <w:r>
              <w:rPr>
                <w:rFonts w:ascii="Courier New" w:hAnsi="Courier New" w:eastAsia="Courier New" w:cs="Courier New"/>
                <w:color w:val="1A2233"/>
                <w:sz w:val="19"/>
                <w:szCs w:val="19"/>
              </w:rPr>
              <w:t xml:space="preserve">  │                  │  └─────────────────────┘  │                          │</w:t>
            </w:r>
          </w:p>
          <w:p w14:paraId="75A4EE5D">
            <w:pPr>
              <w:spacing w:before="16" w:after="16"/>
            </w:pPr>
            <w:r>
              <w:rPr>
                <w:rFonts w:ascii="Courier New" w:hAnsi="Courier New" w:eastAsia="Courier New" w:cs="Courier New"/>
                <w:color w:val="1A2233"/>
                <w:sz w:val="19"/>
                <w:szCs w:val="19"/>
              </w:rPr>
              <w:t xml:space="preserve">  ├──────────────────┴───────────────────────────┴────────────────────────  ┤</w:t>
            </w:r>
          </w:p>
          <w:p w14:paraId="5C065D16">
            <w:pPr>
              <w:spacing w:before="16" w:after="16"/>
            </w:pPr>
            <w:r>
              <w:rPr>
                <w:rFonts w:ascii="Courier New" w:hAnsi="Courier New" w:eastAsia="Courier New" w:cs="Courier New"/>
                <w:color w:val="1A2233"/>
                <w:sz w:val="19"/>
                <w:szCs w:val="19"/>
              </w:rPr>
              <w:t xml:space="preserve">  │  底部可展开：地图视图（辖区行政区划）/ 角色关系网络图（实时更新）         │</w:t>
            </w:r>
          </w:p>
          <w:p w14:paraId="38300FA9">
            <w:pPr>
              <w:spacing w:before="16" w:after="16"/>
            </w:pPr>
            <w:r>
              <w:rPr>
                <w:rFonts w:ascii="Courier New" w:hAnsi="Courier New" w:eastAsia="Courier New" w:cs="Courier New"/>
                <w:color w:val="1A2233"/>
                <w:sz w:val="19"/>
                <w:szCs w:val="19"/>
              </w:rPr>
              <w:t xml:space="preserve">  └─────────────────────────────────────────────────────────────────────────┘</w:t>
            </w:r>
          </w:p>
        </w:tc>
      </w:tr>
    </w:tbl>
    <w:p w14:paraId="230C38BB">
      <w:pPr>
        <w:spacing w:before="60" w:after="60"/>
      </w:pPr>
    </w:p>
    <w:p w14:paraId="733188A6">
      <w:pPr>
        <w:spacing w:before="80" w:after="80"/>
        <w:jc w:val="both"/>
      </w:pPr>
      <w:r>
        <w:rPr>
          <w:rFonts w:ascii="Arial" w:hAnsi="Arial" w:eastAsia="Arial" w:cs="Arial"/>
          <w:b w:val="0"/>
          <w:bCs w:val="0"/>
          <w:color w:val="111111"/>
          <w:sz w:val="22"/>
          <w:szCs w:val="22"/>
        </w:rPr>
        <w:t>情报流区（左侧）：按时间序排列所有系统推送的信息更新，包括上级函件、事件卡通知、其他角色的公开行动摘要和实时舆情动态。关键情报以红色标记，确保玩家不遗漏重要信息。玩家可以随时向上滚动查阅历史情报，系统记录玩家的阅读行为（阅读时长/点击顺序/关键情报阅读率）作为信息处理行为数据。</w:t>
      </w:r>
    </w:p>
    <w:p w14:paraId="41AC7785">
      <w:pPr>
        <w:spacing w:before="80" w:after="80"/>
        <w:jc w:val="both"/>
      </w:pPr>
      <w:r>
        <w:rPr>
          <w:rFonts w:ascii="Arial" w:hAnsi="Arial" w:eastAsia="Arial" w:cs="Arial"/>
          <w:b w:val="0"/>
          <w:bCs w:val="0"/>
          <w:color w:val="111111"/>
          <w:sz w:val="22"/>
          <w:szCs w:val="22"/>
        </w:rPr>
        <w:t>核心决策区（中央）：推演的主操作区域，展示当前决策节点的情境描述和候选选项。每个选项卡片右上角有"📖 理论依据"折叠按钮，点击展开后显示该选项对应的核心因果命题（约80字）、文献来源和DOI链接（直接跳转百晓生平台全文）。文献展示的具体方式（是否默认展开、是否强制阅读）由配置层的literature_display参数控制，让研究者可以把"文献展示方式"本身作为实验处理变量。</w:t>
      </w:r>
    </w:p>
    <w:p w14:paraId="10EFD572">
      <w:pPr>
        <w:spacing w:before="80" w:after="80"/>
        <w:jc w:val="both"/>
      </w:pPr>
      <w:r>
        <w:rPr>
          <w:rFonts w:ascii="Arial" w:hAnsi="Arial" w:eastAsia="Arial" w:cs="Arial"/>
          <w:b w:val="0"/>
          <w:bCs w:val="0"/>
          <w:color w:val="111111"/>
          <w:sz w:val="22"/>
          <w:szCs w:val="22"/>
        </w:rPr>
        <w:t>协商互动区（右侧）：集成全体公开频道、部门内频道、私信频道、联席会议入口、快捷短语面板和联署功能。全体公开频道的所有发言对所有玩家可见且不可撤回，类似正式场合的公开表态；私信频道仅对收发双方可见（主持人/研究者可全部查看）；联署功能允许玩家发起多角色联合行动，系统自动记录联署发起者、响应者、联署内容和生效时间。</w:t>
      </w:r>
    </w:p>
    <w:p w14:paraId="7CD7E7F0">
      <w:pPr>
        <w:spacing w:before="60" w:after="60"/>
      </w:pPr>
    </w:p>
    <w:p w14:paraId="6EB60972">
      <w:pPr>
        <w:pStyle w:val="3"/>
        <w:spacing w:before="320" w:after="140"/>
      </w:pPr>
      <w:r>
        <w:rPr>
          <w:rFonts w:ascii="Arial" w:hAnsi="Arial" w:eastAsia="Arial" w:cs="Arial"/>
          <w:b/>
          <w:bCs/>
          <w:color w:val="174A7E"/>
          <w:sz w:val="25"/>
          <w:szCs w:val="25"/>
        </w:rPr>
        <w:t>8.3 五种协商模式</w:t>
      </w:r>
    </w:p>
    <w:p w14:paraId="210D8EC6">
      <w:pPr>
        <w:spacing w:before="80" w:after="80"/>
        <w:jc w:val="both"/>
      </w:pPr>
      <w:r>
        <w:rPr>
          <w:rFonts w:ascii="Arial" w:hAnsi="Arial" w:eastAsia="Arial" w:cs="Arial"/>
          <w:b w:val="0"/>
          <w:bCs w:val="0"/>
          <w:color w:val="111111"/>
          <w:sz w:val="22"/>
          <w:szCs w:val="22"/>
        </w:rPr>
        <w:t>协商是推演中最具研究价值的行为之一，也是与传统调查实验区别最大的维度。政通推演坊的五种协商模式设计来自对真实治理场景中沟通形态的系统梳理，既有正式场合的公开表态，也有非正式的私下协商，还有有时间压力的紧急谈判。</w:t>
      </w:r>
    </w:p>
    <w:p w14:paraId="6707880C">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500"/>
        <w:gridCol w:w="1700"/>
        <w:gridCol w:w="2300"/>
        <w:gridCol w:w="2260"/>
      </w:tblGrid>
      <w:tr w14:paraId="79AC1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BFE42C8">
            <w:pPr>
              <w:spacing w:before="36" w:after="36"/>
              <w:jc w:val="center"/>
            </w:pPr>
            <w:r>
              <w:rPr>
                <w:rFonts w:ascii="Arial" w:hAnsi="Arial" w:eastAsia="Arial" w:cs="Arial"/>
                <w:b/>
                <w:bCs/>
                <w:color w:val="FFFFFF"/>
                <w:sz w:val="19"/>
                <w:szCs w:val="19"/>
              </w:rPr>
              <w:t>模式名称</w:t>
            </w:r>
          </w:p>
        </w:tc>
        <w:tc>
          <w:tcPr>
            <w:tcW w:w="15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F32257E">
            <w:pPr>
              <w:spacing w:before="36" w:after="36"/>
              <w:jc w:val="center"/>
            </w:pPr>
            <w:r>
              <w:rPr>
                <w:rFonts w:ascii="Arial" w:hAnsi="Arial" w:eastAsia="Arial" w:cs="Arial"/>
                <w:b/>
                <w:bCs/>
                <w:color w:val="FFFFFF"/>
                <w:sz w:val="19"/>
                <w:szCs w:val="19"/>
              </w:rPr>
              <w:t>触发方式</w:t>
            </w:r>
          </w:p>
        </w:tc>
        <w:tc>
          <w:tcPr>
            <w:tcW w:w="17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330A0423">
            <w:pPr>
              <w:spacing w:before="36" w:after="36"/>
              <w:jc w:val="center"/>
            </w:pPr>
            <w:r>
              <w:rPr>
                <w:rFonts w:ascii="Arial" w:hAnsi="Arial" w:eastAsia="Arial" w:cs="Arial"/>
                <w:b/>
                <w:bCs/>
                <w:color w:val="FFFFFF"/>
                <w:sz w:val="19"/>
                <w:szCs w:val="19"/>
              </w:rPr>
              <w:t>参与者范围</w:t>
            </w:r>
          </w:p>
        </w:tc>
        <w:tc>
          <w:tcPr>
            <w:tcW w:w="23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5E9CC87">
            <w:pPr>
              <w:spacing w:before="36" w:after="36"/>
              <w:jc w:val="center"/>
            </w:pPr>
            <w:r>
              <w:rPr>
                <w:rFonts w:ascii="Arial" w:hAnsi="Arial" w:eastAsia="Arial" w:cs="Arial"/>
                <w:b/>
                <w:bCs/>
                <w:color w:val="FFFFFF"/>
                <w:sz w:val="19"/>
                <w:szCs w:val="19"/>
              </w:rPr>
              <w:t>主要规则约束</w:t>
            </w:r>
          </w:p>
        </w:tc>
        <w:tc>
          <w:tcPr>
            <w:tcW w:w="22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9C6D2FF">
            <w:pPr>
              <w:spacing w:before="36" w:after="36"/>
              <w:jc w:val="center"/>
            </w:pPr>
            <w:r>
              <w:rPr>
                <w:rFonts w:ascii="Arial" w:hAnsi="Arial" w:eastAsia="Arial" w:cs="Arial"/>
                <w:b/>
                <w:bCs/>
                <w:color w:val="FFFFFF"/>
                <w:sz w:val="19"/>
                <w:szCs w:val="19"/>
              </w:rPr>
              <w:t>研究价值</w:t>
            </w:r>
          </w:p>
        </w:tc>
      </w:tr>
      <w:tr w14:paraId="4B7B7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FD2E0B2">
            <w:pPr>
              <w:spacing w:before="36" w:after="36"/>
              <w:jc w:val="left"/>
            </w:pPr>
            <w:r>
              <w:rPr>
                <w:rFonts w:ascii="Arial" w:hAnsi="Arial" w:eastAsia="Arial" w:cs="Arial"/>
                <w:color w:val="222222"/>
                <w:sz w:val="20"/>
                <w:szCs w:val="20"/>
              </w:rPr>
              <w:t>全体公告</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6D08ED4">
            <w:pPr>
              <w:spacing w:before="36" w:after="36"/>
              <w:jc w:val="left"/>
            </w:pPr>
            <w:r>
              <w:rPr>
                <w:rFonts w:ascii="Arial" w:hAnsi="Arial" w:eastAsia="Arial" w:cs="Arial"/>
                <w:color w:val="222222"/>
                <w:sz w:val="20"/>
                <w:szCs w:val="20"/>
              </w:rPr>
              <w:t>任意时间点击发送</w:t>
            </w:r>
          </w:p>
        </w:tc>
        <w:tc>
          <w:tcPr>
            <w:tcW w:w="17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50DA0CD">
            <w:pPr>
              <w:spacing w:before="36" w:after="36"/>
              <w:jc w:val="left"/>
            </w:pPr>
            <w:r>
              <w:rPr>
                <w:rFonts w:ascii="Arial" w:hAnsi="Arial" w:eastAsia="Arial" w:cs="Arial"/>
                <w:color w:val="222222"/>
                <w:sz w:val="20"/>
                <w:szCs w:val="20"/>
              </w:rPr>
              <w:t>发送者→全体玩家可见</w:t>
            </w:r>
          </w:p>
        </w:tc>
        <w:tc>
          <w:tcPr>
            <w:tcW w:w="23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F8A68A8">
            <w:pPr>
              <w:spacing w:before="36" w:after="36"/>
              <w:jc w:val="left"/>
            </w:pPr>
            <w:r>
              <w:rPr>
                <w:rFonts w:ascii="Arial" w:hAnsi="Arial" w:eastAsia="Arial" w:cs="Arial"/>
                <w:color w:val="222222"/>
                <w:sz w:val="20"/>
                <w:szCs w:val="20"/>
              </w:rPr>
              <w:t>无次数限制；不可撤回；自动归入情报流</w:t>
            </w:r>
          </w:p>
        </w:tc>
        <w:tc>
          <w:tcPr>
            <w:tcW w:w="22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5935311">
            <w:pPr>
              <w:spacing w:before="36" w:after="36"/>
              <w:jc w:val="left"/>
            </w:pPr>
            <w:r>
              <w:rPr>
                <w:rFonts w:ascii="Arial" w:hAnsi="Arial" w:eastAsia="Arial" w:cs="Arial"/>
                <w:color w:val="222222"/>
                <w:sz w:val="20"/>
                <w:szCs w:val="20"/>
              </w:rPr>
              <w:t>公开表态策略测量；话语类型分析；信息共享主动性</w:t>
            </w:r>
          </w:p>
        </w:tc>
      </w:tr>
      <w:tr w14:paraId="6CF87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EEC906D">
            <w:pPr>
              <w:spacing w:before="36" w:after="36"/>
              <w:jc w:val="left"/>
            </w:pPr>
            <w:r>
              <w:rPr>
                <w:rFonts w:ascii="Arial" w:hAnsi="Arial" w:eastAsia="Arial" w:cs="Arial"/>
                <w:color w:val="222222"/>
                <w:sz w:val="20"/>
                <w:szCs w:val="20"/>
              </w:rPr>
              <w:t>部门内频道</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CE41B4A">
            <w:pPr>
              <w:spacing w:before="36" w:after="36"/>
              <w:jc w:val="left"/>
            </w:pPr>
            <w:r>
              <w:rPr>
                <w:rFonts w:ascii="Arial" w:hAnsi="Arial" w:eastAsia="Arial" w:cs="Arial"/>
                <w:color w:val="222222"/>
                <w:sz w:val="20"/>
                <w:szCs w:val="20"/>
              </w:rPr>
              <w:t>同机构成员自动开通</w:t>
            </w:r>
          </w:p>
        </w:tc>
        <w:tc>
          <w:tcPr>
            <w:tcW w:w="17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D4A3B0B">
            <w:pPr>
              <w:spacing w:before="36" w:after="36"/>
              <w:jc w:val="left"/>
            </w:pPr>
            <w:r>
              <w:rPr>
                <w:rFonts w:ascii="Arial" w:hAnsi="Arial" w:eastAsia="Arial" w:cs="Arial"/>
                <w:color w:val="222222"/>
                <w:sz w:val="20"/>
                <w:szCs w:val="20"/>
              </w:rPr>
              <w:t>同机构角色成员</w:t>
            </w:r>
          </w:p>
        </w:tc>
        <w:tc>
          <w:tcPr>
            <w:tcW w:w="23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58614CE">
            <w:pPr>
              <w:spacing w:before="36" w:after="36"/>
              <w:jc w:val="left"/>
            </w:pPr>
            <w:r>
              <w:rPr>
                <w:rFonts w:ascii="Arial" w:hAnsi="Arial" w:eastAsia="Arial" w:cs="Arial"/>
                <w:color w:val="222222"/>
                <w:sz w:val="20"/>
                <w:szCs w:val="20"/>
              </w:rPr>
              <w:t>半公开：纪检角色可申请查阅（消耗1行动配额）</w:t>
            </w:r>
          </w:p>
        </w:tc>
        <w:tc>
          <w:tcPr>
            <w:tcW w:w="22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DC3BE95">
            <w:pPr>
              <w:spacing w:before="36" w:after="36"/>
              <w:jc w:val="left"/>
            </w:pPr>
            <w:r>
              <w:rPr>
                <w:rFonts w:ascii="Arial" w:hAnsi="Arial" w:eastAsia="Arial" w:cs="Arial"/>
                <w:color w:val="222222"/>
                <w:sz w:val="20"/>
                <w:szCs w:val="20"/>
              </w:rPr>
              <w:t>部门内信息共享深度；次级代理行为建模</w:t>
            </w:r>
          </w:p>
        </w:tc>
      </w:tr>
      <w:tr w14:paraId="55F5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1ECF10C">
            <w:pPr>
              <w:spacing w:before="36" w:after="36"/>
              <w:jc w:val="left"/>
            </w:pPr>
            <w:r>
              <w:rPr>
                <w:rFonts w:ascii="Arial" w:hAnsi="Arial" w:eastAsia="Arial" w:cs="Arial"/>
                <w:color w:val="222222"/>
                <w:sz w:val="20"/>
                <w:szCs w:val="20"/>
              </w:rPr>
              <w:t>私信（一对一）</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D9AB151">
            <w:pPr>
              <w:spacing w:before="36" w:after="36"/>
              <w:jc w:val="left"/>
            </w:pPr>
            <w:r>
              <w:rPr>
                <w:rFonts w:ascii="Arial" w:hAnsi="Arial" w:eastAsia="Arial" w:cs="Arial"/>
                <w:color w:val="222222"/>
                <w:sz w:val="20"/>
                <w:szCs w:val="20"/>
              </w:rPr>
              <w:t>点击任意角色头像</w:t>
            </w:r>
          </w:p>
        </w:tc>
        <w:tc>
          <w:tcPr>
            <w:tcW w:w="17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9F1E0F0">
            <w:pPr>
              <w:spacing w:before="36" w:after="36"/>
              <w:jc w:val="left"/>
            </w:pPr>
            <w:r>
              <w:rPr>
                <w:rFonts w:ascii="Arial" w:hAnsi="Arial" w:eastAsia="Arial" w:cs="Arial"/>
                <w:color w:val="222222"/>
                <w:sz w:val="20"/>
                <w:szCs w:val="20"/>
              </w:rPr>
              <w:t>指定发送方+接收方（主持人可全部查看）</w:t>
            </w:r>
          </w:p>
        </w:tc>
        <w:tc>
          <w:tcPr>
            <w:tcW w:w="23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12B8E72">
            <w:pPr>
              <w:spacing w:before="36" w:after="36"/>
              <w:jc w:val="left"/>
            </w:pPr>
            <w:r>
              <w:rPr>
                <w:rFonts w:ascii="Arial" w:hAnsi="Arial" w:eastAsia="Arial" w:cs="Arial"/>
                <w:color w:val="222222"/>
                <w:sz w:val="20"/>
                <w:szCs w:val="20"/>
              </w:rPr>
              <w:t>受pm_rounds参数限制次数；不可撤回</w:t>
            </w:r>
          </w:p>
        </w:tc>
        <w:tc>
          <w:tcPr>
            <w:tcW w:w="22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B1529BD">
            <w:pPr>
              <w:spacing w:before="36" w:after="36"/>
              <w:jc w:val="left"/>
            </w:pPr>
            <w:r>
              <w:rPr>
                <w:rFonts w:ascii="Arial" w:hAnsi="Arial" w:eastAsia="Arial" w:cs="Arial"/>
                <w:color w:val="222222"/>
                <w:sz w:val="20"/>
                <w:szCs w:val="20"/>
              </w:rPr>
              <w:t>策略性联盟形成；信任网络社会网络分析</w:t>
            </w:r>
          </w:p>
        </w:tc>
      </w:tr>
      <w:tr w14:paraId="0B9F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5083007">
            <w:pPr>
              <w:spacing w:before="36" w:after="36"/>
              <w:jc w:val="left"/>
            </w:pPr>
            <w:r>
              <w:rPr>
                <w:rFonts w:ascii="Arial" w:hAnsi="Arial" w:eastAsia="Arial" w:cs="Arial"/>
                <w:color w:val="222222"/>
                <w:sz w:val="20"/>
                <w:szCs w:val="20"/>
              </w:rPr>
              <w:t>联席会议</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39FC1D7">
            <w:pPr>
              <w:spacing w:before="36" w:after="36"/>
              <w:jc w:val="left"/>
            </w:pPr>
            <w:r>
              <w:rPr>
                <w:rFonts w:ascii="Arial" w:hAnsi="Arial" w:eastAsia="Arial" w:cs="Arial"/>
                <w:color w:val="222222"/>
                <w:sz w:val="20"/>
                <w:szCs w:val="20"/>
              </w:rPr>
              <w:t>每阶段自动开启1次，或角色申请（消耗1行动配额）</w:t>
            </w:r>
          </w:p>
        </w:tc>
        <w:tc>
          <w:tcPr>
            <w:tcW w:w="17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27F89A7">
            <w:pPr>
              <w:spacing w:before="36" w:after="36"/>
              <w:jc w:val="left"/>
            </w:pPr>
            <w:r>
              <w:rPr>
                <w:rFonts w:ascii="Arial" w:hAnsi="Arial" w:eastAsia="Arial" w:cs="Arial"/>
                <w:color w:val="222222"/>
                <w:sz w:val="20"/>
                <w:szCs w:val="20"/>
              </w:rPr>
              <w:t>全体角色，可设置主席</w:t>
            </w:r>
          </w:p>
        </w:tc>
        <w:tc>
          <w:tcPr>
            <w:tcW w:w="23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7EE459E">
            <w:pPr>
              <w:spacing w:before="36" w:after="36"/>
              <w:jc w:val="left"/>
            </w:pPr>
            <w:r>
              <w:rPr>
                <w:rFonts w:ascii="Arial" w:hAnsi="Arial" w:eastAsia="Arial" w:cs="Arial"/>
                <w:color w:val="222222"/>
                <w:sz w:val="20"/>
                <w:szCs w:val="20"/>
              </w:rPr>
              <w:t>时长受consult_min参数控制；展示立场卡（支持/反对/中立/提案）</w:t>
            </w:r>
          </w:p>
        </w:tc>
        <w:tc>
          <w:tcPr>
            <w:tcW w:w="22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5CAF061">
            <w:pPr>
              <w:spacing w:before="36" w:after="36"/>
              <w:jc w:val="left"/>
            </w:pPr>
            <w:r>
              <w:rPr>
                <w:rFonts w:ascii="Arial" w:hAnsi="Arial" w:eastAsia="Arial" w:cs="Arial"/>
                <w:color w:val="222222"/>
                <w:sz w:val="20"/>
                <w:szCs w:val="20"/>
              </w:rPr>
              <w:t>集体决策行为；多方博弈均衡；官僚政治立场分布</w:t>
            </w:r>
          </w:p>
        </w:tc>
      </w:tr>
      <w:tr w14:paraId="4BC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15CC311">
            <w:pPr>
              <w:spacing w:before="36" w:after="36"/>
              <w:jc w:val="left"/>
            </w:pPr>
            <w:r>
              <w:rPr>
                <w:rFonts w:ascii="Arial" w:hAnsi="Arial" w:eastAsia="Arial" w:cs="Arial"/>
                <w:color w:val="222222"/>
                <w:sz w:val="20"/>
                <w:szCs w:val="20"/>
              </w:rPr>
              <w:t>紧急协商</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86FE345">
            <w:pPr>
              <w:spacing w:before="36" w:after="36"/>
              <w:jc w:val="left"/>
            </w:pPr>
            <w:r>
              <w:rPr>
                <w:rFonts w:ascii="Arial" w:hAnsi="Arial" w:eastAsia="Arial" w:cs="Arial"/>
                <w:color w:val="222222"/>
                <w:sz w:val="20"/>
                <w:szCs w:val="20"/>
              </w:rPr>
              <w:t>角色发起+目标角色60秒内确认接受</w:t>
            </w:r>
          </w:p>
        </w:tc>
        <w:tc>
          <w:tcPr>
            <w:tcW w:w="17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FD9B649">
            <w:pPr>
              <w:spacing w:before="36" w:after="36"/>
              <w:jc w:val="left"/>
            </w:pPr>
            <w:r>
              <w:rPr>
                <w:rFonts w:ascii="Arial" w:hAnsi="Arial" w:eastAsia="Arial" w:cs="Arial"/>
                <w:color w:val="222222"/>
                <w:sz w:val="20"/>
                <w:szCs w:val="20"/>
              </w:rPr>
              <w:t>发起者+接受者+可选旁观者</w:t>
            </w:r>
          </w:p>
        </w:tc>
        <w:tc>
          <w:tcPr>
            <w:tcW w:w="23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5C515E3">
            <w:pPr>
              <w:spacing w:before="36" w:after="36"/>
              <w:jc w:val="left"/>
            </w:pPr>
            <w:r>
              <w:rPr>
                <w:rFonts w:ascii="Arial" w:hAnsi="Arial" w:eastAsia="Arial" w:cs="Arial"/>
                <w:color w:val="222222"/>
                <w:sz w:val="20"/>
                <w:szCs w:val="20"/>
              </w:rPr>
              <w:t>暂停当前倒计时最多5分钟；每阶段每角色限1次</w:t>
            </w:r>
          </w:p>
        </w:tc>
        <w:tc>
          <w:tcPr>
            <w:tcW w:w="22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B527875">
            <w:pPr>
              <w:spacing w:before="36" w:after="36"/>
              <w:jc w:val="left"/>
            </w:pPr>
            <w:r>
              <w:rPr>
                <w:rFonts w:ascii="Arial" w:hAnsi="Arial" w:eastAsia="Arial" w:cs="Arial"/>
                <w:color w:val="222222"/>
                <w:sz w:val="20"/>
                <w:szCs w:val="20"/>
              </w:rPr>
              <w:t>高压力下双边博弈；即时让步行为；危机协商策略</w:t>
            </w:r>
          </w:p>
        </w:tc>
      </w:tr>
    </w:tbl>
    <w:p w14:paraId="3DDAF4E8">
      <w:pPr>
        <w:spacing w:before="120" w:after="120"/>
      </w:pPr>
    </w:p>
    <w:p w14:paraId="0ACD2660">
      <w:pPr>
        <w:pStyle w:val="3"/>
        <w:spacing w:before="320" w:after="140"/>
      </w:pPr>
      <w:r>
        <w:rPr>
          <w:rFonts w:ascii="Arial" w:hAnsi="Arial" w:eastAsia="Arial" w:cs="Arial"/>
          <w:b/>
          <w:bCs/>
          <w:color w:val="174A7E"/>
          <w:sz w:val="25"/>
          <w:szCs w:val="25"/>
        </w:rPr>
        <w:t>8.4 六类快捷短语系统</w:t>
      </w:r>
    </w:p>
    <w:p w14:paraId="26C295EF">
      <w:pPr>
        <w:spacing w:before="80" w:after="80"/>
        <w:jc w:val="both"/>
      </w:pPr>
      <w:r>
        <w:rPr>
          <w:rFonts w:ascii="Arial" w:hAnsi="Arial" w:eastAsia="Arial" w:cs="Arial"/>
          <w:b w:val="0"/>
          <w:bCs w:val="0"/>
          <w:color w:val="111111"/>
          <w:sz w:val="22"/>
          <w:szCs w:val="22"/>
        </w:rPr>
        <w:t>为降低操作门槛并提升分析价值，平台内置六类快捷短语，玩家可以一键发送预设短语而无需手动输入。快捷短语的设计覆盖了治理博弈中最常见的六种沟通策略，其使用频率和情境分布是行为分析的重要数据维度。用户可以在配置层自定义快捷短语库的内容，平台提供的36条（6类×6条）为默认选项，可增删修改。</w:t>
      </w:r>
    </w:p>
    <w:p w14:paraId="57BE4D96">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800"/>
        <w:gridCol w:w="3800"/>
        <w:gridCol w:w="3360"/>
      </w:tblGrid>
      <w:tr w14:paraId="27E07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5620267A">
            <w:pPr>
              <w:spacing w:before="36" w:after="36"/>
              <w:jc w:val="center"/>
            </w:pPr>
            <w:r>
              <w:rPr>
                <w:rFonts w:ascii="Arial" w:hAnsi="Arial" w:eastAsia="Arial" w:cs="Arial"/>
                <w:b/>
                <w:bCs/>
                <w:color w:val="FFFFFF"/>
                <w:sz w:val="19"/>
                <w:szCs w:val="19"/>
              </w:rPr>
              <w:t>类别</w:t>
            </w:r>
          </w:p>
        </w:tc>
        <w:tc>
          <w:tcPr>
            <w:tcW w:w="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7F6312C">
            <w:pPr>
              <w:spacing w:before="36" w:after="36"/>
              <w:jc w:val="center"/>
            </w:pPr>
            <w:r>
              <w:rPr>
                <w:rFonts w:ascii="Arial" w:hAnsi="Arial" w:eastAsia="Arial" w:cs="Arial"/>
                <w:b/>
                <w:bCs/>
                <w:color w:val="FFFFFF"/>
                <w:sz w:val="19"/>
                <w:szCs w:val="19"/>
              </w:rPr>
              <w:t>代码</w:t>
            </w:r>
          </w:p>
        </w:tc>
        <w:tc>
          <w:tcPr>
            <w:tcW w:w="3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82A5374">
            <w:pPr>
              <w:spacing w:before="36" w:after="36"/>
              <w:jc w:val="center"/>
            </w:pPr>
            <w:r>
              <w:rPr>
                <w:rFonts w:ascii="Arial" w:hAnsi="Arial" w:eastAsia="Arial" w:cs="Arial"/>
                <w:b/>
                <w:bCs/>
                <w:color w:val="FFFFFF"/>
                <w:sz w:val="19"/>
                <w:szCs w:val="19"/>
              </w:rPr>
              <w:t>代表性短语示例</w:t>
            </w:r>
          </w:p>
        </w:tc>
        <w:tc>
          <w:tcPr>
            <w:tcW w:w="33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4FA5FACE">
            <w:pPr>
              <w:spacing w:before="36" w:after="36"/>
              <w:jc w:val="center"/>
            </w:pPr>
            <w:r>
              <w:rPr>
                <w:rFonts w:ascii="Arial" w:hAnsi="Arial" w:eastAsia="Arial" w:cs="Arial"/>
                <w:b/>
                <w:bCs/>
                <w:color w:val="FFFFFF"/>
                <w:sz w:val="19"/>
                <w:szCs w:val="19"/>
              </w:rPr>
              <w:t>研究测量价值</w:t>
            </w:r>
          </w:p>
        </w:tc>
      </w:tr>
      <w:tr w14:paraId="7CEB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67BFA29">
            <w:pPr>
              <w:spacing w:before="36" w:after="36"/>
              <w:jc w:val="left"/>
            </w:pPr>
            <w:r>
              <w:rPr>
                <w:rFonts w:ascii="Arial" w:hAnsi="Arial" w:eastAsia="Arial" w:cs="Arial"/>
                <w:color w:val="222222"/>
                <w:sz w:val="20"/>
                <w:szCs w:val="20"/>
              </w:rPr>
              <w:t>协调请求类</w:t>
            </w:r>
          </w:p>
        </w:tc>
        <w:tc>
          <w:tcPr>
            <w:tcW w:w="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6CCCA18">
            <w:pPr>
              <w:spacing w:before="36" w:after="36"/>
              <w:jc w:val="left"/>
            </w:pPr>
            <w:r>
              <w:rPr>
                <w:rFonts w:ascii="Arial" w:hAnsi="Arial" w:eastAsia="Arial" w:cs="Arial"/>
                <w:color w:val="222222"/>
                <w:sz w:val="20"/>
                <w:szCs w:val="20"/>
              </w:rPr>
              <w:t>A类</w:t>
            </w:r>
          </w:p>
        </w:tc>
        <w:tc>
          <w:tcPr>
            <w:tcW w:w="3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1211652">
            <w:pPr>
              <w:spacing w:before="36" w:after="36"/>
              <w:jc w:val="left"/>
            </w:pPr>
            <w:r>
              <w:rPr>
                <w:rFonts w:ascii="Arial" w:hAnsi="Arial" w:eastAsia="Arial" w:cs="Arial"/>
                <w:color w:val="222222"/>
                <w:sz w:val="20"/>
                <w:szCs w:val="20"/>
              </w:rPr>
              <w:t>请共享相关监测数据 / 建议本轮召开联席会议 / 建议发起联合调查 / 请给出正式书面承诺</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AA9229C">
            <w:pPr>
              <w:spacing w:before="36" w:after="36"/>
              <w:jc w:val="left"/>
            </w:pPr>
            <w:r>
              <w:rPr>
                <w:rFonts w:ascii="Arial" w:hAnsi="Arial" w:eastAsia="Arial" w:cs="Arial"/>
                <w:color w:val="222222"/>
                <w:sz w:val="20"/>
                <w:szCs w:val="20"/>
              </w:rPr>
              <w:t>跨域协调主动性；信息共享意愿；合作倡导倾向测量</w:t>
            </w:r>
          </w:p>
        </w:tc>
      </w:tr>
      <w:tr w14:paraId="336E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A660928">
            <w:pPr>
              <w:spacing w:before="36" w:after="36"/>
              <w:jc w:val="left"/>
            </w:pPr>
            <w:r>
              <w:rPr>
                <w:rFonts w:ascii="Arial" w:hAnsi="Arial" w:eastAsia="Arial" w:cs="Arial"/>
                <w:color w:val="222222"/>
                <w:sz w:val="20"/>
                <w:szCs w:val="20"/>
              </w:rPr>
              <w:t>信息索取类</w:t>
            </w:r>
          </w:p>
        </w:tc>
        <w:tc>
          <w:tcPr>
            <w:tcW w:w="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CA39D57">
            <w:pPr>
              <w:spacing w:before="36" w:after="36"/>
              <w:jc w:val="left"/>
            </w:pPr>
            <w:r>
              <w:rPr>
                <w:rFonts w:ascii="Arial" w:hAnsi="Arial" w:eastAsia="Arial" w:cs="Arial"/>
                <w:color w:val="222222"/>
                <w:sz w:val="20"/>
                <w:szCs w:val="20"/>
              </w:rPr>
              <w:t>B类</w:t>
            </w:r>
          </w:p>
        </w:tc>
        <w:tc>
          <w:tcPr>
            <w:tcW w:w="3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D33879E">
            <w:pPr>
              <w:spacing w:before="36" w:after="36"/>
              <w:jc w:val="left"/>
            </w:pPr>
            <w:r>
              <w:rPr>
                <w:rFonts w:ascii="Arial" w:hAnsi="Arial" w:eastAsia="Arial" w:cs="Arial"/>
                <w:color w:val="222222"/>
                <w:sz w:val="20"/>
                <w:szCs w:val="20"/>
              </w:rPr>
              <w:t>请提供技术数据依据 / 此事是否有上级批示 / 需要独立第三方验证 / 请说明历史排放记录</w:t>
            </w:r>
          </w:p>
        </w:tc>
        <w:tc>
          <w:tcPr>
            <w:tcW w:w="3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41AFEFB">
            <w:pPr>
              <w:spacing w:before="36" w:after="36"/>
              <w:jc w:val="left"/>
            </w:pPr>
            <w:r>
              <w:rPr>
                <w:rFonts w:ascii="Arial" w:hAnsi="Arial" w:eastAsia="Arial" w:cs="Arial"/>
                <w:color w:val="222222"/>
                <w:sz w:val="20"/>
                <w:szCs w:val="20"/>
              </w:rPr>
              <w:t>信息博弈策略；验证需求强度；不信任程度量化</w:t>
            </w:r>
          </w:p>
        </w:tc>
      </w:tr>
      <w:tr w14:paraId="53A4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F63DD75">
            <w:pPr>
              <w:spacing w:before="36" w:after="36"/>
              <w:jc w:val="left"/>
            </w:pPr>
            <w:r>
              <w:rPr>
                <w:rFonts w:ascii="Arial" w:hAnsi="Arial" w:eastAsia="Arial" w:cs="Arial"/>
                <w:color w:val="222222"/>
                <w:sz w:val="20"/>
                <w:szCs w:val="20"/>
              </w:rPr>
              <w:t>立场声明类</w:t>
            </w:r>
          </w:p>
        </w:tc>
        <w:tc>
          <w:tcPr>
            <w:tcW w:w="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555A5C2">
            <w:pPr>
              <w:spacing w:before="36" w:after="36"/>
              <w:jc w:val="left"/>
            </w:pPr>
            <w:r>
              <w:rPr>
                <w:rFonts w:ascii="Arial" w:hAnsi="Arial" w:eastAsia="Arial" w:cs="Arial"/>
                <w:color w:val="222222"/>
                <w:sz w:val="20"/>
                <w:szCs w:val="20"/>
              </w:rPr>
              <w:t>C类</w:t>
            </w:r>
          </w:p>
        </w:tc>
        <w:tc>
          <w:tcPr>
            <w:tcW w:w="3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E54E139">
            <w:pPr>
              <w:spacing w:before="36" w:after="36"/>
              <w:jc w:val="left"/>
            </w:pPr>
            <w:r>
              <w:rPr>
                <w:rFonts w:ascii="Arial" w:hAnsi="Arial" w:eastAsia="Arial" w:cs="Arial"/>
                <w:color w:val="222222"/>
                <w:sz w:val="20"/>
                <w:szCs w:val="20"/>
              </w:rPr>
              <w:t>我方认为主要责任来源于…… / 此属正常运营范围 / 此超出本部门职权范围 / 需要更多时间核查</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2CDE2A1">
            <w:pPr>
              <w:spacing w:before="36" w:after="36"/>
              <w:jc w:val="left"/>
            </w:pPr>
            <w:r>
              <w:rPr>
                <w:rFonts w:ascii="Arial" w:hAnsi="Arial" w:eastAsia="Arial" w:cs="Arial"/>
                <w:color w:val="222222"/>
                <w:sz w:val="20"/>
                <w:szCs w:val="20"/>
              </w:rPr>
              <w:t>责任归因倾向；防御性行为识别；推诿策略频率</w:t>
            </w:r>
          </w:p>
        </w:tc>
      </w:tr>
      <w:tr w14:paraId="4C44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8FBCAE7">
            <w:pPr>
              <w:spacing w:before="36" w:after="36"/>
              <w:jc w:val="left"/>
            </w:pPr>
            <w:r>
              <w:rPr>
                <w:rFonts w:ascii="Arial" w:hAnsi="Arial" w:eastAsia="Arial" w:cs="Arial"/>
                <w:color w:val="222222"/>
                <w:sz w:val="20"/>
                <w:szCs w:val="20"/>
              </w:rPr>
              <w:t>施压类</w:t>
            </w:r>
          </w:p>
        </w:tc>
        <w:tc>
          <w:tcPr>
            <w:tcW w:w="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4D549E3">
            <w:pPr>
              <w:spacing w:before="36" w:after="36"/>
              <w:jc w:val="left"/>
            </w:pPr>
            <w:r>
              <w:rPr>
                <w:rFonts w:ascii="Arial" w:hAnsi="Arial" w:eastAsia="Arial" w:cs="Arial"/>
                <w:color w:val="222222"/>
                <w:sz w:val="20"/>
                <w:szCs w:val="20"/>
              </w:rPr>
              <w:t>D类</w:t>
            </w:r>
          </w:p>
        </w:tc>
        <w:tc>
          <w:tcPr>
            <w:tcW w:w="3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3F2635A">
            <w:pPr>
              <w:spacing w:before="36" w:after="36"/>
              <w:jc w:val="left"/>
            </w:pPr>
            <w:r>
              <w:rPr>
                <w:rFonts w:ascii="Arial" w:hAnsi="Arial" w:eastAsia="Arial" w:cs="Arial"/>
                <w:color w:val="222222"/>
                <w:sz w:val="20"/>
                <w:szCs w:val="20"/>
              </w:rPr>
              <w:t>省厅已在关注此事 / 群众舆论正在发酵请配合 / 上级要求本周给出处置方案 / 若不配合将向上报告</w:t>
            </w:r>
          </w:p>
        </w:tc>
        <w:tc>
          <w:tcPr>
            <w:tcW w:w="3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CDCC194">
            <w:pPr>
              <w:spacing w:before="36" w:after="36"/>
              <w:jc w:val="left"/>
            </w:pPr>
            <w:r>
              <w:rPr>
                <w:rFonts w:ascii="Arial" w:hAnsi="Arial" w:eastAsia="Arial" w:cs="Arial"/>
                <w:color w:val="222222"/>
                <w:sz w:val="20"/>
                <w:szCs w:val="20"/>
              </w:rPr>
              <w:t>权威压力使用策略；层级压力传导；威胁性语言频率</w:t>
            </w:r>
          </w:p>
        </w:tc>
      </w:tr>
      <w:tr w14:paraId="5961A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72E1D48">
            <w:pPr>
              <w:spacing w:before="36" w:after="36"/>
              <w:jc w:val="left"/>
            </w:pPr>
            <w:r>
              <w:rPr>
                <w:rFonts w:ascii="Arial" w:hAnsi="Arial" w:eastAsia="Arial" w:cs="Arial"/>
                <w:color w:val="222222"/>
                <w:sz w:val="20"/>
                <w:szCs w:val="20"/>
              </w:rPr>
              <w:t>合作类</w:t>
            </w:r>
          </w:p>
        </w:tc>
        <w:tc>
          <w:tcPr>
            <w:tcW w:w="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BCAC297">
            <w:pPr>
              <w:spacing w:before="36" w:after="36"/>
              <w:jc w:val="left"/>
            </w:pPr>
            <w:r>
              <w:rPr>
                <w:rFonts w:ascii="Arial" w:hAnsi="Arial" w:eastAsia="Arial" w:cs="Arial"/>
                <w:color w:val="222222"/>
                <w:sz w:val="20"/>
                <w:szCs w:val="20"/>
              </w:rPr>
              <w:t>E类</w:t>
            </w:r>
          </w:p>
        </w:tc>
        <w:tc>
          <w:tcPr>
            <w:tcW w:w="3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DF47B66">
            <w:pPr>
              <w:spacing w:before="36" w:after="36"/>
              <w:jc w:val="left"/>
            </w:pPr>
            <w:r>
              <w:rPr>
                <w:rFonts w:ascii="Arial" w:hAnsi="Arial" w:eastAsia="Arial" w:cs="Arial"/>
                <w:color w:val="222222"/>
                <w:sz w:val="20"/>
                <w:szCs w:val="20"/>
              </w:rPr>
              <w:t>我方支持贵方方案 / 建议联名签署报告 / 本方愿意优先配合 / 我愿意提供技术支持</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312860C">
            <w:pPr>
              <w:spacing w:before="36" w:after="36"/>
              <w:jc w:val="left"/>
            </w:pPr>
            <w:r>
              <w:rPr>
                <w:rFonts w:ascii="Arial" w:hAnsi="Arial" w:eastAsia="Arial" w:cs="Arial"/>
                <w:color w:val="222222"/>
                <w:sz w:val="20"/>
                <w:szCs w:val="20"/>
              </w:rPr>
              <w:t>合作意愿指数；信任水平建立轨迹；集体行动倾向</w:t>
            </w:r>
          </w:p>
        </w:tc>
      </w:tr>
      <w:tr w14:paraId="0DD9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E27E3BA">
            <w:pPr>
              <w:spacing w:before="36" w:after="36"/>
              <w:jc w:val="left"/>
            </w:pPr>
            <w:r>
              <w:rPr>
                <w:rFonts w:ascii="Arial" w:hAnsi="Arial" w:eastAsia="Arial" w:cs="Arial"/>
                <w:color w:val="222222"/>
                <w:sz w:val="20"/>
                <w:szCs w:val="20"/>
              </w:rPr>
              <w:t>观望类</w:t>
            </w:r>
          </w:p>
        </w:tc>
        <w:tc>
          <w:tcPr>
            <w:tcW w:w="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521057A">
            <w:pPr>
              <w:spacing w:before="36" w:after="36"/>
              <w:jc w:val="left"/>
            </w:pPr>
            <w:r>
              <w:rPr>
                <w:rFonts w:ascii="Arial" w:hAnsi="Arial" w:eastAsia="Arial" w:cs="Arial"/>
                <w:color w:val="222222"/>
                <w:sz w:val="20"/>
                <w:szCs w:val="20"/>
              </w:rPr>
              <w:t>F类</w:t>
            </w:r>
          </w:p>
        </w:tc>
        <w:tc>
          <w:tcPr>
            <w:tcW w:w="3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B81DF5C">
            <w:pPr>
              <w:spacing w:before="36" w:after="36"/>
              <w:jc w:val="left"/>
            </w:pPr>
            <w:r>
              <w:rPr>
                <w:rFonts w:ascii="Arial" w:hAnsi="Arial" w:eastAsia="Arial" w:cs="Arial"/>
                <w:color w:val="222222"/>
                <w:sz w:val="20"/>
                <w:szCs w:val="20"/>
              </w:rPr>
              <w:t>请等待上级指示 / 目前尚无法表态 / 需进一步了解情况 / 此需更高层面决策</w:t>
            </w:r>
          </w:p>
        </w:tc>
        <w:tc>
          <w:tcPr>
            <w:tcW w:w="3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332DD42">
            <w:pPr>
              <w:spacing w:before="36" w:after="36"/>
              <w:jc w:val="left"/>
            </w:pPr>
            <w:r>
              <w:rPr>
                <w:rFonts w:ascii="Arial" w:hAnsi="Arial" w:eastAsia="Arial" w:cs="Arial"/>
                <w:color w:val="222222"/>
                <w:sz w:val="20"/>
                <w:szCs w:val="20"/>
              </w:rPr>
              <w:t>决策回避策略；风险厌恶程度；延迟策略触发条件</w:t>
            </w:r>
          </w:p>
        </w:tc>
      </w:tr>
    </w:tbl>
    <w:p w14:paraId="381A7F31">
      <w:r>
        <w:br w:type="page"/>
      </w:r>
    </w:p>
    <w:p w14:paraId="7DE98CF4">
      <w:pPr>
        <w:pStyle w:val="2"/>
        <w:pBdr>
          <w:bottom w:val="single" w:color="1A3A5C" w:sz="8" w:space="2"/>
        </w:pBdr>
        <w:spacing w:before="440" w:after="200"/>
      </w:pPr>
      <w:r>
        <w:rPr>
          <w:rFonts w:ascii="Arial" w:hAnsi="Arial" w:eastAsia="Arial" w:cs="Arial"/>
          <w:b/>
          <w:bCs/>
          <w:color w:val="1A3A5C"/>
          <w:sz w:val="30"/>
          <w:szCs w:val="30"/>
        </w:rPr>
        <w:t>九、五维指标体系：设计原则与测量规范</w:t>
      </w:r>
    </w:p>
    <w:p w14:paraId="179BBB67">
      <w:pPr>
        <w:spacing w:before="80" w:after="80"/>
        <w:jc w:val="both"/>
      </w:pPr>
      <w:r>
        <w:rPr>
          <w:rFonts w:ascii="Arial" w:hAnsi="Arial" w:eastAsia="Arial" w:cs="Arial"/>
          <w:b w:val="0"/>
          <w:bCs w:val="0"/>
          <w:color w:val="111111"/>
          <w:sz w:val="22"/>
          <w:szCs w:val="22"/>
        </w:rPr>
        <w:t>五维指标体系是政通推演坊对中国地方治理绩效的操作化测量，既服务于教学目标（让玩家直观感知决策后果），也服务于研究目标（提供可量化的行为结果变量）。指标设计严格遵循Adcock &amp; Collier（2001，APSR）的测量有效性三标准：内容有效性（指标覆盖概念核心内涵）、收敛有效性（指标间具有预期的相关模式）、区分有效性（不同指标测量不同构念，不相互重叠）。</w:t>
      </w:r>
    </w:p>
    <w:p w14:paraId="3056F417">
      <w:pPr>
        <w:spacing w:before="80" w:after="80"/>
        <w:jc w:val="both"/>
      </w:pPr>
      <w:r>
        <w:rPr>
          <w:rFonts w:ascii="Arial" w:hAnsi="Arial" w:eastAsia="Arial" w:cs="Arial"/>
          <w:b w:val="0"/>
          <w:bCs w:val="0"/>
          <w:color w:val="111111"/>
          <w:sz w:val="22"/>
          <w:szCs w:val="22"/>
        </w:rPr>
        <w:t>以下需要特别说明：五维指标体系是平台的默认测量框架，用户在配置时可以调整每个指标的权重，甚至可以自定义指标名称和测量规则（高级配置模式），以匹配特定研究问题。平台不强制使用默认的五维框架。但对于教学用途，建议保留五维框架，因为其覆盖了公共管理学科最核心的治理绩效维度。</w:t>
      </w:r>
    </w:p>
    <w:p w14:paraId="517B1A21">
      <w:pPr>
        <w:spacing w:before="60" w:after="60"/>
      </w:pPr>
    </w:p>
    <w:p w14:paraId="41A44469">
      <w:pPr>
        <w:pStyle w:val="3"/>
        <w:spacing w:before="320" w:after="140"/>
      </w:pPr>
      <w:r>
        <w:rPr>
          <w:rFonts w:ascii="Arial" w:hAnsi="Arial" w:eastAsia="Arial" w:cs="Arial"/>
          <w:b/>
          <w:bCs/>
          <w:color w:val="174A7E"/>
          <w:sz w:val="25"/>
          <w:szCs w:val="25"/>
        </w:rPr>
        <w:t>9.1 五维指标定义与测量机制</w:t>
      </w:r>
    </w:p>
    <w:p w14:paraId="10805CA8">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3"/>
        <w:gridCol w:w="2384"/>
        <w:gridCol w:w="685"/>
        <w:gridCol w:w="2391"/>
        <w:gridCol w:w="1706"/>
        <w:gridCol w:w="1511"/>
      </w:tblGrid>
      <w:tr w14:paraId="5C64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C141892">
            <w:pPr>
              <w:spacing w:before="36" w:after="36"/>
              <w:jc w:val="center"/>
            </w:pPr>
            <w:r>
              <w:rPr>
                <w:rFonts w:ascii="Arial" w:hAnsi="Arial" w:eastAsia="Arial" w:cs="Arial"/>
                <w:b/>
                <w:bCs/>
                <w:color w:val="FFFFFF"/>
                <w:sz w:val="19"/>
                <w:szCs w:val="19"/>
              </w:rPr>
              <w:t>指标</w:t>
            </w:r>
          </w:p>
        </w:tc>
        <w:tc>
          <w:tcPr>
            <w:tcW w:w="24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21F8C48">
            <w:pPr>
              <w:spacing w:before="36" w:after="36"/>
              <w:jc w:val="center"/>
            </w:pPr>
            <w:r>
              <w:rPr>
                <w:rFonts w:ascii="Arial" w:hAnsi="Arial" w:eastAsia="Arial" w:cs="Arial"/>
                <w:b/>
                <w:bCs/>
                <w:color w:val="FFFFFF"/>
                <w:sz w:val="19"/>
                <w:szCs w:val="19"/>
              </w:rPr>
              <w:t>全称</w:t>
            </w:r>
          </w:p>
        </w:tc>
        <w:tc>
          <w:tcPr>
            <w:tcW w:w="7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89CDEE1">
            <w:pPr>
              <w:spacing w:before="36" w:after="36"/>
              <w:jc w:val="center"/>
            </w:pPr>
            <w:r>
              <w:rPr>
                <w:rFonts w:ascii="Arial" w:hAnsi="Arial" w:eastAsia="Arial" w:cs="Arial"/>
                <w:b/>
                <w:bCs/>
                <w:color w:val="FFFFFF"/>
                <w:sz w:val="19"/>
                <w:szCs w:val="19"/>
              </w:rPr>
              <w:t>初始值</w:t>
            </w:r>
          </w:p>
        </w:tc>
        <w:tc>
          <w:tcPr>
            <w:tcW w:w="25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B0D1425">
            <w:pPr>
              <w:spacing w:before="36" w:after="36"/>
              <w:jc w:val="center"/>
            </w:pPr>
            <w:r>
              <w:rPr>
                <w:rFonts w:ascii="Arial" w:hAnsi="Arial" w:eastAsia="Arial" w:cs="Arial"/>
                <w:b/>
                <w:bCs/>
                <w:color w:val="FFFFFF"/>
                <w:sz w:val="19"/>
                <w:szCs w:val="19"/>
              </w:rPr>
              <w:t>测量方式</w:t>
            </w:r>
          </w:p>
        </w:tc>
        <w:tc>
          <w:tcPr>
            <w:tcW w:w="16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CB2C060">
            <w:pPr>
              <w:spacing w:before="36" w:after="36"/>
              <w:jc w:val="center"/>
            </w:pPr>
            <w:r>
              <w:rPr>
                <w:rFonts w:ascii="Arial" w:hAnsi="Arial" w:eastAsia="Arial" w:cs="Arial"/>
                <w:b/>
                <w:bCs/>
                <w:color w:val="FFFFFF"/>
                <w:sz w:val="19"/>
                <w:szCs w:val="19"/>
              </w:rPr>
              <w:t>理论来源</w:t>
            </w:r>
          </w:p>
        </w:tc>
        <w:tc>
          <w:tcPr>
            <w:tcW w:w="15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12EA198">
            <w:pPr>
              <w:spacing w:before="36" w:after="36"/>
              <w:jc w:val="center"/>
            </w:pPr>
            <w:r>
              <w:rPr>
                <w:rFonts w:ascii="Arial" w:hAnsi="Arial" w:eastAsia="Arial" w:cs="Arial"/>
                <w:b/>
                <w:bCs/>
                <w:color w:val="FFFFFF"/>
                <w:sz w:val="19"/>
                <w:szCs w:val="19"/>
              </w:rPr>
              <w:t>主要驱动行动类型</w:t>
            </w:r>
          </w:p>
        </w:tc>
      </w:tr>
      <w:tr w14:paraId="21F8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4E0F40B">
            <w:pPr>
              <w:spacing w:before="36" w:after="36"/>
              <w:jc w:val="left"/>
            </w:pPr>
            <w:r>
              <w:rPr>
                <w:rFonts w:ascii="Arial" w:hAnsi="Arial" w:eastAsia="Arial" w:cs="Arial"/>
                <w:color w:val="222222"/>
                <w:sz w:val="20"/>
                <w:szCs w:val="20"/>
              </w:rPr>
              <w:t>PSR</w:t>
            </w:r>
          </w:p>
        </w:tc>
        <w:tc>
          <w:tcPr>
            <w:tcW w:w="2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A23A96F">
            <w:pPr>
              <w:spacing w:before="36" w:after="36"/>
              <w:jc w:val="left"/>
            </w:pPr>
            <w:r>
              <w:rPr>
                <w:rFonts w:ascii="Arial" w:hAnsi="Arial" w:eastAsia="Arial" w:cs="Arial"/>
                <w:color w:val="222222"/>
                <w:sz w:val="20"/>
                <w:szCs w:val="20"/>
              </w:rPr>
              <w:t>公共问题解决度（Policy Solution Rate）</w:t>
            </w:r>
          </w:p>
        </w:tc>
        <w:tc>
          <w:tcPr>
            <w:tcW w:w="7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F244E01">
            <w:pPr>
              <w:spacing w:before="36" w:after="36"/>
              <w:jc w:val="left"/>
            </w:pPr>
            <w:r>
              <w:rPr>
                <w:rFonts w:ascii="Arial" w:hAnsi="Arial" w:eastAsia="Arial" w:cs="Arial"/>
                <w:color w:val="222222"/>
                <w:sz w:val="20"/>
                <w:szCs w:val="20"/>
              </w:rPr>
              <w:t>30分</w:t>
            </w:r>
          </w:p>
        </w:tc>
        <w:tc>
          <w:tcPr>
            <w:tcW w:w="2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3E0A563">
            <w:pPr>
              <w:spacing w:before="36" w:after="36"/>
              <w:jc w:val="left"/>
            </w:pPr>
            <w:r>
              <w:rPr>
                <w:rFonts w:ascii="Arial" w:hAnsi="Arial" w:eastAsia="Arial" w:cs="Arial"/>
                <w:color w:val="222222"/>
                <w:sz w:val="20"/>
                <w:szCs w:val="20"/>
              </w:rPr>
              <w:t>执法类/资源类/技术支撑类决策的累积效果+时效性权重（早期行动效用高于后期）+NPC反馈（企业/居民满意度）</w:t>
            </w:r>
          </w:p>
        </w:tc>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EDA2244">
            <w:pPr>
              <w:spacing w:before="36" w:after="36"/>
              <w:jc w:val="left"/>
            </w:pPr>
            <w:r>
              <w:rPr>
                <w:rFonts w:ascii="Arial" w:hAnsi="Arial" w:eastAsia="Arial" w:cs="Arial"/>
                <w:color w:val="222222"/>
                <w:sz w:val="20"/>
                <w:szCs w:val="20"/>
              </w:rPr>
              <w:t>Pollitt &amp; Bouckaert（2011）公共服务绩效框架；周黎安（2007）结果导向型考核</w:t>
            </w:r>
          </w:p>
        </w:tc>
        <w:tc>
          <w:tcPr>
            <w:tcW w:w="1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BD3EBD1">
            <w:pPr>
              <w:spacing w:before="36" w:after="36"/>
              <w:jc w:val="left"/>
            </w:pPr>
            <w:r>
              <w:rPr>
                <w:rFonts w:ascii="Arial" w:hAnsi="Arial" w:eastAsia="Arial" w:cs="Arial"/>
                <w:color w:val="222222"/>
                <w:sz w:val="20"/>
                <w:szCs w:val="20"/>
              </w:rPr>
              <w:t>行政执法类↑↑；技术支撑类↑；延迟等待类↓</w:t>
            </w:r>
          </w:p>
        </w:tc>
      </w:tr>
      <w:tr w14:paraId="36AD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CB9809A">
            <w:pPr>
              <w:spacing w:before="36" w:after="36"/>
              <w:jc w:val="left"/>
            </w:pPr>
            <w:r>
              <w:rPr>
                <w:rFonts w:ascii="Arial" w:hAnsi="Arial" w:eastAsia="Arial" w:cs="Arial"/>
                <w:color w:val="222222"/>
                <w:sz w:val="20"/>
                <w:szCs w:val="20"/>
              </w:rPr>
              <w:t>CLR</w:t>
            </w:r>
          </w:p>
        </w:tc>
        <w:tc>
          <w:tcPr>
            <w:tcW w:w="24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96F2441">
            <w:pPr>
              <w:spacing w:before="36" w:after="36"/>
              <w:jc w:val="left"/>
            </w:pPr>
            <w:r>
              <w:rPr>
                <w:rFonts w:ascii="Arial" w:hAnsi="Arial" w:eastAsia="Arial" w:cs="Arial"/>
                <w:color w:val="222222"/>
                <w:sz w:val="20"/>
                <w:szCs w:val="20"/>
              </w:rPr>
              <w:t>央地关系健康度（Central-Local Relationship Index）</w:t>
            </w:r>
          </w:p>
        </w:tc>
        <w:tc>
          <w:tcPr>
            <w:tcW w:w="7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DA0D962">
            <w:pPr>
              <w:spacing w:before="36" w:after="36"/>
              <w:jc w:val="left"/>
            </w:pPr>
            <w:r>
              <w:rPr>
                <w:rFonts w:ascii="Arial" w:hAnsi="Arial" w:eastAsia="Arial" w:cs="Arial"/>
                <w:color w:val="222222"/>
                <w:sz w:val="20"/>
                <w:szCs w:val="20"/>
              </w:rPr>
              <w:t>60分</w:t>
            </w:r>
          </w:p>
        </w:tc>
        <w:tc>
          <w:tcPr>
            <w:tcW w:w="2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2839099">
            <w:pPr>
              <w:spacing w:before="36" w:after="36"/>
              <w:jc w:val="left"/>
            </w:pPr>
            <w:r>
              <w:rPr>
                <w:rFonts w:ascii="Arial" w:hAnsi="Arial" w:eastAsia="Arial" w:cs="Arial"/>
                <w:color w:val="222222"/>
                <w:sz w:val="20"/>
                <w:szCs w:val="20"/>
              </w:rPr>
              <w:t>信息上报及时性（最高权重）+上级指令响应速度+越权行动次数（重惩）+主动请示（轻奖）+虚假信息被发现（-35，极重惩）</w:t>
            </w:r>
          </w:p>
        </w:tc>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717FE6E">
            <w:pPr>
              <w:spacing w:before="36" w:after="36"/>
              <w:jc w:val="left"/>
            </w:pPr>
            <w:r>
              <w:rPr>
                <w:rFonts w:ascii="Arial" w:hAnsi="Arial" w:eastAsia="Arial" w:cs="Arial"/>
                <w:color w:val="222222"/>
                <w:sz w:val="20"/>
                <w:szCs w:val="20"/>
              </w:rPr>
              <w:t>周黎安（2007）晋升锦标赛；O'Brien &amp; Li（1999）选择性执行</w:t>
            </w:r>
          </w:p>
        </w:tc>
        <w:tc>
          <w:tcPr>
            <w:tcW w:w="15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1257D4C">
            <w:pPr>
              <w:spacing w:before="36" w:after="36"/>
              <w:jc w:val="left"/>
            </w:pPr>
            <w:r>
              <w:rPr>
                <w:rFonts w:ascii="Arial" w:hAnsi="Arial" w:eastAsia="Arial" w:cs="Arial"/>
                <w:color w:val="222222"/>
                <w:sz w:val="20"/>
                <w:szCs w:val="20"/>
              </w:rPr>
              <w:t>信息上报类↑；延迟等待类↓↓；越权行动↓↓↓</w:t>
            </w:r>
          </w:p>
        </w:tc>
      </w:tr>
      <w:tr w14:paraId="7BB1E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A33E22F">
            <w:pPr>
              <w:spacing w:before="36" w:after="36"/>
              <w:jc w:val="left"/>
            </w:pPr>
            <w:r>
              <w:rPr>
                <w:rFonts w:ascii="Arial" w:hAnsi="Arial" w:eastAsia="Arial" w:cs="Arial"/>
                <w:color w:val="222222"/>
                <w:sz w:val="20"/>
                <w:szCs w:val="20"/>
              </w:rPr>
              <w:t>STS</w:t>
            </w:r>
          </w:p>
        </w:tc>
        <w:tc>
          <w:tcPr>
            <w:tcW w:w="2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ADD6D0D">
            <w:pPr>
              <w:spacing w:before="36" w:after="36"/>
              <w:jc w:val="left"/>
            </w:pPr>
            <w:r>
              <w:rPr>
                <w:rFonts w:ascii="Arial" w:hAnsi="Arial" w:eastAsia="Arial" w:cs="Arial"/>
                <w:color w:val="222222"/>
                <w:sz w:val="20"/>
                <w:szCs w:val="20"/>
              </w:rPr>
              <w:t>社会信任与稳定度（Social Trust &amp; Stability Index）</w:t>
            </w:r>
          </w:p>
        </w:tc>
        <w:tc>
          <w:tcPr>
            <w:tcW w:w="7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6FBB509">
            <w:pPr>
              <w:spacing w:before="36" w:after="36"/>
              <w:jc w:val="left"/>
            </w:pPr>
            <w:r>
              <w:rPr>
                <w:rFonts w:ascii="Arial" w:hAnsi="Arial" w:eastAsia="Arial" w:cs="Arial"/>
                <w:color w:val="222222"/>
                <w:sz w:val="20"/>
                <w:szCs w:val="20"/>
              </w:rPr>
              <w:t>50分</w:t>
            </w:r>
          </w:p>
        </w:tc>
        <w:tc>
          <w:tcPr>
            <w:tcW w:w="2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915A4F3">
            <w:pPr>
              <w:spacing w:before="36" w:after="36"/>
              <w:jc w:val="left"/>
            </w:pPr>
            <w:r>
              <w:rPr>
                <w:rFonts w:ascii="Arial" w:hAnsi="Arial" w:eastAsia="Arial" w:cs="Arial"/>
                <w:color w:val="222222"/>
                <w:sz w:val="20"/>
                <w:szCs w:val="20"/>
              </w:rPr>
              <w:t>信息透明决策频率（正向）+舆情热度走势（负向）+政社互动质量（正向）+群体事件（重罚）。注：信息封锁短期+3，长期（2轮后）-8，体现信任崩溃的延迟效应</w:t>
            </w:r>
          </w:p>
        </w:tc>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8F7166B">
            <w:pPr>
              <w:spacing w:before="36" w:after="36"/>
              <w:jc w:val="left"/>
            </w:pPr>
            <w:r>
              <w:rPr>
                <w:rFonts w:ascii="Arial" w:hAnsi="Arial" w:eastAsia="Arial" w:cs="Arial"/>
                <w:color w:val="222222"/>
                <w:sz w:val="20"/>
                <w:szCs w:val="20"/>
              </w:rPr>
              <w:t>Putnam（1993）社会资本；King et al.（2013）信任效应</w:t>
            </w:r>
          </w:p>
        </w:tc>
        <w:tc>
          <w:tcPr>
            <w:tcW w:w="1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80BC1AD">
            <w:pPr>
              <w:spacing w:before="36" w:after="36"/>
              <w:jc w:val="left"/>
            </w:pPr>
            <w:r>
              <w:rPr>
                <w:rFonts w:ascii="Arial" w:hAnsi="Arial" w:eastAsia="Arial" w:cs="Arial"/>
                <w:color w:val="222222"/>
                <w:sz w:val="20"/>
                <w:szCs w:val="20"/>
              </w:rPr>
              <w:t>社会沟通类↑；信息封锁短期↑长期↓；媒体危机↓↓</w:t>
            </w:r>
          </w:p>
        </w:tc>
      </w:tr>
      <w:tr w14:paraId="650FE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DE24F9B">
            <w:pPr>
              <w:spacing w:before="36" w:after="36"/>
              <w:jc w:val="left"/>
            </w:pPr>
            <w:r>
              <w:rPr>
                <w:rFonts w:ascii="Arial" w:hAnsi="Arial" w:eastAsia="Arial" w:cs="Arial"/>
                <w:color w:val="222222"/>
                <w:sz w:val="20"/>
                <w:szCs w:val="20"/>
              </w:rPr>
              <w:t>IGA</w:t>
            </w:r>
          </w:p>
        </w:tc>
        <w:tc>
          <w:tcPr>
            <w:tcW w:w="24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8C0DEFB">
            <w:pPr>
              <w:spacing w:before="36" w:after="36"/>
              <w:jc w:val="left"/>
            </w:pPr>
            <w:r>
              <w:rPr>
                <w:rFonts w:ascii="Arial" w:hAnsi="Arial" w:eastAsia="Arial" w:cs="Arial"/>
                <w:color w:val="222222"/>
                <w:sz w:val="20"/>
                <w:szCs w:val="20"/>
              </w:rPr>
              <w:t>府际协作效能（Inter-Governmental Affairs Index）</w:t>
            </w:r>
          </w:p>
        </w:tc>
        <w:tc>
          <w:tcPr>
            <w:tcW w:w="7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9C838D8">
            <w:pPr>
              <w:spacing w:before="36" w:after="36"/>
              <w:jc w:val="left"/>
            </w:pPr>
            <w:r>
              <w:rPr>
                <w:rFonts w:ascii="Arial" w:hAnsi="Arial" w:eastAsia="Arial" w:cs="Arial"/>
                <w:color w:val="222222"/>
                <w:sz w:val="20"/>
                <w:szCs w:val="20"/>
              </w:rPr>
              <w:t>40分</w:t>
            </w:r>
          </w:p>
        </w:tc>
        <w:tc>
          <w:tcPr>
            <w:tcW w:w="2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CC7D328">
            <w:pPr>
              <w:spacing w:before="36" w:after="36"/>
              <w:jc w:val="left"/>
            </w:pPr>
            <w:r>
              <w:rPr>
                <w:rFonts w:ascii="Arial" w:hAnsi="Arial" w:eastAsia="Arial" w:cs="Arial"/>
                <w:color w:val="222222"/>
                <w:sz w:val="20"/>
                <w:szCs w:val="20"/>
              </w:rPr>
              <w:t>联署行为（高权重）+信息共享精度（中权重，0-5级）+联合行动达成率（高权重）+承诺兑现率+责任推诿被举报（-15）</w:t>
            </w:r>
          </w:p>
        </w:tc>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8D8AC2D">
            <w:pPr>
              <w:spacing w:before="36" w:after="36"/>
              <w:jc w:val="left"/>
            </w:pPr>
            <w:r>
              <w:rPr>
                <w:rFonts w:ascii="Arial" w:hAnsi="Arial" w:eastAsia="Arial" w:cs="Arial"/>
                <w:color w:val="222222"/>
                <w:sz w:val="20"/>
                <w:szCs w:val="20"/>
              </w:rPr>
              <w:t>Ansell &amp; Gash（2008）协同治理；Feiock（2013）制度性集体行动</w:t>
            </w:r>
          </w:p>
        </w:tc>
        <w:tc>
          <w:tcPr>
            <w:tcW w:w="15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0234815">
            <w:pPr>
              <w:spacing w:before="36" w:after="36"/>
              <w:jc w:val="left"/>
            </w:pPr>
            <w:r>
              <w:rPr>
                <w:rFonts w:ascii="Arial" w:hAnsi="Arial" w:eastAsia="Arial" w:cs="Arial"/>
                <w:color w:val="222222"/>
                <w:sz w:val="20"/>
                <w:szCs w:val="20"/>
              </w:rPr>
              <w:t>联署合作类↑↑；跨域协调类↑；责任推诿↓↓</w:t>
            </w:r>
          </w:p>
        </w:tc>
      </w:tr>
      <w:tr w14:paraId="4417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CF02573">
            <w:pPr>
              <w:spacing w:before="36" w:after="36"/>
              <w:jc w:val="left"/>
            </w:pPr>
            <w:r>
              <w:rPr>
                <w:rFonts w:ascii="Arial" w:hAnsi="Arial" w:eastAsia="Arial" w:cs="Arial"/>
                <w:color w:val="222222"/>
                <w:sz w:val="20"/>
                <w:szCs w:val="20"/>
              </w:rPr>
              <w:t>ARC</w:t>
            </w:r>
          </w:p>
        </w:tc>
        <w:tc>
          <w:tcPr>
            <w:tcW w:w="24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EF8115F">
            <w:pPr>
              <w:spacing w:before="36" w:after="36"/>
              <w:jc w:val="left"/>
            </w:pPr>
            <w:r>
              <w:rPr>
                <w:rFonts w:ascii="Arial" w:hAnsi="Arial" w:eastAsia="Arial" w:cs="Arial"/>
                <w:color w:val="222222"/>
                <w:sz w:val="20"/>
                <w:szCs w:val="20"/>
              </w:rPr>
              <w:t>行政规范合规度（Administrative Regulatory Compliance）</w:t>
            </w:r>
          </w:p>
        </w:tc>
        <w:tc>
          <w:tcPr>
            <w:tcW w:w="7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DDCFD8A">
            <w:pPr>
              <w:spacing w:before="36" w:after="36"/>
              <w:jc w:val="left"/>
            </w:pPr>
            <w:r>
              <w:rPr>
                <w:rFonts w:ascii="Arial" w:hAnsi="Arial" w:eastAsia="Arial" w:cs="Arial"/>
                <w:color w:val="222222"/>
                <w:sz w:val="20"/>
                <w:szCs w:val="20"/>
              </w:rPr>
              <w:t>70分</w:t>
            </w:r>
          </w:p>
        </w:tc>
        <w:tc>
          <w:tcPr>
            <w:tcW w:w="2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20D180E">
            <w:pPr>
              <w:spacing w:before="36" w:after="36"/>
              <w:jc w:val="left"/>
            </w:pPr>
            <w:r>
              <w:rPr>
                <w:rFonts w:ascii="Arial" w:hAnsi="Arial" w:eastAsia="Arial" w:cs="Arial"/>
                <w:color w:val="222222"/>
                <w:sz w:val="20"/>
                <w:szCs w:val="20"/>
              </w:rPr>
              <w:t>执法程序规范性（证据标准/签发程序/时限遵守）+制度合规验证器通过率。便宜行事-10；程序违规被举报-25；第三方认证+10</w:t>
            </w:r>
          </w:p>
        </w:tc>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DF3A9C9">
            <w:pPr>
              <w:spacing w:before="36" w:after="36"/>
              <w:jc w:val="left"/>
            </w:pPr>
            <w:r>
              <w:rPr>
                <w:rFonts w:ascii="Arial" w:hAnsi="Arial" w:eastAsia="Arial" w:cs="Arial"/>
                <w:color w:val="222222"/>
                <w:sz w:val="20"/>
                <w:szCs w:val="20"/>
              </w:rPr>
              <w:t>Merton（1940）官僚制规则遵从；Maynard-Moody &amp; Musheno（2003）街头官僚叙事</w:t>
            </w:r>
          </w:p>
        </w:tc>
        <w:tc>
          <w:tcPr>
            <w:tcW w:w="1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9C3BE4E">
            <w:pPr>
              <w:spacing w:before="36" w:after="36"/>
              <w:jc w:val="left"/>
            </w:pPr>
            <w:r>
              <w:rPr>
                <w:rFonts w:ascii="Arial" w:hAnsi="Arial" w:eastAsia="Arial" w:cs="Arial"/>
                <w:color w:val="222222"/>
                <w:sz w:val="20"/>
                <w:szCs w:val="20"/>
              </w:rPr>
              <w:t>行政执法类↑（规范）；技术支撑类↑；便宜行事↓；程序违规↓↓</w:t>
            </w:r>
          </w:p>
        </w:tc>
      </w:tr>
    </w:tbl>
    <w:p w14:paraId="4382B052">
      <w:pPr>
        <w:spacing w:before="60" w:after="60"/>
      </w:pPr>
    </w:p>
    <w:p w14:paraId="59346610">
      <w:pPr>
        <w:pStyle w:val="3"/>
        <w:spacing w:before="320" w:after="140"/>
      </w:pPr>
      <w:r>
        <w:rPr>
          <w:rFonts w:ascii="Arial" w:hAnsi="Arial" w:eastAsia="Arial" w:cs="Arial"/>
          <w:b/>
          <w:bCs/>
          <w:color w:val="174A7E"/>
          <w:sz w:val="25"/>
          <w:szCs w:val="25"/>
        </w:rPr>
        <w:t>9.2 指标间交互效应</w:t>
      </w:r>
    </w:p>
    <w:p w14:paraId="2E0C3748">
      <w:pPr>
        <w:spacing w:before="80" w:after="80"/>
        <w:jc w:val="both"/>
      </w:pPr>
      <w:r>
        <w:rPr>
          <w:rFonts w:ascii="Arial" w:hAnsi="Arial" w:eastAsia="Arial" w:cs="Arial"/>
          <w:b w:val="0"/>
          <w:bCs w:val="0"/>
          <w:color w:val="111111"/>
          <w:sz w:val="22"/>
          <w:szCs w:val="22"/>
        </w:rPr>
        <w:t>五维指标不是独立的，它们之间存在理论有据的相互影响关系。以下是系统内置的主要交互规则（用户可在高级配置中调整交互系数）：</w:t>
      </w:r>
    </w:p>
    <w:p w14:paraId="0A47EC2B">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65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0942415E">
            <w:pPr>
              <w:spacing w:before="60" w:after="100"/>
            </w:pPr>
            <w:r>
              <w:rPr>
                <w:rFonts w:ascii="Arial" w:hAnsi="Arial" w:eastAsia="Arial" w:cs="Arial"/>
                <w:b/>
                <w:bCs/>
                <w:color w:val="1A3A5C"/>
                <w:sz w:val="21"/>
                <w:szCs w:val="21"/>
              </w:rPr>
              <w:t>▌ 五维指标交互效应规则</w:t>
            </w:r>
          </w:p>
          <w:p w14:paraId="12BEE6DA">
            <w:pPr>
              <w:spacing w:before="16" w:after="16"/>
            </w:pPr>
            <w:r>
              <w:rPr>
                <w:rFonts w:ascii="Courier New" w:hAnsi="Courier New" w:eastAsia="Courier New" w:cs="Courier New"/>
                <w:color w:val="1A2233"/>
                <w:sz w:val="19"/>
                <w:szCs w:val="19"/>
              </w:rPr>
              <w:t xml:space="preserve">  指标间交互效应（当某维度达到阈值时触发的溢出规则）</w:t>
            </w:r>
          </w:p>
          <w:p w14:paraId="5C182238">
            <w:pPr>
              <w:spacing w:before="16" w:after="16"/>
            </w:pPr>
            <w:r>
              <w:rPr>
                <w:rFonts w:ascii="Courier New" w:hAnsi="Courier New" w:eastAsia="Courier New" w:cs="Courier New"/>
                <w:color w:val="1A2233"/>
                <w:sz w:val="19"/>
                <w:szCs w:val="19"/>
              </w:rPr>
              <w:t xml:space="preserve">  ══════════════════════════════════════════════════════════════════════</w:t>
            </w:r>
          </w:p>
          <w:p w14:paraId="5370C31A">
            <w:pPr>
              <w:spacing w:before="16" w:after="16"/>
            </w:pPr>
          </w:p>
          <w:p w14:paraId="345FD407">
            <w:pPr>
              <w:spacing w:before="16" w:after="16"/>
            </w:pPr>
            <w:r>
              <w:rPr>
                <w:rFonts w:ascii="Courier New" w:hAnsi="Courier New" w:eastAsia="Courier New" w:cs="Courier New"/>
                <w:color w:val="1A2233"/>
                <w:sz w:val="19"/>
                <w:szCs w:val="19"/>
              </w:rPr>
              <w:t xml:space="preserve">  规则1：CLR崩溃溢出</w:t>
            </w:r>
          </w:p>
          <w:p w14:paraId="60D326FD">
            <w:pPr>
              <w:spacing w:before="16" w:after="16"/>
            </w:pPr>
            <w:r>
              <w:rPr>
                <w:rFonts w:ascii="Courier New" w:hAnsi="Courier New" w:eastAsia="Courier New" w:cs="Courier New"/>
                <w:color w:val="1A2233"/>
                <w:sz w:val="19"/>
                <w:szCs w:val="19"/>
              </w:rPr>
              <w:t xml:space="preserve">  条件：CLR &lt; 30分</w:t>
            </w:r>
          </w:p>
          <w:p w14:paraId="3BA80F8E">
            <w:pPr>
              <w:spacing w:before="16" w:after="16"/>
            </w:pPr>
            <w:r>
              <w:rPr>
                <w:rFonts w:ascii="Courier New" w:hAnsi="Courier New" w:eastAsia="Courier New" w:cs="Courier New"/>
                <w:color w:val="1A2233"/>
                <w:sz w:val="19"/>
                <w:szCs w:val="19"/>
              </w:rPr>
              <w:t xml:space="preserve">  效果：PSR × 0.75（失去上级支持，政策推进力下降）</w:t>
            </w:r>
          </w:p>
          <w:p w14:paraId="1E141B95">
            <w:pPr>
              <w:spacing w:before="16" w:after="16"/>
            </w:pPr>
            <w:r>
              <w:rPr>
                <w:rFonts w:ascii="Courier New" w:hAnsi="Courier New" w:eastAsia="Courier New" w:cs="Courier New"/>
                <w:color w:val="1A2233"/>
                <w:sz w:val="19"/>
                <w:szCs w:val="19"/>
              </w:rPr>
              <w:t xml:space="preserve">        IGA × 0.80（政治合法性危机影响横向合作意愿）</w:t>
            </w:r>
          </w:p>
          <w:p w14:paraId="3B165AB2">
            <w:pPr>
              <w:spacing w:before="16" w:after="16"/>
            </w:pPr>
            <w:r>
              <w:rPr>
                <w:rFonts w:ascii="Courier New" w:hAnsi="Courier New" w:eastAsia="Courier New" w:cs="Courier New"/>
                <w:color w:val="1A2233"/>
                <w:sz w:val="19"/>
                <w:szCs w:val="19"/>
              </w:rPr>
              <w:t xml:space="preserve">  理论依据：地方政治合法性是治理能力的前提条件（周雪光, 2013）</w:t>
            </w:r>
          </w:p>
          <w:p w14:paraId="684DE9CB">
            <w:pPr>
              <w:spacing w:before="16" w:after="16"/>
            </w:pPr>
          </w:p>
          <w:p w14:paraId="697844EE">
            <w:pPr>
              <w:spacing w:before="16" w:after="16"/>
            </w:pPr>
            <w:r>
              <w:rPr>
                <w:rFonts w:ascii="Courier New" w:hAnsi="Courier New" w:eastAsia="Courier New" w:cs="Courier New"/>
                <w:color w:val="1A2233"/>
                <w:sz w:val="19"/>
                <w:szCs w:val="19"/>
              </w:rPr>
              <w:t xml:space="preserve">  规则2：舆情危机溢出</w:t>
            </w:r>
          </w:p>
          <w:p w14:paraId="3500E59D">
            <w:pPr>
              <w:spacing w:before="16" w:after="16"/>
            </w:pPr>
            <w:r>
              <w:rPr>
                <w:rFonts w:ascii="Courier New" w:hAnsi="Courier New" w:eastAsia="Courier New" w:cs="Courier New"/>
                <w:color w:val="1A2233"/>
                <w:sz w:val="19"/>
                <w:szCs w:val="19"/>
              </w:rPr>
              <w:t xml:space="preserve">  条件：STS &lt; 35分 且 舆情热度 &gt; 65分</w:t>
            </w:r>
          </w:p>
          <w:p w14:paraId="52D660D4">
            <w:pPr>
              <w:spacing w:before="16" w:after="16"/>
            </w:pPr>
            <w:r>
              <w:rPr>
                <w:rFonts w:ascii="Courier New" w:hAnsi="Courier New" w:eastAsia="Courier New" w:cs="Courier New"/>
                <w:color w:val="1A2233"/>
                <w:sz w:val="19"/>
                <w:szCs w:val="19"/>
              </w:rPr>
              <w:t xml:space="preserve">  效果：CLR − 5（社会稳定危机触发问责关注）</w:t>
            </w:r>
          </w:p>
          <w:p w14:paraId="5A0F50BB">
            <w:pPr>
              <w:spacing w:before="16" w:after="16"/>
            </w:pPr>
            <w:r>
              <w:rPr>
                <w:rFonts w:ascii="Courier New" w:hAnsi="Courier New" w:eastAsia="Courier New" w:cs="Courier New"/>
                <w:color w:val="1A2233"/>
                <w:sz w:val="19"/>
                <w:szCs w:val="19"/>
              </w:rPr>
              <w:t xml:space="preserve">        account_pressure自动 +2（上级开始关注稳定性）</w:t>
            </w:r>
          </w:p>
          <w:p w14:paraId="7271A85B">
            <w:pPr>
              <w:spacing w:before="16" w:after="16"/>
            </w:pPr>
            <w:r>
              <w:rPr>
                <w:rFonts w:ascii="Courier New" w:hAnsi="Courier New" w:eastAsia="Courier New" w:cs="Courier New"/>
                <w:color w:val="1A2233"/>
                <w:sz w:val="19"/>
                <w:szCs w:val="19"/>
              </w:rPr>
              <w:t xml:space="preserve">  理论依据：社会稳定是官员政治安全的核心考量（Wang &amp; Minzner, 2015）</w:t>
            </w:r>
          </w:p>
          <w:p w14:paraId="5CA3C716">
            <w:pPr>
              <w:spacing w:before="16" w:after="16"/>
            </w:pPr>
          </w:p>
          <w:p w14:paraId="2D53AA27">
            <w:pPr>
              <w:spacing w:before="16" w:after="16"/>
            </w:pPr>
            <w:r>
              <w:rPr>
                <w:rFonts w:ascii="Courier New" w:hAnsi="Courier New" w:eastAsia="Courier New" w:cs="Courier New"/>
                <w:color w:val="1A2233"/>
                <w:sz w:val="19"/>
                <w:szCs w:val="19"/>
              </w:rPr>
              <w:t xml:space="preserve">  规则3：协作成功正向溢出</w:t>
            </w:r>
          </w:p>
          <w:p w14:paraId="2716C7AC">
            <w:pPr>
              <w:spacing w:before="16" w:after="16"/>
            </w:pPr>
            <w:r>
              <w:rPr>
                <w:rFonts w:ascii="Courier New" w:hAnsi="Courier New" w:eastAsia="Courier New" w:cs="Courier New"/>
                <w:color w:val="1A2233"/>
                <w:sz w:val="19"/>
                <w:szCs w:val="19"/>
              </w:rPr>
              <w:t xml:space="preserve">  条件：IGA &gt; 75分 且 近2轮持续上升</w:t>
            </w:r>
          </w:p>
          <w:p w14:paraId="52977316">
            <w:pPr>
              <w:spacing w:before="16" w:after="16"/>
            </w:pPr>
            <w:r>
              <w:rPr>
                <w:rFonts w:ascii="Courier New" w:hAnsi="Courier New" w:eastAsia="Courier New" w:cs="Courier New"/>
                <w:color w:val="1A2233"/>
                <w:sz w:val="19"/>
                <w:szCs w:val="19"/>
              </w:rPr>
              <w:t xml:space="preserve">  效果：PSR + 5（协作形成制度化合力，问题解决率↑）</w:t>
            </w:r>
          </w:p>
          <w:p w14:paraId="5C227F2D">
            <w:pPr>
              <w:spacing w:before="16" w:after="16"/>
            </w:pPr>
            <w:r>
              <w:rPr>
                <w:rFonts w:ascii="Courier New" w:hAnsi="Courier New" w:eastAsia="Courier New" w:cs="Courier New"/>
                <w:color w:val="1A2233"/>
                <w:sz w:val="19"/>
                <w:szCs w:val="19"/>
              </w:rPr>
              <w:t xml:space="preserve">        CLR + 3（联署成功获得上级政治认可）</w:t>
            </w:r>
          </w:p>
          <w:p w14:paraId="71F00BD6">
            <w:pPr>
              <w:spacing w:before="16" w:after="16"/>
            </w:pPr>
            <w:r>
              <w:rPr>
                <w:rFonts w:ascii="Courier New" w:hAnsi="Courier New" w:eastAsia="Courier New" w:cs="Courier New"/>
                <w:color w:val="1A2233"/>
                <w:sz w:val="19"/>
                <w:szCs w:val="19"/>
              </w:rPr>
              <w:t xml:space="preserve">  理论依据：制度性集体行动成功有正向外部性（Feiock, 2013）</w:t>
            </w:r>
          </w:p>
          <w:p w14:paraId="770F9423">
            <w:pPr>
              <w:spacing w:before="16" w:after="16"/>
            </w:pPr>
          </w:p>
          <w:p w14:paraId="1BF22EF9">
            <w:pPr>
              <w:spacing w:before="16" w:after="16"/>
            </w:pPr>
            <w:r>
              <w:rPr>
                <w:rFonts w:ascii="Courier New" w:hAnsi="Courier New" w:eastAsia="Courier New" w:cs="Courier New"/>
                <w:color w:val="1A2233"/>
                <w:sz w:val="19"/>
                <w:szCs w:val="19"/>
              </w:rPr>
              <w:t xml:space="preserve">  规则4：运动式治理激活</w:t>
            </w:r>
          </w:p>
          <w:p w14:paraId="2F495F2E">
            <w:pPr>
              <w:spacing w:before="16" w:after="16"/>
            </w:pPr>
            <w:r>
              <w:rPr>
                <w:rFonts w:ascii="Courier New" w:hAnsi="Courier New" w:eastAsia="Courier New" w:cs="Courier New"/>
                <w:color w:val="1A2233"/>
                <w:sz w:val="19"/>
                <w:szCs w:val="19"/>
              </w:rPr>
              <w:t xml:space="preserve">  条件：account_pressure ≥ 8 或 insp_countdown = 0</w:t>
            </w:r>
          </w:p>
          <w:p w14:paraId="4683F530">
            <w:pPr>
              <w:spacing w:before="16" w:after="16"/>
            </w:pPr>
            <w:r>
              <w:rPr>
                <w:rFonts w:ascii="Courier New" w:hAnsi="Courier New" w:eastAsia="Courier New" w:cs="Courier New"/>
                <w:color w:val="1A2233"/>
                <w:sz w:val="19"/>
                <w:szCs w:val="19"/>
              </w:rPr>
              <w:t xml:space="preserve">  效果：CLR权重 ×2（所有决策向政治安全集中）</w:t>
            </w:r>
          </w:p>
          <w:p w14:paraId="59E6DEFF">
            <w:pPr>
              <w:spacing w:before="16" w:after="16"/>
            </w:pPr>
            <w:r>
              <w:rPr>
                <w:rFonts w:ascii="Courier New" w:hAnsi="Courier New" w:eastAsia="Courier New" w:cs="Courier New"/>
                <w:color w:val="1A2233"/>
                <w:sz w:val="19"/>
                <w:szCs w:val="19"/>
              </w:rPr>
              <w:t xml:space="preserve">        ARC基础分每轮 −2（高压问责使合规难度上升）</w:t>
            </w:r>
          </w:p>
          <w:p w14:paraId="05BECABC">
            <w:pPr>
              <w:spacing w:before="16" w:after="16"/>
            </w:pPr>
            <w:r>
              <w:rPr>
                <w:rFonts w:ascii="Courier New" w:hAnsi="Courier New" w:eastAsia="Courier New" w:cs="Courier New"/>
                <w:color w:val="1A2233"/>
                <w:sz w:val="19"/>
                <w:szCs w:val="19"/>
              </w:rPr>
              <w:t xml:space="preserve">  理论依据：运动式治理使激励结构向政治指标扭曲（冯仕政, 2011）</w:t>
            </w:r>
          </w:p>
          <w:p w14:paraId="333BF87A">
            <w:pPr>
              <w:spacing w:before="16" w:after="16"/>
            </w:pPr>
          </w:p>
          <w:p w14:paraId="02CD28B4">
            <w:pPr>
              <w:spacing w:before="16" w:after="16"/>
            </w:pPr>
            <w:r>
              <w:rPr>
                <w:rFonts w:ascii="Courier New" w:hAnsi="Courier New" w:eastAsia="Courier New" w:cs="Courier New"/>
                <w:color w:val="1A2233"/>
                <w:sz w:val="19"/>
                <w:szCs w:val="19"/>
              </w:rPr>
              <w:t xml:space="preserve">  规则5：良性循环</w:t>
            </w:r>
          </w:p>
          <w:p w14:paraId="090D4138">
            <w:pPr>
              <w:spacing w:before="16" w:after="16"/>
            </w:pPr>
            <w:r>
              <w:rPr>
                <w:rFonts w:ascii="Courier New" w:hAnsi="Courier New" w:eastAsia="Courier New" w:cs="Courier New"/>
                <w:color w:val="1A2233"/>
                <w:sz w:val="19"/>
                <w:szCs w:val="19"/>
              </w:rPr>
              <w:t xml:space="preserve">  条件：PSR &gt; 68分 且 STS &gt; 68分 同时持续≥2轮</w:t>
            </w:r>
          </w:p>
          <w:p w14:paraId="3920858C">
            <w:pPr>
              <w:spacing w:before="16" w:after="16"/>
            </w:pPr>
            <w:r>
              <w:rPr>
                <w:rFonts w:ascii="Courier New" w:hAnsi="Courier New" w:eastAsia="Courier New" w:cs="Courier New"/>
                <w:color w:val="1A2233"/>
                <w:sz w:val="19"/>
                <w:szCs w:val="19"/>
              </w:rPr>
              <w:t xml:space="preserve">  效果：两维度每轮自然增长 +1.5</w:t>
            </w:r>
          </w:p>
          <w:p w14:paraId="010A5C58">
            <w:pPr>
              <w:spacing w:before="16" w:after="16"/>
            </w:pPr>
            <w:r>
              <w:rPr>
                <w:rFonts w:ascii="Courier New" w:hAnsi="Courier New" w:eastAsia="Courier New" w:cs="Courier New"/>
                <w:color w:val="1A2233"/>
                <w:sz w:val="19"/>
                <w:szCs w:val="19"/>
              </w:rPr>
              <w:t xml:space="preserve">        CLR + 4（治理绩效双高，上级认可度上升）</w:t>
            </w:r>
          </w:p>
          <w:p w14:paraId="385BBD86">
            <w:pPr>
              <w:spacing w:before="16" w:after="16"/>
            </w:pPr>
            <w:r>
              <w:rPr>
                <w:rFonts w:ascii="Courier New" w:hAnsi="Courier New" w:eastAsia="Courier New" w:cs="Courier New"/>
                <w:color w:val="1A2233"/>
                <w:sz w:val="19"/>
                <w:szCs w:val="19"/>
              </w:rPr>
              <w:t xml:space="preserve">  理论依据：治理绩效与社会信任构成正向强化循环（Putnam, 1993）</w:t>
            </w:r>
          </w:p>
        </w:tc>
      </w:tr>
    </w:tbl>
    <w:p w14:paraId="2A64FC00">
      <w:pPr>
        <w:spacing w:before="120" w:after="120"/>
      </w:pPr>
    </w:p>
    <w:p w14:paraId="60CA5C44">
      <w:pPr>
        <w:pStyle w:val="3"/>
        <w:spacing w:before="320" w:after="140"/>
      </w:pPr>
      <w:r>
        <w:rPr>
          <w:rFonts w:ascii="Arial" w:hAnsi="Arial" w:eastAsia="Arial" w:cs="Arial"/>
          <w:b/>
          <w:bCs/>
          <w:color w:val="174A7E"/>
          <w:sz w:val="25"/>
          <w:szCs w:val="25"/>
        </w:rPr>
        <w:t>9.3 得分系统的使用限制与研究模式差异</w:t>
      </w:r>
    </w:p>
    <w:p w14:paraId="0339D2FA">
      <w:pPr>
        <w:spacing w:before="80" w:after="80"/>
        <w:jc w:val="both"/>
      </w:pPr>
      <w:r>
        <w:rPr>
          <w:rFonts w:ascii="Arial" w:hAnsi="Arial" w:eastAsia="Arial" w:cs="Arial"/>
          <w:b w:val="0"/>
          <w:bCs w:val="0"/>
          <w:color w:val="111111"/>
          <w:sz w:val="22"/>
          <w:szCs w:val="22"/>
        </w:rPr>
        <w:t>五维综合指标得分是推演中的核心反馈机制，但其使用必须辅以方法论说明。教学模式下，五维综合指标和KPI得分实时可见，帮助学员直观理解决策后果，强化理论内化的即时反馈。研究模式下，建议关闭得分实时展示（避免玩家为"最大化得分"而而非按照自然决策倾向行动，这会污染研究者希望观察的自然决策行为）；研究者可以选择在推演结束后展示得分，或完全不展示（这本身也可以成为研究中的处理变量之一）。</w:t>
      </w:r>
    </w:p>
    <w:p w14:paraId="27A2CA8C">
      <w:pPr>
        <w:spacing w:before="80" w:after="80"/>
        <w:jc w:val="both"/>
      </w:pPr>
      <w:r>
        <w:rPr>
          <w:rFonts w:ascii="Arial" w:hAnsi="Arial" w:eastAsia="Arial" w:cs="Arial"/>
          <w:b w:val="0"/>
          <w:bCs w:val="0"/>
          <w:color w:val="111111"/>
          <w:sz w:val="22"/>
          <w:szCs w:val="22"/>
        </w:rPr>
        <w:t>个人总分不代表决策"对错"，而是在特定游戏规则下的激励相容程度测量。五维指标的权重分配反映了一种价值判断，不同教师和研究者可以赋予不同权重以体现不同的治理价值观（如强调依法行政的研究者可以提高ARC权重，强调社会治理的可以提高STS权重）。这种权重灵活性本身也是一种设计选择：平台不预设什么是"好的"治理，而是让用户根据研究目的来定义。</w:t>
      </w:r>
    </w:p>
    <w:p w14:paraId="78CFDD6B"/>
    <w:p w14:paraId="4C1DC487"/>
    <w:p w14:paraId="56472069"/>
    <w:p w14:paraId="4F653F1C"/>
    <w:p w14:paraId="4E808424"/>
    <w:p w14:paraId="3956DA0E"/>
    <w:p w14:paraId="792669C4"/>
    <w:p w14:paraId="4DBF0A5C"/>
    <w:p w14:paraId="4630772B"/>
    <w:p w14:paraId="0F8688BE"/>
    <w:p w14:paraId="2E835F60"/>
    <w:p w14:paraId="33D81C87"/>
    <w:p w14:paraId="70119F94"/>
    <w:p w14:paraId="7E0773F9"/>
    <w:p w14:paraId="7E3F07E2"/>
    <w:p w14:paraId="233F6A46"/>
    <w:p w14:paraId="4C7DCA38"/>
    <w:p w14:paraId="366A535B"/>
    <w:p w14:paraId="3D0597E1"/>
    <w:p w14:paraId="5E7D8B64"/>
    <w:p w14:paraId="03316BE4"/>
    <w:p w14:paraId="39F6E547"/>
    <w:p w14:paraId="6D29049C"/>
    <w:p w14:paraId="3F42B81B"/>
    <w:p w14:paraId="5AA645C9"/>
    <w:p w14:paraId="0872035C"/>
    <w:p w14:paraId="1DC36CCB"/>
    <w:p w14:paraId="2C3CEE31"/>
    <w:p w14:paraId="6BE2BAE8"/>
    <w:p w14:paraId="7AAD3C32"/>
    <w:p w14:paraId="26EBFEF7"/>
    <w:p w14:paraId="7A5B56F9"/>
    <w:p w14:paraId="0B176313"/>
    <w:p w14:paraId="268BA3E8"/>
    <w:p w14:paraId="372F44C0"/>
    <w:p w14:paraId="7A646301">
      <w:pPr>
        <w:spacing w:before="600" w:after="160"/>
        <w:jc w:val="center"/>
      </w:pPr>
      <w:r>
        <w:rPr>
          <w:rFonts w:ascii="Arial" w:hAnsi="Arial" w:eastAsia="Arial" w:cs="Arial"/>
          <w:b/>
          <w:bCs/>
          <w:color w:val="1A3A5C"/>
          <w:sz w:val="44"/>
          <w:szCs w:val="44"/>
        </w:rPr>
        <w:t>政通推演坊  GovSim Studio</w:t>
      </w:r>
    </w:p>
    <w:p w14:paraId="45C361CA">
      <w:pPr>
        <w:spacing w:before="80" w:after="80"/>
        <w:jc w:val="center"/>
      </w:pPr>
      <w:r>
        <w:rPr>
          <w:rFonts w:ascii="Arial" w:hAnsi="Arial" w:eastAsia="Arial" w:cs="Arial"/>
          <w:b/>
          <w:bCs/>
          <w:color w:val="174A7E"/>
          <w:sz w:val="28"/>
          <w:szCs w:val="28"/>
        </w:rPr>
        <w:t>申报书 第三部分</w:t>
      </w:r>
    </w:p>
    <w:p w14:paraId="720F961D">
      <w:pPr>
        <w:spacing w:before="60" w:after="500"/>
        <w:jc w:val="center"/>
      </w:pPr>
      <w:r>
        <w:rPr>
          <w:rFonts w:ascii="Arial" w:hAnsi="Arial" w:eastAsia="Arial" w:cs="Arial"/>
          <w:color w:val="555577"/>
          <w:sz w:val="22"/>
          <w:szCs w:val="22"/>
        </w:rPr>
        <w:t>旗舰场景「清河记」完整设计  ·  场景模板库  ·  用户自定义场景体系  ·  竞品分析</w:t>
      </w:r>
    </w:p>
    <w:p w14:paraId="53601612">
      <w:r>
        <w:br w:type="page"/>
      </w:r>
    </w:p>
    <w:p w14:paraId="319FE056">
      <w:pPr>
        <w:pStyle w:val="2"/>
        <w:pBdr>
          <w:bottom w:val="single" w:color="1A3A5C" w:sz="8" w:space="2"/>
        </w:pBdr>
        <w:spacing w:before="440" w:after="200"/>
      </w:pPr>
      <w:r>
        <w:rPr>
          <w:rFonts w:ascii="Arial" w:hAnsi="Arial" w:eastAsia="Arial" w:cs="Arial"/>
          <w:b/>
          <w:bCs/>
          <w:color w:val="1A3A5C"/>
          <w:sz w:val="30"/>
          <w:szCs w:val="30"/>
        </w:rPr>
        <w:t>十、旗舰场景「清河记」：完整场景设计规范</w:t>
      </w:r>
    </w:p>
    <w:p w14:paraId="339BDDBA">
      <w:pPr>
        <w:spacing w:before="80" w:after="80"/>
        <w:jc w:val="both"/>
      </w:pPr>
      <w:r>
        <w:rPr>
          <w:rFonts w:ascii="Arial" w:hAnsi="Arial" w:eastAsia="Arial" w:cs="Arial"/>
          <w:b w:val="0"/>
          <w:bCs w:val="0"/>
          <w:color w:val="111111"/>
          <w:sz w:val="22"/>
          <w:szCs w:val="22"/>
        </w:rPr>
        <w:t>「清河记」是政通推演坊为用户提供的旗舰示范场景，它不是平台内容的全部，而是平台配置能力的最高规格演示。该场景的完整设计覆盖了六大制度模块中的四个（M1党政体制、M3府际关系、M4政策过程、M5问责督察），涉及跨行政区污染治理这一高度典型的中国地方治理难题，具有充分的制度真实性、戏剧张力和理论深度。通过阅读本节，教师和研究者可以理解一个高质量场景的设计逻辑，从而独立设计属于自己课程或研究需要的场景。</w:t>
      </w:r>
    </w:p>
    <w:p w14:paraId="14021683">
      <w:pPr>
        <w:spacing w:before="80" w:after="80"/>
        <w:jc w:val="both"/>
      </w:pPr>
      <w:r>
        <w:rPr>
          <w:rFonts w:ascii="Arial" w:hAnsi="Arial" w:eastAsia="Arial" w:cs="Arial"/>
          <w:b w:val="0"/>
          <w:bCs w:val="0"/>
          <w:color w:val="111111"/>
          <w:sz w:val="22"/>
          <w:szCs w:val="22"/>
        </w:rPr>
        <w:t>需要特别指出的是：「清河记」的所有设计要素——角色体系、事件脚本、KPI权重、参数配置——均来自本平台的通用配置工具，而非硬编码的固定内容。任何教师或研究者都可以使用同样的工具设计出与「清河记」同等精细度的场景，并按自己的需要调整任意元素。「清河记」的意义在于证明这套工具的能力边界，而不是规定用户必须如何使用平台。</w:t>
      </w:r>
    </w:p>
    <w:p w14:paraId="43530D9B">
      <w:pPr>
        <w:spacing w:before="120" w:after="120"/>
      </w:pPr>
    </w:p>
    <w:p w14:paraId="7E3CBF0B">
      <w:pPr>
        <w:pStyle w:val="3"/>
        <w:spacing w:before="320" w:after="140"/>
      </w:pPr>
      <w:r>
        <w:rPr>
          <w:rFonts w:ascii="Arial" w:hAnsi="Arial" w:eastAsia="Arial" w:cs="Arial"/>
          <w:b/>
          <w:bCs/>
          <w:color w:val="174A7E"/>
          <w:sz w:val="25"/>
          <w:szCs w:val="25"/>
        </w:rPr>
        <w:t>10.1 场景基本信息</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28B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6E5918B1">
            <w:r>
              <w:rPr>
                <w:rFonts w:ascii="Arial" w:hAnsi="Arial" w:eastAsia="Arial" w:cs="Arial"/>
                <w:b/>
                <w:bCs/>
                <w:color w:val="1A3A5C"/>
                <w:sz w:val="20"/>
                <w:szCs w:val="20"/>
              </w:rPr>
              <w:t>场景正式名称</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4A54B30F">
            <w:pPr>
              <w:spacing w:before="28" w:after="28"/>
            </w:pPr>
            <w:r>
              <w:rPr>
                <w:rFonts w:ascii="Arial" w:hAnsi="Arial" w:eastAsia="Arial" w:cs="Arial"/>
                <w:color w:val="222222"/>
                <w:sz w:val="20"/>
                <w:szCs w:val="20"/>
              </w:rPr>
              <w:t>清河记：跨县界水污染事件中的治理博弈</w:t>
            </w:r>
          </w:p>
        </w:tc>
      </w:tr>
      <w:tr w14:paraId="26F9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2B1D8968">
            <w:r>
              <w:rPr>
                <w:rFonts w:ascii="Arial" w:hAnsi="Arial" w:eastAsia="Arial" w:cs="Arial"/>
                <w:b/>
                <w:bCs/>
                <w:color w:val="1A3A5C"/>
                <w:sz w:val="20"/>
                <w:szCs w:val="20"/>
              </w:rPr>
              <w:t>核心治理议题</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71721A71">
            <w:pPr>
              <w:spacing w:before="28" w:after="28"/>
            </w:pPr>
            <w:r>
              <w:rPr>
                <w:rFonts w:ascii="Arial" w:hAnsi="Arial" w:eastAsia="Arial" w:cs="Arial"/>
                <w:color w:val="222222"/>
                <w:sz w:val="20"/>
                <w:szCs w:val="20"/>
              </w:rPr>
              <w:t>跨行政区突发环境污染——府际责任划分、信息博弈与应急协调</w:t>
            </w:r>
          </w:p>
        </w:tc>
      </w:tr>
      <w:tr w14:paraId="7F71F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6844DEC2">
            <w:r>
              <w:rPr>
                <w:rFonts w:ascii="Arial" w:hAnsi="Arial" w:eastAsia="Arial" w:cs="Arial"/>
                <w:b/>
                <w:bCs/>
                <w:color w:val="1A3A5C"/>
                <w:sz w:val="20"/>
                <w:szCs w:val="20"/>
              </w:rPr>
              <w:t>主要激活制度模块</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3BB44106">
            <w:pPr>
              <w:spacing w:before="28" w:after="28"/>
            </w:pPr>
            <w:r>
              <w:rPr>
                <w:rFonts w:ascii="Arial" w:hAnsi="Arial" w:eastAsia="Arial" w:cs="Arial"/>
                <w:color w:val="222222"/>
                <w:sz w:val="20"/>
                <w:szCs w:val="20"/>
              </w:rPr>
              <w:t>M1党政体制（科层汇报）× M3府际关系（属地管理与跨域协调）× M4政策过程（应急处置程序）× M5问责督察（终身追责与督察压力）</w:t>
            </w:r>
          </w:p>
        </w:tc>
      </w:tr>
      <w:tr w14:paraId="6366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46178DA2">
            <w:r>
              <w:rPr>
                <w:rFonts w:ascii="Arial" w:hAnsi="Arial" w:eastAsia="Arial" w:cs="Arial"/>
                <w:b/>
                <w:bCs/>
                <w:color w:val="1A3A5C"/>
                <w:sz w:val="20"/>
                <w:szCs w:val="20"/>
              </w:rPr>
              <w:t>推荐参与人数</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5F4AE0A7">
            <w:pPr>
              <w:spacing w:before="28" w:after="28"/>
            </w:pPr>
            <w:r>
              <w:rPr>
                <w:rFonts w:ascii="Arial" w:hAnsi="Arial" w:eastAsia="Arial" w:cs="Arial"/>
                <w:color w:val="222222"/>
                <w:sz w:val="20"/>
                <w:szCs w:val="20"/>
              </w:rPr>
              <w:t>6—14人（6人最精简版，14人完整版；不足部分由AI NPC填充）</w:t>
            </w:r>
          </w:p>
        </w:tc>
      </w:tr>
      <w:tr w14:paraId="23B8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12F8BA9A">
            <w:r>
              <w:rPr>
                <w:rFonts w:ascii="Arial" w:hAnsi="Arial" w:eastAsia="Arial" w:cs="Arial"/>
                <w:b/>
                <w:bCs/>
                <w:color w:val="1A3A5C"/>
                <w:sz w:val="20"/>
                <w:szCs w:val="20"/>
              </w:rPr>
              <w:t>推荐推演阶段数</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3B6A907B">
            <w:pPr>
              <w:spacing w:before="28" w:after="28"/>
            </w:pPr>
            <w:r>
              <w:rPr>
                <w:rFonts w:ascii="Arial" w:hAnsi="Arial" w:eastAsia="Arial" w:cs="Arial"/>
                <w:color w:val="222222"/>
                <w:sz w:val="20"/>
                <w:szCs w:val="20"/>
              </w:rPr>
              <w:t>5个阶段，每阶段含2—3个主要决策节点，总决策节点约12—14个</w:t>
            </w:r>
          </w:p>
        </w:tc>
      </w:tr>
      <w:tr w14:paraId="7748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2477B730">
            <w:r>
              <w:rPr>
                <w:rFonts w:ascii="Arial" w:hAnsi="Arial" w:eastAsia="Arial" w:cs="Arial"/>
                <w:b/>
                <w:bCs/>
                <w:color w:val="1A3A5C"/>
                <w:sz w:val="20"/>
                <w:szCs w:val="20"/>
              </w:rPr>
              <w:t>单次推演时长</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66438B99">
            <w:pPr>
              <w:spacing w:before="28" w:after="28"/>
            </w:pPr>
            <w:r>
              <w:rPr>
                <w:rFonts w:ascii="Arial" w:hAnsi="Arial" w:eastAsia="Arial" w:cs="Arial"/>
                <w:color w:val="222222"/>
                <w:sz w:val="20"/>
                <w:szCs w:val="20"/>
              </w:rPr>
              <w:t>约3—4.5小时（含角色熟悉15分钟、推演2.5—3.5小时、复盘30—45分钟）</w:t>
            </w:r>
          </w:p>
        </w:tc>
      </w:tr>
      <w:tr w14:paraId="08F9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0EB0B74B">
            <w:r>
              <w:rPr>
                <w:rFonts w:ascii="Arial" w:hAnsi="Arial" w:eastAsia="Arial" w:cs="Arial"/>
                <w:b/>
                <w:bCs/>
                <w:color w:val="1A3A5C"/>
                <w:sz w:val="20"/>
                <w:szCs w:val="20"/>
              </w:rPr>
              <w:t>推荐知识库主题</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57567186">
            <w:pPr>
              <w:spacing w:before="28" w:after="28"/>
            </w:pPr>
            <w:r>
              <w:rPr>
                <w:rFonts w:ascii="Arial" w:hAnsi="Arial" w:eastAsia="Arial" w:cs="Arial"/>
                <w:color w:val="222222"/>
                <w:sz w:val="20"/>
                <w:szCs w:val="20"/>
              </w:rPr>
              <w:t>L2专题库：跨域环境治理 + 府际关系 + 问责机制 + 官员激励（合计约300篇精选文献）</w:t>
            </w:r>
          </w:p>
        </w:tc>
      </w:tr>
      <w:tr w14:paraId="25357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29D24971">
            <w:r>
              <w:rPr>
                <w:rFonts w:ascii="Arial" w:hAnsi="Arial" w:eastAsia="Arial" w:cs="Arial"/>
                <w:b/>
                <w:bCs/>
                <w:color w:val="1A3A5C"/>
                <w:sz w:val="20"/>
                <w:szCs w:val="20"/>
              </w:rPr>
              <w:t>适用教学对象</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7FC6D88F">
            <w:pPr>
              <w:spacing w:before="28" w:after="28"/>
            </w:pPr>
            <w:r>
              <w:rPr>
                <w:rFonts w:ascii="Arial" w:hAnsi="Arial" w:eastAsia="Arial" w:cs="Arial"/>
                <w:color w:val="222222"/>
                <w:sz w:val="20"/>
                <w:szCs w:val="20"/>
              </w:rPr>
              <w:t>MPA行政管理方向高年级学员、公务员培训（地厅级以下）、环境政策研究课程</w:t>
            </w:r>
          </w:p>
        </w:tc>
      </w:tr>
      <w:tr w14:paraId="4153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43F2A6E9">
            <w:r>
              <w:rPr>
                <w:rFonts w:ascii="Arial" w:hAnsi="Arial" w:eastAsia="Arial" w:cs="Arial"/>
                <w:b/>
                <w:bCs/>
                <w:color w:val="1A3A5C"/>
                <w:sz w:val="20"/>
                <w:szCs w:val="20"/>
              </w:rPr>
              <w:t>适用研究类型</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0723D582">
            <w:pPr>
              <w:spacing w:before="28" w:after="28"/>
            </w:pPr>
            <w:r>
              <w:rPr>
                <w:rFonts w:ascii="Arial" w:hAnsi="Arial" w:eastAsia="Arial" w:cs="Arial"/>
                <w:color w:val="222222"/>
                <w:sz w:val="20"/>
                <w:szCs w:val="20"/>
              </w:rPr>
              <w:t>官员问责行为研究、跨域集体行动研究、信息不对称条件下的政策决策研究</w:t>
            </w:r>
          </w:p>
        </w:tc>
      </w:tr>
      <w:tr w14:paraId="78A1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54B46BE2">
            <w:r>
              <w:rPr>
                <w:rFonts w:ascii="Arial" w:hAnsi="Arial" w:eastAsia="Arial" w:cs="Arial"/>
                <w:b/>
                <w:bCs/>
                <w:color w:val="1A3A5C"/>
                <w:sz w:val="20"/>
                <w:szCs w:val="20"/>
              </w:rPr>
              <w:t>场景难度定级</w:t>
            </w:r>
          </w:p>
        </w:tc>
        <w:tc>
          <w:tcPr>
            <w:tcW w:w="71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66988F11">
            <w:pPr>
              <w:spacing w:before="28" w:after="28"/>
            </w:pPr>
            <w:r>
              <w:rPr>
                <w:rFonts w:ascii="Arial" w:hAnsi="Arial" w:eastAsia="Arial" w:cs="Arial"/>
                <w:color w:val="222222"/>
                <w:sz w:val="20"/>
                <w:szCs w:val="20"/>
              </w:rPr>
              <w:t>★★★★☆（中高难度：角色间信息严重不对称，需要理解较复杂的制度约束逻辑）</w:t>
            </w:r>
          </w:p>
        </w:tc>
      </w:tr>
    </w:tbl>
    <w:p w14:paraId="5BE8B5BC">
      <w:pPr>
        <w:spacing w:before="120" w:after="120"/>
      </w:pPr>
    </w:p>
    <w:p w14:paraId="13062E8C">
      <w:pPr>
        <w:pStyle w:val="3"/>
        <w:spacing w:before="320" w:after="140"/>
      </w:pPr>
      <w:r>
        <w:rPr>
          <w:rFonts w:ascii="Arial" w:hAnsi="Arial" w:eastAsia="Arial" w:cs="Arial"/>
          <w:b/>
          <w:bCs/>
          <w:color w:val="174A7E"/>
          <w:sz w:val="25"/>
          <w:szCs w:val="25"/>
        </w:rPr>
        <w:t>10.2 场景背景文本（向玩家展示的公开版本）</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C14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469A0" w:sz="6" w:space="0"/>
              <w:left w:val="single" w:color="2469A0" w:sz="8" w:space="0"/>
              <w:bottom w:val="single" w:color="2469A0" w:sz="6" w:space="0"/>
              <w:right w:val="single" w:color="2469A0" w:sz="4" w:space="0"/>
            </w:tcBorders>
            <w:shd w:val="clear" w:color="auto" w:fill="EAF3FB"/>
            <w:tcMar>
              <w:top w:w="140" w:type="dxa"/>
              <w:left w:w="240" w:type="dxa"/>
              <w:bottom w:w="140" w:type="dxa"/>
              <w:right w:w="240" w:type="dxa"/>
            </w:tcMar>
          </w:tcPr>
          <w:p w14:paraId="3717FADE">
            <w:pPr>
              <w:spacing w:before="60" w:after="80"/>
            </w:pPr>
            <w:r>
              <w:rPr>
                <w:rFonts w:ascii="Arial" w:hAnsi="Arial" w:eastAsia="Arial" w:cs="Arial"/>
                <w:b/>
                <w:bCs/>
                <w:color w:val="1A3A5C"/>
                <w:sz w:val="22"/>
                <w:szCs w:val="22"/>
              </w:rPr>
              <w:t>【公开背景信息——所有角色可见】</w:t>
            </w:r>
          </w:p>
          <w:p w14:paraId="55728F46">
            <w:pPr>
              <w:spacing w:before="48" w:after="48"/>
            </w:pPr>
            <w:r>
              <w:rPr>
                <w:rFonts w:ascii="Arial" w:hAnsi="Arial" w:eastAsia="Arial" w:cs="Arial"/>
                <w:color w:val="222222"/>
                <w:sz w:val="21"/>
                <w:szCs w:val="21"/>
              </w:rPr>
              <w:t>【场景背景——清河记】</w:t>
            </w:r>
          </w:p>
          <w:p w14:paraId="101F564D">
            <w:pPr>
              <w:spacing w:before="48" w:after="48"/>
            </w:pPr>
          </w:p>
          <w:p w14:paraId="146300A1">
            <w:pPr>
              <w:spacing w:before="48" w:after="48"/>
            </w:pPr>
            <w:r>
              <w:rPr>
                <w:rFonts w:ascii="Arial" w:hAnsi="Arial" w:eastAsia="Arial" w:cs="Arial"/>
                <w:color w:val="222222"/>
                <w:sz w:val="21"/>
                <w:szCs w:val="21"/>
              </w:rPr>
              <w:t>地点：北方某省，清河县（上游）与水源县（下游），两县隔清河相邻，分属同一地级市下辖，但在环保执法、工业发展政策和历史遗留问题上存在长期摩擦。</w:t>
            </w:r>
          </w:p>
          <w:p w14:paraId="1CAA59FF">
            <w:pPr>
              <w:spacing w:before="48" w:after="48"/>
            </w:pPr>
          </w:p>
          <w:p w14:paraId="3C4C8F7C">
            <w:pPr>
              <w:spacing w:before="48" w:after="48"/>
            </w:pPr>
            <w:r>
              <w:rPr>
                <w:rFonts w:ascii="Arial" w:hAnsi="Arial" w:eastAsia="Arial" w:cs="Arial"/>
                <w:color w:val="222222"/>
                <w:sz w:val="21"/>
                <w:szCs w:val="21"/>
              </w:rPr>
              <w:t>时间背景：梅雨季刚刚结束，清河水位较高，水流方向由清河县流向水源县。</w:t>
            </w:r>
          </w:p>
          <w:p w14:paraId="74F43883">
            <w:pPr>
              <w:spacing w:before="48" w:after="48"/>
            </w:pPr>
          </w:p>
          <w:p w14:paraId="38582FB2">
            <w:pPr>
              <w:spacing w:before="48" w:after="48"/>
            </w:pPr>
            <w:r>
              <w:rPr>
                <w:rFonts w:ascii="Arial" w:hAnsi="Arial" w:eastAsia="Arial" w:cs="Arial"/>
                <w:color w:val="222222"/>
                <w:sz w:val="21"/>
                <w:szCs w:val="21"/>
              </w:rPr>
              <w:t>事件起点：三天前，水源县自来水公司在例行检测中发现取水口COD超标5.8倍、氨氮超标3.2倍，并检测出特征污染物苯胺类化合物，初步判断污染源在上游清河县境内。当地居民已出现饮用水异味投诉，部分社区自发购买桶装水。水源县政府以"内部通报"方式告知了清河县政府，清河县尚未作出正式回应。</w:t>
            </w:r>
          </w:p>
          <w:p w14:paraId="4CCA1514">
            <w:pPr>
              <w:spacing w:before="48" w:after="48"/>
            </w:pPr>
          </w:p>
          <w:p w14:paraId="41B60C3E">
            <w:pPr>
              <w:spacing w:before="48" w:after="48"/>
            </w:pPr>
            <w:r>
              <w:rPr>
                <w:rFonts w:ascii="Arial" w:hAnsi="Arial" w:eastAsia="Arial" w:cs="Arial"/>
                <w:color w:val="222222"/>
                <w:sz w:val="21"/>
                <w:szCs w:val="21"/>
              </w:rPr>
              <w:t>清河县情况：辖区内有"清化精工"公司（年产值占全县规模工业总产值约28%，近年来环保整改记录不佳，上一次年检结论为"整改达标"，但数据来源至今未经第三方核实）。清化精工的主要股东与清河县某位核心领导存在公认的利益关联，当地长期存在选择性执法的传言。</w:t>
            </w:r>
          </w:p>
          <w:p w14:paraId="22E9D849">
            <w:pPr>
              <w:spacing w:before="48" w:after="48"/>
            </w:pPr>
          </w:p>
          <w:p w14:paraId="55C3C4D3">
            <w:pPr>
              <w:spacing w:before="48" w:after="48"/>
            </w:pPr>
            <w:r>
              <w:rPr>
                <w:rFonts w:ascii="Arial" w:hAnsi="Arial" w:eastAsia="Arial" w:cs="Arial"/>
                <w:color w:val="222222"/>
                <w:sz w:val="21"/>
                <w:szCs w:val="21"/>
              </w:rPr>
              <w:t>上级背景：地级市环保局督察专员已知悉此事，尚未正式立案，但已在内部备忘录中注明"持续关注"。省级层面有年度水环境质量考核指标，本省去年因跨界污染事件被通报批评一次，主要领导对此高度敏感。</w:t>
            </w:r>
          </w:p>
          <w:p w14:paraId="62E1D9B5">
            <w:pPr>
              <w:spacing w:before="48" w:after="48"/>
            </w:pPr>
          </w:p>
          <w:p w14:paraId="017E93CB">
            <w:pPr>
              <w:spacing w:before="48" w:after="48"/>
            </w:pPr>
            <w:r>
              <w:rPr>
                <w:rFonts w:ascii="Arial" w:hAnsi="Arial" w:eastAsia="Arial" w:cs="Arial"/>
                <w:color w:val="222222"/>
                <w:sz w:val="21"/>
                <w:szCs w:val="21"/>
              </w:rPr>
              <w:t>现有协调机制：两县之间没有正式的跨界污染应急协调协议，历史上的协调主要依靠个人电话联系。两县环保局局长相识，但关系一般。</w:t>
            </w:r>
          </w:p>
        </w:tc>
      </w:tr>
    </w:tbl>
    <w:p w14:paraId="20B66F6A">
      <w:pPr>
        <w:spacing w:before="120" w:after="120"/>
      </w:pPr>
    </w:p>
    <w:p w14:paraId="0BAF344B">
      <w:pPr>
        <w:pStyle w:val="3"/>
        <w:spacing w:before="320" w:after="140"/>
      </w:pPr>
      <w:r>
        <w:rPr>
          <w:rFonts w:ascii="Arial" w:hAnsi="Arial" w:eastAsia="Arial" w:cs="Arial"/>
          <w:b/>
          <w:bCs/>
          <w:color w:val="174A7E"/>
          <w:sz w:val="25"/>
          <w:szCs w:val="25"/>
        </w:rPr>
        <w:t>10.3 角色体系完整设计（14角色完整版）</w:t>
      </w:r>
    </w:p>
    <w:p w14:paraId="621D56BC">
      <w:pPr>
        <w:spacing w:before="80" w:after="80"/>
        <w:jc w:val="both"/>
      </w:pPr>
      <w:r>
        <w:rPr>
          <w:rFonts w:ascii="Arial" w:hAnsi="Arial" w:eastAsia="Arial" w:cs="Arial"/>
          <w:b w:val="0"/>
          <w:bCs w:val="0"/>
          <w:color w:val="111111"/>
          <w:sz w:val="22"/>
          <w:szCs w:val="22"/>
        </w:rPr>
        <w:t>以下展示14角色完整版的角色体系。在实际使用中，教师可以根据参与人数精简角色（最少6角色精简版建议保留：水源县委书记、水源县环保局长、清河县委书记、清河县环保局长、市级督察专员NPC、媒体记者NPC），其余角色按NPC处理。所有角色均附有：制度模块归属、KPI权重建议值、独占信息内容、关键行动权限说明。</w:t>
      </w:r>
    </w:p>
    <w:p w14:paraId="5EAF941A">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1"/>
        <w:gridCol w:w="1022"/>
        <w:gridCol w:w="1431"/>
        <w:gridCol w:w="2452"/>
        <w:gridCol w:w="1737"/>
        <w:gridCol w:w="1287"/>
      </w:tblGrid>
      <w:tr w14:paraId="44C5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31"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416937E1">
            <w:pPr>
              <w:spacing w:before="36" w:after="36"/>
              <w:jc w:val="center"/>
            </w:pPr>
            <w:r>
              <w:rPr>
                <w:rFonts w:ascii="Arial" w:hAnsi="Arial" w:eastAsia="Arial" w:cs="Arial"/>
                <w:b/>
                <w:bCs/>
                <w:color w:val="FFFFFF"/>
                <w:sz w:val="19"/>
                <w:szCs w:val="19"/>
              </w:rPr>
              <w:t>角色名称</w:t>
            </w:r>
          </w:p>
        </w:tc>
        <w:tc>
          <w:tcPr>
            <w:tcW w:w="1022"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C2EC9BB">
            <w:pPr>
              <w:spacing w:before="36" w:after="36"/>
              <w:jc w:val="center"/>
            </w:pPr>
            <w:r>
              <w:rPr>
                <w:rFonts w:ascii="Arial" w:hAnsi="Arial" w:eastAsia="Arial" w:cs="Arial"/>
                <w:b/>
                <w:bCs/>
                <w:color w:val="FFFFFF"/>
                <w:sz w:val="19"/>
                <w:szCs w:val="19"/>
              </w:rPr>
              <w:t>制度模块</w:t>
            </w:r>
          </w:p>
        </w:tc>
        <w:tc>
          <w:tcPr>
            <w:tcW w:w="1431"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72D749E">
            <w:pPr>
              <w:spacing w:before="36" w:after="36"/>
              <w:jc w:val="center"/>
            </w:pPr>
            <w:r>
              <w:rPr>
                <w:rFonts w:ascii="Arial" w:hAnsi="Arial" w:eastAsia="Arial" w:cs="Arial"/>
                <w:b/>
                <w:bCs/>
                <w:color w:val="FFFFFF"/>
                <w:sz w:val="19"/>
                <w:szCs w:val="19"/>
              </w:rPr>
              <w:t>建议KPI权重分配</w:t>
            </w:r>
          </w:p>
        </w:tc>
        <w:tc>
          <w:tcPr>
            <w:tcW w:w="2452"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D858949">
            <w:pPr>
              <w:spacing w:before="36" w:after="36"/>
              <w:jc w:val="center"/>
            </w:pPr>
            <w:r>
              <w:rPr>
                <w:rFonts w:ascii="Arial" w:hAnsi="Arial" w:eastAsia="Arial" w:cs="Arial"/>
                <w:b/>
                <w:bCs/>
                <w:color w:val="FFFFFF"/>
                <w:sz w:val="19"/>
                <w:szCs w:val="19"/>
              </w:rPr>
              <w:t>关键独占信息</w:t>
            </w:r>
          </w:p>
        </w:tc>
        <w:tc>
          <w:tcPr>
            <w:tcW w:w="1737"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3DFD784A">
            <w:pPr>
              <w:spacing w:before="36" w:after="36"/>
              <w:jc w:val="center"/>
            </w:pPr>
            <w:r>
              <w:rPr>
                <w:rFonts w:ascii="Arial" w:hAnsi="Arial" w:eastAsia="Arial" w:cs="Arial"/>
                <w:b/>
                <w:bCs/>
                <w:color w:val="FFFFFF"/>
                <w:sz w:val="19"/>
                <w:szCs w:val="19"/>
              </w:rPr>
              <w:t>核心行动权限</w:t>
            </w:r>
          </w:p>
        </w:tc>
        <w:tc>
          <w:tcPr>
            <w:tcW w:w="1287"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D1276B8">
            <w:pPr>
              <w:spacing w:before="36" w:after="36"/>
              <w:jc w:val="center"/>
            </w:pPr>
            <w:r>
              <w:rPr>
                <w:rFonts w:ascii="Arial" w:hAnsi="Arial" w:eastAsia="Arial" w:cs="Arial"/>
                <w:b/>
                <w:bCs/>
                <w:color w:val="FFFFFF"/>
                <w:sz w:val="19"/>
                <w:szCs w:val="19"/>
              </w:rPr>
              <w:t>玩家/NPC建议</w:t>
            </w:r>
          </w:p>
        </w:tc>
      </w:tr>
      <w:tr w14:paraId="62BD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B4C48F0">
            <w:pPr>
              <w:spacing w:before="36" w:after="36"/>
              <w:jc w:val="left"/>
            </w:pPr>
            <w:r>
              <w:rPr>
                <w:rFonts w:ascii="Arial" w:hAnsi="Arial" w:eastAsia="Arial" w:cs="Arial"/>
                <w:color w:val="222222"/>
                <w:sz w:val="20"/>
                <w:szCs w:val="20"/>
              </w:rPr>
              <w:t>水源县委书记（主角）</w:t>
            </w:r>
          </w:p>
        </w:tc>
        <w:tc>
          <w:tcPr>
            <w:tcW w:w="102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86C0C61">
            <w:pPr>
              <w:spacing w:before="36" w:after="36"/>
              <w:jc w:val="left"/>
            </w:pPr>
            <w:r>
              <w:rPr>
                <w:rFonts w:ascii="Arial" w:hAnsi="Arial" w:eastAsia="Arial" w:cs="Arial"/>
                <w:color w:val="222222"/>
                <w:sz w:val="20"/>
                <w:szCs w:val="20"/>
              </w:rPr>
              <w:t>M1党政体制</w:t>
            </w:r>
          </w:p>
        </w:tc>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3D7099D">
            <w:pPr>
              <w:spacing w:before="36" w:after="36"/>
              <w:jc w:val="left"/>
            </w:pPr>
            <w:r>
              <w:rPr>
                <w:rFonts w:ascii="Arial" w:hAnsi="Arial" w:eastAsia="Arial" w:cs="Arial"/>
                <w:color w:val="222222"/>
                <w:sz w:val="20"/>
                <w:szCs w:val="20"/>
              </w:rPr>
              <w:t>CLR 35% PSR 25% IGA 20% ARC 10% STS 10%</w:t>
            </w:r>
          </w:p>
        </w:tc>
        <w:tc>
          <w:tcPr>
            <w:tcW w:w="245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AF41E7C">
            <w:pPr>
              <w:spacing w:before="36" w:after="36"/>
              <w:jc w:val="left"/>
            </w:pPr>
            <w:r>
              <w:rPr>
                <w:rFonts w:ascii="Arial" w:hAnsi="Arial" w:eastAsia="Arial" w:cs="Arial"/>
                <w:color w:val="222222"/>
                <w:sz w:val="20"/>
                <w:szCs w:val="20"/>
              </w:rPr>
              <w:t>省委书记秘书已非正式传话：本次事件省里高度关注，处置不力将影响主要领导仕途考量。</w:t>
            </w:r>
          </w:p>
        </w:tc>
        <w:tc>
          <w:tcPr>
            <w:tcW w:w="173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1A6B7E6">
            <w:pPr>
              <w:spacing w:before="36" w:after="36"/>
              <w:jc w:val="left"/>
            </w:pPr>
            <w:r>
              <w:rPr>
                <w:rFonts w:ascii="Arial" w:hAnsi="Arial" w:eastAsia="Arial" w:cs="Arial"/>
                <w:color w:val="222222"/>
                <w:sz w:val="20"/>
                <w:szCs w:val="20"/>
              </w:rPr>
              <w:t>政治动员类/信息上报类/跨域协调类/联署合作类</w:t>
            </w:r>
          </w:p>
        </w:tc>
        <w:tc>
          <w:tcPr>
            <w:tcW w:w="128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4FC7841">
            <w:pPr>
              <w:spacing w:before="36" w:after="36"/>
              <w:jc w:val="left"/>
            </w:pPr>
            <w:r>
              <w:rPr>
                <w:rFonts w:ascii="Arial" w:hAnsi="Arial" w:eastAsia="Arial" w:cs="Arial"/>
                <w:color w:val="222222"/>
                <w:sz w:val="20"/>
                <w:szCs w:val="20"/>
              </w:rPr>
              <w:t>首选真人玩家</w:t>
            </w:r>
          </w:p>
        </w:tc>
      </w:tr>
      <w:tr w14:paraId="190D2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D912E7F">
            <w:pPr>
              <w:spacing w:before="36" w:after="36"/>
              <w:jc w:val="left"/>
            </w:pPr>
            <w:r>
              <w:rPr>
                <w:rFonts w:ascii="Arial" w:hAnsi="Arial" w:eastAsia="Arial" w:cs="Arial"/>
                <w:color w:val="222222"/>
                <w:sz w:val="20"/>
                <w:szCs w:val="20"/>
              </w:rPr>
              <w:t>水源县环保局局长</w:t>
            </w:r>
          </w:p>
        </w:tc>
        <w:tc>
          <w:tcPr>
            <w:tcW w:w="102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507EE3F">
            <w:pPr>
              <w:spacing w:before="36" w:after="36"/>
              <w:jc w:val="left"/>
            </w:pPr>
            <w:r>
              <w:rPr>
                <w:rFonts w:ascii="Arial" w:hAnsi="Arial" w:eastAsia="Arial" w:cs="Arial"/>
                <w:color w:val="222222"/>
                <w:sz w:val="20"/>
                <w:szCs w:val="20"/>
              </w:rPr>
              <w:t>M4政策过程</w:t>
            </w:r>
          </w:p>
        </w:tc>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6917F84">
            <w:pPr>
              <w:spacing w:before="36" w:after="36"/>
              <w:jc w:val="left"/>
            </w:pPr>
            <w:r>
              <w:rPr>
                <w:rFonts w:ascii="Arial" w:hAnsi="Arial" w:eastAsia="Arial" w:cs="Arial"/>
                <w:color w:val="222222"/>
                <w:sz w:val="20"/>
                <w:szCs w:val="20"/>
              </w:rPr>
              <w:t>ARC 35% PSR 30% CLR 20% IGA 10% STS 5%</w:t>
            </w:r>
          </w:p>
        </w:tc>
        <w:tc>
          <w:tcPr>
            <w:tcW w:w="245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9C32449">
            <w:pPr>
              <w:spacing w:before="36" w:after="36"/>
              <w:jc w:val="left"/>
            </w:pPr>
            <w:r>
              <w:rPr>
                <w:rFonts w:ascii="Arial" w:hAnsi="Arial" w:eastAsia="Arial" w:cs="Arial"/>
                <w:color w:val="222222"/>
                <w:sz w:val="20"/>
                <w:szCs w:val="20"/>
              </w:rPr>
              <w:t>自来水公司原始检测报告（内部版）显示超标幅度远高于对外公布版本，属于主动压缩数据后对外发布。</w:t>
            </w:r>
          </w:p>
        </w:tc>
        <w:tc>
          <w:tcPr>
            <w:tcW w:w="173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56ED1A5">
            <w:pPr>
              <w:spacing w:before="36" w:after="36"/>
              <w:jc w:val="left"/>
            </w:pPr>
            <w:r>
              <w:rPr>
                <w:rFonts w:ascii="Arial" w:hAnsi="Arial" w:eastAsia="Arial" w:cs="Arial"/>
                <w:color w:val="222222"/>
                <w:sz w:val="20"/>
                <w:szCs w:val="20"/>
              </w:rPr>
              <w:t>行政执法类/技术支撑类/信息上报类/信息管控类</w:t>
            </w:r>
          </w:p>
        </w:tc>
        <w:tc>
          <w:tcPr>
            <w:tcW w:w="128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7AEC29D">
            <w:pPr>
              <w:spacing w:before="36" w:after="36"/>
              <w:jc w:val="left"/>
            </w:pPr>
            <w:r>
              <w:rPr>
                <w:rFonts w:ascii="Arial" w:hAnsi="Arial" w:eastAsia="Arial" w:cs="Arial"/>
                <w:color w:val="222222"/>
                <w:sz w:val="20"/>
                <w:szCs w:val="20"/>
              </w:rPr>
              <w:t>首选真人玩家</w:t>
            </w:r>
          </w:p>
        </w:tc>
      </w:tr>
      <w:tr w14:paraId="40F1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502E8B3">
            <w:pPr>
              <w:spacing w:before="36" w:after="36"/>
              <w:jc w:val="left"/>
            </w:pPr>
            <w:r>
              <w:rPr>
                <w:rFonts w:ascii="Arial" w:hAnsi="Arial" w:eastAsia="Arial" w:cs="Arial"/>
                <w:color w:val="222222"/>
                <w:sz w:val="20"/>
                <w:szCs w:val="20"/>
              </w:rPr>
              <w:t>清河县委书记</w:t>
            </w:r>
          </w:p>
        </w:tc>
        <w:tc>
          <w:tcPr>
            <w:tcW w:w="102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A459F1A">
            <w:pPr>
              <w:spacing w:before="36" w:after="36"/>
              <w:jc w:val="left"/>
            </w:pPr>
            <w:r>
              <w:rPr>
                <w:rFonts w:ascii="Arial" w:hAnsi="Arial" w:eastAsia="Arial" w:cs="Arial"/>
                <w:color w:val="222222"/>
                <w:sz w:val="20"/>
                <w:szCs w:val="20"/>
              </w:rPr>
              <w:t>M1党政体制</w:t>
            </w:r>
          </w:p>
        </w:tc>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A599A42">
            <w:pPr>
              <w:spacing w:before="36" w:after="36"/>
              <w:jc w:val="left"/>
            </w:pPr>
            <w:r>
              <w:rPr>
                <w:rFonts w:ascii="Arial" w:hAnsi="Arial" w:eastAsia="Arial" w:cs="Arial"/>
                <w:color w:val="222222"/>
                <w:sz w:val="20"/>
                <w:szCs w:val="20"/>
              </w:rPr>
              <w:t>CLR 30% PSR 25% IGA 20% ARC 15% STS 10%</w:t>
            </w:r>
          </w:p>
        </w:tc>
        <w:tc>
          <w:tcPr>
            <w:tcW w:w="245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D715F09">
            <w:pPr>
              <w:spacing w:before="36" w:after="36"/>
              <w:jc w:val="left"/>
            </w:pPr>
            <w:r>
              <w:rPr>
                <w:rFonts w:ascii="Arial" w:hAnsi="Arial" w:eastAsia="Arial" w:cs="Arial"/>
                <w:color w:val="222222"/>
                <w:sz w:val="20"/>
                <w:szCs w:val="20"/>
              </w:rPr>
              <w:t>清化精工近三年的内部环保自查报告（从未对外公开），其中两次均有超标记录，当时以"技术误差"为由未上报。</w:t>
            </w:r>
          </w:p>
        </w:tc>
        <w:tc>
          <w:tcPr>
            <w:tcW w:w="173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D0D7FD6">
            <w:pPr>
              <w:spacing w:before="36" w:after="36"/>
              <w:jc w:val="left"/>
            </w:pPr>
            <w:r>
              <w:rPr>
                <w:rFonts w:ascii="Arial" w:hAnsi="Arial" w:eastAsia="Arial" w:cs="Arial"/>
                <w:color w:val="222222"/>
                <w:sz w:val="20"/>
                <w:szCs w:val="20"/>
              </w:rPr>
              <w:t>信息管控类/政治动员类/跨域协调类/延迟等待类</w:t>
            </w:r>
          </w:p>
        </w:tc>
        <w:tc>
          <w:tcPr>
            <w:tcW w:w="128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0194019">
            <w:pPr>
              <w:spacing w:before="36" w:after="36"/>
              <w:jc w:val="left"/>
            </w:pPr>
            <w:r>
              <w:rPr>
                <w:rFonts w:ascii="Arial" w:hAnsi="Arial" w:eastAsia="Arial" w:cs="Arial"/>
                <w:color w:val="222222"/>
                <w:sz w:val="20"/>
                <w:szCs w:val="20"/>
              </w:rPr>
              <w:t>首选真人玩家</w:t>
            </w:r>
          </w:p>
        </w:tc>
      </w:tr>
      <w:tr w14:paraId="3BA8C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D211E8C">
            <w:pPr>
              <w:spacing w:before="36" w:after="36"/>
              <w:jc w:val="left"/>
            </w:pPr>
            <w:r>
              <w:rPr>
                <w:rFonts w:ascii="Arial" w:hAnsi="Arial" w:eastAsia="Arial" w:cs="Arial"/>
                <w:color w:val="222222"/>
                <w:sz w:val="20"/>
                <w:szCs w:val="20"/>
              </w:rPr>
              <w:t>清河县环保局局长</w:t>
            </w:r>
          </w:p>
        </w:tc>
        <w:tc>
          <w:tcPr>
            <w:tcW w:w="102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659AA70">
            <w:pPr>
              <w:spacing w:before="36" w:after="36"/>
              <w:jc w:val="left"/>
            </w:pPr>
            <w:r>
              <w:rPr>
                <w:rFonts w:ascii="Arial" w:hAnsi="Arial" w:eastAsia="Arial" w:cs="Arial"/>
                <w:color w:val="222222"/>
                <w:sz w:val="20"/>
                <w:szCs w:val="20"/>
              </w:rPr>
              <w:t>M4政策过程</w:t>
            </w:r>
          </w:p>
        </w:tc>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14A864E">
            <w:pPr>
              <w:spacing w:before="36" w:after="36"/>
              <w:jc w:val="left"/>
            </w:pPr>
            <w:r>
              <w:rPr>
                <w:rFonts w:ascii="Arial" w:hAnsi="Arial" w:eastAsia="Arial" w:cs="Arial"/>
                <w:color w:val="222222"/>
                <w:sz w:val="20"/>
                <w:szCs w:val="20"/>
              </w:rPr>
              <w:t>ARC 30% PSR 30% CLR 20% IGA 15% STS 5%</w:t>
            </w:r>
          </w:p>
        </w:tc>
        <w:tc>
          <w:tcPr>
            <w:tcW w:w="245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AB16213">
            <w:pPr>
              <w:spacing w:before="36" w:after="36"/>
              <w:jc w:val="left"/>
            </w:pPr>
            <w:r>
              <w:rPr>
                <w:rFonts w:ascii="Arial" w:hAnsi="Arial" w:eastAsia="Arial" w:cs="Arial"/>
                <w:color w:val="222222"/>
                <w:sz w:val="20"/>
                <w:szCs w:val="20"/>
              </w:rPr>
              <w:t>清化精工上次年检实为"整改未达标"，但局长收到压力后将结论修改为"整改达标"，知情者包括一名已离职的副局长。</w:t>
            </w:r>
          </w:p>
        </w:tc>
        <w:tc>
          <w:tcPr>
            <w:tcW w:w="173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B8BF4B7">
            <w:pPr>
              <w:spacing w:before="36" w:after="36"/>
              <w:jc w:val="left"/>
            </w:pPr>
            <w:r>
              <w:rPr>
                <w:rFonts w:ascii="Arial" w:hAnsi="Arial" w:eastAsia="Arial" w:cs="Arial"/>
                <w:color w:val="222222"/>
                <w:sz w:val="20"/>
                <w:szCs w:val="20"/>
              </w:rPr>
              <w:t>行政执法类/技术支撑类/信息管控类/问责追责类</w:t>
            </w:r>
          </w:p>
        </w:tc>
        <w:tc>
          <w:tcPr>
            <w:tcW w:w="128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84A61D3">
            <w:pPr>
              <w:spacing w:before="36" w:after="36"/>
              <w:jc w:val="left"/>
            </w:pPr>
            <w:r>
              <w:rPr>
                <w:rFonts w:ascii="Arial" w:hAnsi="Arial" w:eastAsia="Arial" w:cs="Arial"/>
                <w:color w:val="222222"/>
                <w:sz w:val="20"/>
                <w:szCs w:val="20"/>
              </w:rPr>
              <w:t>首选真人玩家</w:t>
            </w:r>
          </w:p>
        </w:tc>
      </w:tr>
      <w:tr w14:paraId="49A78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47D33DF">
            <w:pPr>
              <w:spacing w:before="36" w:after="36"/>
              <w:jc w:val="left"/>
            </w:pPr>
            <w:r>
              <w:rPr>
                <w:rFonts w:ascii="Arial" w:hAnsi="Arial" w:eastAsia="Arial" w:cs="Arial"/>
                <w:color w:val="222222"/>
                <w:sz w:val="20"/>
                <w:szCs w:val="20"/>
              </w:rPr>
              <w:t>地级市环保局督察专员</w:t>
            </w:r>
          </w:p>
        </w:tc>
        <w:tc>
          <w:tcPr>
            <w:tcW w:w="102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BEB8E33">
            <w:pPr>
              <w:spacing w:before="36" w:after="36"/>
              <w:jc w:val="left"/>
            </w:pPr>
            <w:r>
              <w:rPr>
                <w:rFonts w:ascii="Arial" w:hAnsi="Arial" w:eastAsia="Arial" w:cs="Arial"/>
                <w:color w:val="222222"/>
                <w:sz w:val="20"/>
                <w:szCs w:val="20"/>
              </w:rPr>
              <w:t>M5问责督察</w:t>
            </w:r>
          </w:p>
        </w:tc>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88D0A88">
            <w:pPr>
              <w:spacing w:before="36" w:after="36"/>
              <w:jc w:val="left"/>
            </w:pPr>
            <w:r>
              <w:rPr>
                <w:rFonts w:ascii="Arial" w:hAnsi="Arial" w:eastAsia="Arial" w:cs="Arial"/>
                <w:color w:val="222222"/>
                <w:sz w:val="20"/>
                <w:szCs w:val="20"/>
              </w:rPr>
              <w:t>ARC 40% CLR 25% PSR 20% IGA 15% STS 0%</w:t>
            </w:r>
          </w:p>
        </w:tc>
        <w:tc>
          <w:tcPr>
            <w:tcW w:w="245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14DF2D2">
            <w:pPr>
              <w:spacing w:before="36" w:after="36"/>
              <w:jc w:val="left"/>
            </w:pPr>
            <w:r>
              <w:rPr>
                <w:rFonts w:ascii="Arial" w:hAnsi="Arial" w:eastAsia="Arial" w:cs="Arial"/>
                <w:color w:val="222222"/>
                <w:sz w:val="20"/>
                <w:szCs w:val="20"/>
              </w:rPr>
              <w:t>督察倒计时：若5轮内无实质进展将正式启动督察立案（其他角色不知确切时限，只知道"上级在关注"）。</w:t>
            </w:r>
          </w:p>
        </w:tc>
        <w:tc>
          <w:tcPr>
            <w:tcW w:w="173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0CBA7D6">
            <w:pPr>
              <w:spacing w:before="36" w:after="36"/>
              <w:jc w:val="left"/>
            </w:pPr>
            <w:r>
              <w:rPr>
                <w:rFonts w:ascii="Arial" w:hAnsi="Arial" w:eastAsia="Arial" w:cs="Arial"/>
                <w:color w:val="222222"/>
                <w:sz w:val="20"/>
                <w:szCs w:val="20"/>
              </w:rPr>
              <w:t>问责追责类/信息上报类/行政执法类</w:t>
            </w:r>
          </w:p>
        </w:tc>
        <w:tc>
          <w:tcPr>
            <w:tcW w:w="128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8C2472D">
            <w:pPr>
              <w:spacing w:before="36" w:after="36"/>
              <w:jc w:val="left"/>
            </w:pPr>
            <w:r>
              <w:rPr>
                <w:rFonts w:ascii="Arial" w:hAnsi="Arial" w:eastAsia="Arial" w:cs="Arial"/>
                <w:color w:val="222222"/>
                <w:sz w:val="20"/>
                <w:szCs w:val="20"/>
              </w:rPr>
              <w:t>建议AI NPC（关键驱动力角色）</w:t>
            </w:r>
          </w:p>
        </w:tc>
      </w:tr>
      <w:tr w14:paraId="7DB07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2D3CBBC">
            <w:pPr>
              <w:spacing w:before="36" w:after="36"/>
              <w:jc w:val="left"/>
            </w:pPr>
            <w:r>
              <w:rPr>
                <w:rFonts w:ascii="Arial" w:hAnsi="Arial" w:eastAsia="Arial" w:cs="Arial"/>
                <w:color w:val="222222"/>
                <w:sz w:val="20"/>
                <w:szCs w:val="20"/>
              </w:rPr>
              <w:t>市级宣传部长</w:t>
            </w:r>
          </w:p>
        </w:tc>
        <w:tc>
          <w:tcPr>
            <w:tcW w:w="102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FE6F1CF">
            <w:pPr>
              <w:spacing w:before="36" w:after="36"/>
              <w:jc w:val="left"/>
            </w:pPr>
            <w:r>
              <w:rPr>
                <w:rFonts w:ascii="Arial" w:hAnsi="Arial" w:eastAsia="Arial" w:cs="Arial"/>
                <w:color w:val="222222"/>
                <w:sz w:val="20"/>
                <w:szCs w:val="20"/>
              </w:rPr>
              <w:t>M1党政体制</w:t>
            </w:r>
          </w:p>
        </w:tc>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8D07082">
            <w:pPr>
              <w:spacing w:before="36" w:after="36"/>
              <w:jc w:val="left"/>
            </w:pPr>
            <w:r>
              <w:rPr>
                <w:rFonts w:ascii="Arial" w:hAnsi="Arial" w:eastAsia="Arial" w:cs="Arial"/>
                <w:color w:val="222222"/>
                <w:sz w:val="20"/>
                <w:szCs w:val="20"/>
              </w:rPr>
              <w:t>STS 35% CLR 30% ARC 15% PSR 15% IGA 5%</w:t>
            </w:r>
          </w:p>
        </w:tc>
        <w:tc>
          <w:tcPr>
            <w:tcW w:w="245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DC27891">
            <w:pPr>
              <w:spacing w:before="36" w:after="36"/>
              <w:jc w:val="left"/>
            </w:pPr>
            <w:r>
              <w:rPr>
                <w:rFonts w:ascii="Arial" w:hAnsi="Arial" w:eastAsia="Arial" w:cs="Arial"/>
                <w:color w:val="222222"/>
                <w:sz w:val="20"/>
                <w:szCs w:val="20"/>
              </w:rPr>
              <w:t>本地主流媒体已有记者获得消息准备深度报道，编辑正在等待宣传口的明确态度。</w:t>
            </w:r>
          </w:p>
        </w:tc>
        <w:tc>
          <w:tcPr>
            <w:tcW w:w="173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4B98DA0">
            <w:pPr>
              <w:spacing w:before="36" w:after="36"/>
              <w:jc w:val="left"/>
            </w:pPr>
            <w:r>
              <w:rPr>
                <w:rFonts w:ascii="Arial" w:hAnsi="Arial" w:eastAsia="Arial" w:cs="Arial"/>
                <w:color w:val="222222"/>
                <w:sz w:val="20"/>
                <w:szCs w:val="20"/>
              </w:rPr>
              <w:t>信息管控类/社会沟通类</w:t>
            </w:r>
          </w:p>
        </w:tc>
        <w:tc>
          <w:tcPr>
            <w:tcW w:w="128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F02F981">
            <w:pPr>
              <w:spacing w:before="36" w:after="36"/>
              <w:jc w:val="left"/>
            </w:pPr>
            <w:r>
              <w:rPr>
                <w:rFonts w:ascii="Arial" w:hAnsi="Arial" w:eastAsia="Arial" w:cs="Arial"/>
                <w:color w:val="222222"/>
                <w:sz w:val="20"/>
                <w:szCs w:val="20"/>
              </w:rPr>
              <w:t>可真人/可NPC</w:t>
            </w:r>
          </w:p>
        </w:tc>
      </w:tr>
      <w:tr w14:paraId="04E8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04861AB">
            <w:pPr>
              <w:spacing w:before="36" w:after="36"/>
              <w:jc w:val="left"/>
            </w:pPr>
            <w:r>
              <w:rPr>
                <w:rFonts w:ascii="Arial" w:hAnsi="Arial" w:eastAsia="Arial" w:cs="Arial"/>
                <w:color w:val="222222"/>
                <w:sz w:val="20"/>
                <w:szCs w:val="20"/>
              </w:rPr>
              <w:t>本地环保NGO代表（水源绿源）</w:t>
            </w:r>
          </w:p>
        </w:tc>
        <w:tc>
          <w:tcPr>
            <w:tcW w:w="102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8F8281D">
            <w:pPr>
              <w:spacing w:before="36" w:after="36"/>
              <w:jc w:val="left"/>
            </w:pPr>
            <w:r>
              <w:rPr>
                <w:rFonts w:ascii="Arial" w:hAnsi="Arial" w:eastAsia="Arial" w:cs="Arial"/>
                <w:color w:val="222222"/>
                <w:sz w:val="20"/>
                <w:szCs w:val="20"/>
              </w:rPr>
              <w:t>M6政社关系</w:t>
            </w:r>
          </w:p>
        </w:tc>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FFBD7F4">
            <w:pPr>
              <w:spacing w:before="36" w:after="36"/>
              <w:jc w:val="left"/>
            </w:pPr>
            <w:r>
              <w:rPr>
                <w:rFonts w:ascii="Arial" w:hAnsi="Arial" w:eastAsia="Arial" w:cs="Arial"/>
                <w:color w:val="222222"/>
                <w:sz w:val="20"/>
                <w:szCs w:val="20"/>
              </w:rPr>
              <w:t>STS 40% ARC 30% IGA 20% PSR 10% CLR 0%</w:t>
            </w:r>
          </w:p>
        </w:tc>
        <w:tc>
          <w:tcPr>
            <w:tcW w:w="245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439A48C">
            <w:pPr>
              <w:spacing w:before="36" w:after="36"/>
              <w:jc w:val="left"/>
            </w:pPr>
            <w:r>
              <w:rPr>
                <w:rFonts w:ascii="Arial" w:hAnsi="Arial" w:eastAsia="Arial" w:cs="Arial"/>
                <w:color w:val="222222"/>
                <w:sz w:val="20"/>
                <w:szCs w:val="20"/>
              </w:rPr>
              <w:t>已收集到12名受影响村民的水样检测结果（自费委托第三方检测机构），结论与自来水公司压缩版数据吻合但幅度更大。</w:t>
            </w:r>
          </w:p>
        </w:tc>
        <w:tc>
          <w:tcPr>
            <w:tcW w:w="173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5131866">
            <w:pPr>
              <w:spacing w:before="36" w:after="36"/>
              <w:jc w:val="left"/>
            </w:pPr>
            <w:r>
              <w:rPr>
                <w:rFonts w:ascii="Arial" w:hAnsi="Arial" w:eastAsia="Arial" w:cs="Arial"/>
                <w:color w:val="222222"/>
                <w:sz w:val="20"/>
                <w:szCs w:val="20"/>
              </w:rPr>
              <w:t>社会沟通类/技术支撑类/联署合作类</w:t>
            </w:r>
          </w:p>
        </w:tc>
        <w:tc>
          <w:tcPr>
            <w:tcW w:w="128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44FD0DA">
            <w:pPr>
              <w:spacing w:before="36" w:after="36"/>
              <w:jc w:val="left"/>
            </w:pPr>
            <w:r>
              <w:rPr>
                <w:rFonts w:ascii="Arial" w:hAnsi="Arial" w:eastAsia="Arial" w:cs="Arial"/>
                <w:color w:val="222222"/>
                <w:sz w:val="20"/>
                <w:szCs w:val="20"/>
              </w:rPr>
              <w:t>推荐真人玩家，体验边缘行动者视角</w:t>
            </w:r>
          </w:p>
        </w:tc>
      </w:tr>
      <w:tr w14:paraId="733C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EC89CD7">
            <w:pPr>
              <w:spacing w:before="36" w:after="36"/>
              <w:jc w:val="left"/>
            </w:pPr>
            <w:r>
              <w:rPr>
                <w:rFonts w:ascii="Arial" w:hAnsi="Arial" w:eastAsia="Arial" w:cs="Arial"/>
                <w:color w:val="222222"/>
                <w:sz w:val="20"/>
                <w:szCs w:val="20"/>
              </w:rPr>
              <w:t>市场化媒体记者</w:t>
            </w:r>
          </w:p>
        </w:tc>
        <w:tc>
          <w:tcPr>
            <w:tcW w:w="102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D6E49DE">
            <w:pPr>
              <w:spacing w:before="36" w:after="36"/>
              <w:jc w:val="left"/>
            </w:pPr>
            <w:r>
              <w:rPr>
                <w:rFonts w:ascii="Arial" w:hAnsi="Arial" w:eastAsia="Arial" w:cs="Arial"/>
                <w:color w:val="222222"/>
                <w:sz w:val="20"/>
                <w:szCs w:val="20"/>
              </w:rPr>
              <w:t>M6政社关系</w:t>
            </w:r>
          </w:p>
        </w:tc>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56EF3C3">
            <w:pPr>
              <w:spacing w:before="36" w:after="36"/>
              <w:jc w:val="left"/>
            </w:pPr>
            <w:r>
              <w:rPr>
                <w:rFonts w:ascii="Arial" w:hAnsi="Arial" w:eastAsia="Arial" w:cs="Arial"/>
                <w:color w:val="222222"/>
                <w:sz w:val="20"/>
                <w:szCs w:val="20"/>
              </w:rPr>
              <w:t>STS 50% ARC 25% IGA 15% CLR 10% PSR 0%</w:t>
            </w:r>
          </w:p>
        </w:tc>
        <w:tc>
          <w:tcPr>
            <w:tcW w:w="245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E202064">
            <w:pPr>
              <w:spacing w:before="36" w:after="36"/>
              <w:jc w:val="left"/>
            </w:pPr>
            <w:r>
              <w:rPr>
                <w:rFonts w:ascii="Arial" w:hAnsi="Arial" w:eastAsia="Arial" w:cs="Arial"/>
                <w:color w:val="222222"/>
                <w:sz w:val="20"/>
                <w:szCs w:val="20"/>
              </w:rPr>
              <w:t>线人提供了清化精工一名离职员工的证词音频，内容涉及故意篡改排放数据的具体操作细节。</w:t>
            </w:r>
          </w:p>
        </w:tc>
        <w:tc>
          <w:tcPr>
            <w:tcW w:w="173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0CBBA10">
            <w:pPr>
              <w:spacing w:before="36" w:after="36"/>
              <w:jc w:val="left"/>
            </w:pPr>
            <w:r>
              <w:rPr>
                <w:rFonts w:ascii="Arial" w:hAnsi="Arial" w:eastAsia="Arial" w:cs="Arial"/>
                <w:color w:val="222222"/>
                <w:sz w:val="20"/>
                <w:szCs w:val="20"/>
              </w:rPr>
              <w:t>社会沟通类/信息上报类（向公众）</w:t>
            </w:r>
          </w:p>
        </w:tc>
        <w:tc>
          <w:tcPr>
            <w:tcW w:w="128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F01611A">
            <w:pPr>
              <w:spacing w:before="36" w:after="36"/>
              <w:jc w:val="left"/>
            </w:pPr>
            <w:r>
              <w:rPr>
                <w:rFonts w:ascii="Arial" w:hAnsi="Arial" w:eastAsia="Arial" w:cs="Arial"/>
                <w:color w:val="222222"/>
                <w:sz w:val="20"/>
                <w:szCs w:val="20"/>
              </w:rPr>
              <w:t>建议AI NPC（舆论压力驱动源）</w:t>
            </w:r>
          </w:p>
        </w:tc>
      </w:tr>
      <w:tr w14:paraId="4159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66C7D93">
            <w:pPr>
              <w:spacing w:before="36" w:after="36"/>
              <w:jc w:val="left"/>
            </w:pPr>
            <w:r>
              <w:rPr>
                <w:rFonts w:ascii="Arial" w:hAnsi="Arial" w:eastAsia="Arial" w:cs="Arial"/>
                <w:color w:val="222222"/>
                <w:sz w:val="20"/>
                <w:szCs w:val="20"/>
              </w:rPr>
              <w:t>清化精工法人代表</w:t>
            </w:r>
          </w:p>
        </w:tc>
        <w:tc>
          <w:tcPr>
            <w:tcW w:w="102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D56EAEC">
            <w:pPr>
              <w:spacing w:before="36" w:after="36"/>
              <w:jc w:val="left"/>
            </w:pPr>
            <w:r>
              <w:rPr>
                <w:rFonts w:ascii="Arial" w:hAnsi="Arial" w:eastAsia="Arial" w:cs="Arial"/>
                <w:color w:val="222222"/>
                <w:sz w:val="20"/>
                <w:szCs w:val="20"/>
              </w:rPr>
              <w:t>非行政角色（企业）</w:t>
            </w:r>
          </w:p>
        </w:tc>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2A49F50">
            <w:pPr>
              <w:spacing w:before="36" w:after="36"/>
              <w:jc w:val="left"/>
            </w:pPr>
            <w:r>
              <w:rPr>
                <w:rFonts w:ascii="Arial" w:hAnsi="Arial" w:eastAsia="Arial" w:cs="Arial"/>
                <w:color w:val="222222"/>
                <w:sz w:val="20"/>
                <w:szCs w:val="20"/>
              </w:rPr>
              <w:t>不参与KPI计分，以企业利益最大化为行为目标</w:t>
            </w:r>
          </w:p>
        </w:tc>
        <w:tc>
          <w:tcPr>
            <w:tcW w:w="245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28E19DE">
            <w:pPr>
              <w:spacing w:before="36" w:after="36"/>
              <w:jc w:val="left"/>
            </w:pPr>
            <w:r>
              <w:rPr>
                <w:rFonts w:ascii="Arial" w:hAnsi="Arial" w:eastAsia="Arial" w:cs="Arial"/>
                <w:color w:val="222222"/>
                <w:sz w:val="20"/>
                <w:szCs w:val="20"/>
              </w:rPr>
              <w:t>排污峰值时间记录（企业内部台账），峰值时间与水源县检测到污染物浓度上升时间完全吻合。</w:t>
            </w:r>
          </w:p>
        </w:tc>
        <w:tc>
          <w:tcPr>
            <w:tcW w:w="173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DC3E21E">
            <w:pPr>
              <w:spacing w:before="36" w:after="36"/>
              <w:jc w:val="left"/>
            </w:pPr>
            <w:r>
              <w:rPr>
                <w:rFonts w:ascii="Arial" w:hAnsi="Arial" w:eastAsia="Arial" w:cs="Arial"/>
                <w:color w:val="222222"/>
                <w:sz w:val="20"/>
                <w:szCs w:val="20"/>
              </w:rPr>
              <w:t>信息管控类（企业）/延迟等待类/信息上报类（向政府）</w:t>
            </w:r>
          </w:p>
        </w:tc>
        <w:tc>
          <w:tcPr>
            <w:tcW w:w="128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7E83B76">
            <w:pPr>
              <w:spacing w:before="36" w:after="36"/>
              <w:jc w:val="left"/>
            </w:pPr>
            <w:r>
              <w:rPr>
                <w:rFonts w:ascii="Arial" w:hAnsi="Arial" w:eastAsia="Arial" w:cs="Arial"/>
                <w:color w:val="222222"/>
                <w:sz w:val="20"/>
                <w:szCs w:val="20"/>
              </w:rPr>
              <w:t>建议AI NPC</w:t>
            </w:r>
          </w:p>
        </w:tc>
      </w:tr>
      <w:tr w14:paraId="28AF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C45BAAE">
            <w:pPr>
              <w:spacing w:before="36" w:after="36"/>
              <w:jc w:val="left"/>
            </w:pPr>
            <w:r>
              <w:rPr>
                <w:rFonts w:ascii="Arial" w:hAnsi="Arial" w:eastAsia="Arial" w:cs="Arial"/>
                <w:color w:val="222222"/>
                <w:sz w:val="20"/>
                <w:szCs w:val="20"/>
              </w:rPr>
              <w:t>水源县信访局干事</w:t>
            </w:r>
          </w:p>
        </w:tc>
        <w:tc>
          <w:tcPr>
            <w:tcW w:w="102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BC86D0F">
            <w:pPr>
              <w:spacing w:before="36" w:after="36"/>
              <w:jc w:val="left"/>
            </w:pPr>
            <w:r>
              <w:rPr>
                <w:rFonts w:ascii="Arial" w:hAnsi="Arial" w:eastAsia="Arial" w:cs="Arial"/>
                <w:color w:val="222222"/>
                <w:sz w:val="20"/>
                <w:szCs w:val="20"/>
              </w:rPr>
              <w:t>M1党政体制</w:t>
            </w:r>
          </w:p>
        </w:tc>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EBD6E17">
            <w:pPr>
              <w:spacing w:before="36" w:after="36"/>
              <w:jc w:val="left"/>
            </w:pPr>
            <w:r>
              <w:rPr>
                <w:rFonts w:ascii="Arial" w:hAnsi="Arial" w:eastAsia="Arial" w:cs="Arial"/>
                <w:color w:val="222222"/>
                <w:sz w:val="20"/>
                <w:szCs w:val="20"/>
              </w:rPr>
              <w:t>STS 35% PSR 25% CLR 25% ARC 15% IGA 0%</w:t>
            </w:r>
          </w:p>
        </w:tc>
        <w:tc>
          <w:tcPr>
            <w:tcW w:w="245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A19B933">
            <w:pPr>
              <w:spacing w:before="36" w:after="36"/>
              <w:jc w:val="left"/>
            </w:pPr>
            <w:r>
              <w:rPr>
                <w:rFonts w:ascii="Arial" w:hAnsi="Arial" w:eastAsia="Arial" w:cs="Arial"/>
                <w:color w:val="222222"/>
                <w:sz w:val="20"/>
                <w:szCs w:val="20"/>
              </w:rPr>
              <w:t>已登记受影响村民投诉412件，其中37件已通过省级信访平台上报，县委书记尚不知道"省级平台"这条路已被村民走通。</w:t>
            </w:r>
          </w:p>
        </w:tc>
        <w:tc>
          <w:tcPr>
            <w:tcW w:w="173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64E29A3">
            <w:pPr>
              <w:spacing w:before="36" w:after="36"/>
              <w:jc w:val="left"/>
            </w:pPr>
            <w:r>
              <w:rPr>
                <w:rFonts w:ascii="Arial" w:hAnsi="Arial" w:eastAsia="Arial" w:cs="Arial"/>
                <w:color w:val="222222"/>
                <w:sz w:val="20"/>
                <w:szCs w:val="20"/>
              </w:rPr>
              <w:t>社会沟通类/信息上报类</w:t>
            </w:r>
          </w:p>
        </w:tc>
        <w:tc>
          <w:tcPr>
            <w:tcW w:w="128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5F8E5F8">
            <w:pPr>
              <w:spacing w:before="36" w:after="36"/>
              <w:jc w:val="left"/>
            </w:pPr>
            <w:r>
              <w:rPr>
                <w:rFonts w:ascii="Arial" w:hAnsi="Arial" w:eastAsia="Arial" w:cs="Arial"/>
                <w:color w:val="222222"/>
                <w:sz w:val="20"/>
                <w:szCs w:val="20"/>
              </w:rPr>
              <w:t>可真人/可NPC</w:t>
            </w:r>
          </w:p>
        </w:tc>
      </w:tr>
      <w:tr w14:paraId="05E1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9014782">
            <w:pPr>
              <w:spacing w:before="36" w:after="36"/>
              <w:jc w:val="left"/>
            </w:pPr>
            <w:r>
              <w:rPr>
                <w:rFonts w:ascii="Arial" w:hAnsi="Arial" w:eastAsia="Arial" w:cs="Arial"/>
                <w:color w:val="222222"/>
                <w:sz w:val="20"/>
                <w:szCs w:val="20"/>
              </w:rPr>
              <w:t>水源县分管副县长</w:t>
            </w:r>
          </w:p>
        </w:tc>
        <w:tc>
          <w:tcPr>
            <w:tcW w:w="102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1A08972">
            <w:pPr>
              <w:spacing w:before="36" w:after="36"/>
              <w:jc w:val="left"/>
            </w:pPr>
            <w:r>
              <w:rPr>
                <w:rFonts w:ascii="Arial" w:hAnsi="Arial" w:eastAsia="Arial" w:cs="Arial"/>
                <w:color w:val="222222"/>
                <w:sz w:val="20"/>
                <w:szCs w:val="20"/>
              </w:rPr>
              <w:t>M1党政体制</w:t>
            </w:r>
          </w:p>
        </w:tc>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A65492F">
            <w:pPr>
              <w:spacing w:before="36" w:after="36"/>
              <w:jc w:val="left"/>
            </w:pPr>
            <w:r>
              <w:rPr>
                <w:rFonts w:ascii="Arial" w:hAnsi="Arial" w:eastAsia="Arial" w:cs="Arial"/>
                <w:color w:val="222222"/>
                <w:sz w:val="20"/>
                <w:szCs w:val="20"/>
              </w:rPr>
              <w:t>PSR 30% CLR 25% ARC 25% IGA 15% STS 5%</w:t>
            </w:r>
          </w:p>
        </w:tc>
        <w:tc>
          <w:tcPr>
            <w:tcW w:w="245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2FF43E4">
            <w:pPr>
              <w:spacing w:before="36" w:after="36"/>
              <w:jc w:val="left"/>
            </w:pPr>
            <w:r>
              <w:rPr>
                <w:rFonts w:ascii="Arial" w:hAnsi="Arial" w:eastAsia="Arial" w:cs="Arial"/>
                <w:color w:val="222222"/>
                <w:sz w:val="20"/>
                <w:szCs w:val="20"/>
              </w:rPr>
              <w:t>地级市分管副市长已私下表示希望"内部协调解决，不要惊动媒体和省厅"，这与正式政策要求存在明显张力。</w:t>
            </w:r>
          </w:p>
        </w:tc>
        <w:tc>
          <w:tcPr>
            <w:tcW w:w="173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F15D749">
            <w:pPr>
              <w:spacing w:before="36" w:after="36"/>
              <w:jc w:val="left"/>
            </w:pPr>
            <w:r>
              <w:rPr>
                <w:rFonts w:ascii="Arial" w:hAnsi="Arial" w:eastAsia="Arial" w:cs="Arial"/>
                <w:color w:val="222222"/>
                <w:sz w:val="20"/>
                <w:szCs w:val="20"/>
              </w:rPr>
              <w:t>资源调配类/政治动员类/跨域协调类</w:t>
            </w:r>
          </w:p>
        </w:tc>
        <w:tc>
          <w:tcPr>
            <w:tcW w:w="128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2273C3B">
            <w:pPr>
              <w:spacing w:before="36" w:after="36"/>
              <w:jc w:val="left"/>
            </w:pPr>
            <w:r>
              <w:rPr>
                <w:rFonts w:ascii="Arial" w:hAnsi="Arial" w:eastAsia="Arial" w:cs="Arial"/>
                <w:color w:val="222222"/>
                <w:sz w:val="20"/>
                <w:szCs w:val="20"/>
              </w:rPr>
              <w:t>可真人/可NPC</w:t>
            </w:r>
          </w:p>
        </w:tc>
      </w:tr>
      <w:tr w14:paraId="6B0C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CF7DF3E">
            <w:pPr>
              <w:spacing w:before="36" w:after="36"/>
              <w:jc w:val="left"/>
            </w:pPr>
            <w:r>
              <w:rPr>
                <w:rFonts w:ascii="Arial" w:hAnsi="Arial" w:eastAsia="Arial" w:cs="Arial"/>
                <w:color w:val="222222"/>
                <w:sz w:val="20"/>
                <w:szCs w:val="20"/>
              </w:rPr>
              <w:t>清河县分管副县长</w:t>
            </w:r>
          </w:p>
        </w:tc>
        <w:tc>
          <w:tcPr>
            <w:tcW w:w="102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6750494">
            <w:pPr>
              <w:spacing w:before="36" w:after="36"/>
              <w:jc w:val="left"/>
            </w:pPr>
            <w:r>
              <w:rPr>
                <w:rFonts w:ascii="Arial" w:hAnsi="Arial" w:eastAsia="Arial" w:cs="Arial"/>
                <w:color w:val="222222"/>
                <w:sz w:val="20"/>
                <w:szCs w:val="20"/>
              </w:rPr>
              <w:t>M1党政体制</w:t>
            </w:r>
          </w:p>
        </w:tc>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FAD4458">
            <w:pPr>
              <w:spacing w:before="36" w:after="36"/>
              <w:jc w:val="left"/>
            </w:pPr>
            <w:r>
              <w:rPr>
                <w:rFonts w:ascii="Arial" w:hAnsi="Arial" w:eastAsia="Arial" w:cs="Arial"/>
                <w:color w:val="222222"/>
                <w:sz w:val="20"/>
                <w:szCs w:val="20"/>
              </w:rPr>
              <w:t>PSR 25% CLR 30% ARC 25% IGA 15% STS 5%</w:t>
            </w:r>
          </w:p>
        </w:tc>
        <w:tc>
          <w:tcPr>
            <w:tcW w:w="245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FA0EEC1">
            <w:pPr>
              <w:spacing w:before="36" w:after="36"/>
              <w:jc w:val="left"/>
            </w:pPr>
            <w:r>
              <w:rPr>
                <w:rFonts w:ascii="Arial" w:hAnsi="Arial" w:eastAsia="Arial" w:cs="Arial"/>
                <w:color w:val="222222"/>
                <w:sz w:val="20"/>
                <w:szCs w:val="20"/>
              </w:rPr>
              <w:t>清化精工目前正在申请一笔省级重点技改资金，若被启动环境执法程序，这笔资金将自动暂停审批。</w:t>
            </w:r>
          </w:p>
        </w:tc>
        <w:tc>
          <w:tcPr>
            <w:tcW w:w="173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7484426">
            <w:pPr>
              <w:spacing w:before="36" w:after="36"/>
              <w:jc w:val="left"/>
            </w:pPr>
            <w:r>
              <w:rPr>
                <w:rFonts w:ascii="Arial" w:hAnsi="Arial" w:eastAsia="Arial" w:cs="Arial"/>
                <w:color w:val="222222"/>
                <w:sz w:val="20"/>
                <w:szCs w:val="20"/>
              </w:rPr>
              <w:t>资源调配类/信息管控类/延迟等待类</w:t>
            </w:r>
          </w:p>
        </w:tc>
        <w:tc>
          <w:tcPr>
            <w:tcW w:w="128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5369131">
            <w:pPr>
              <w:spacing w:before="36" w:after="36"/>
              <w:jc w:val="left"/>
            </w:pPr>
            <w:r>
              <w:rPr>
                <w:rFonts w:ascii="Arial" w:hAnsi="Arial" w:eastAsia="Arial" w:cs="Arial"/>
                <w:color w:val="222222"/>
                <w:sz w:val="20"/>
                <w:szCs w:val="20"/>
              </w:rPr>
              <w:t>可真人/可NPC</w:t>
            </w:r>
          </w:p>
        </w:tc>
      </w:tr>
      <w:tr w14:paraId="0F591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F90707D">
            <w:pPr>
              <w:spacing w:before="36" w:after="36"/>
              <w:jc w:val="left"/>
            </w:pPr>
            <w:r>
              <w:rPr>
                <w:rFonts w:ascii="Arial" w:hAnsi="Arial" w:eastAsia="Arial" w:cs="Arial"/>
                <w:color w:val="222222"/>
                <w:sz w:val="20"/>
                <w:szCs w:val="20"/>
              </w:rPr>
              <w:t>省级水利厅技术专家（顾问）</w:t>
            </w:r>
          </w:p>
        </w:tc>
        <w:tc>
          <w:tcPr>
            <w:tcW w:w="102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E668C2B">
            <w:pPr>
              <w:spacing w:before="36" w:after="36"/>
              <w:jc w:val="left"/>
            </w:pPr>
            <w:r>
              <w:rPr>
                <w:rFonts w:ascii="Arial" w:hAnsi="Arial" w:eastAsia="Arial" w:cs="Arial"/>
                <w:color w:val="222222"/>
                <w:sz w:val="20"/>
                <w:szCs w:val="20"/>
              </w:rPr>
              <w:t>M4政策过程</w:t>
            </w:r>
          </w:p>
        </w:tc>
        <w:tc>
          <w:tcPr>
            <w:tcW w:w="1431"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56E1B9B">
            <w:pPr>
              <w:spacing w:before="36" w:after="36"/>
              <w:jc w:val="left"/>
            </w:pPr>
            <w:r>
              <w:rPr>
                <w:rFonts w:ascii="Arial" w:hAnsi="Arial" w:eastAsia="Arial" w:cs="Arial"/>
                <w:color w:val="222222"/>
                <w:sz w:val="20"/>
                <w:szCs w:val="20"/>
              </w:rPr>
              <w:t>PSR 40% ARC 40% STS 20% IGA 0% CLR 0%</w:t>
            </w:r>
          </w:p>
        </w:tc>
        <w:tc>
          <w:tcPr>
            <w:tcW w:w="245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7B1D63B">
            <w:pPr>
              <w:spacing w:before="36" w:after="36"/>
              <w:jc w:val="left"/>
            </w:pPr>
            <w:r>
              <w:rPr>
                <w:rFonts w:ascii="Arial" w:hAnsi="Arial" w:eastAsia="Arial" w:cs="Arial"/>
                <w:color w:val="222222"/>
                <w:sz w:val="20"/>
                <w:szCs w:val="20"/>
              </w:rPr>
              <w:t>上游水文站近3年的水质趋势数据，显示该断面存在长期性轻度污染背景（非本次事件导致，但会影响溯源结论的清晰度）。</w:t>
            </w:r>
          </w:p>
        </w:tc>
        <w:tc>
          <w:tcPr>
            <w:tcW w:w="173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AC21873">
            <w:pPr>
              <w:spacing w:before="36" w:after="36"/>
              <w:jc w:val="left"/>
            </w:pPr>
            <w:r>
              <w:rPr>
                <w:rFonts w:ascii="Arial" w:hAnsi="Arial" w:eastAsia="Arial" w:cs="Arial"/>
                <w:color w:val="222222"/>
                <w:sz w:val="20"/>
                <w:szCs w:val="20"/>
              </w:rPr>
              <w:t>技术支撑类/信息上报类</w:t>
            </w:r>
          </w:p>
        </w:tc>
        <w:tc>
          <w:tcPr>
            <w:tcW w:w="128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F29BA9C">
            <w:pPr>
              <w:spacing w:before="36" w:after="36"/>
              <w:jc w:val="left"/>
            </w:pPr>
            <w:r>
              <w:rPr>
                <w:rFonts w:ascii="Arial" w:hAnsi="Arial" w:eastAsia="Arial" w:cs="Arial"/>
                <w:color w:val="222222"/>
                <w:sz w:val="20"/>
                <w:szCs w:val="20"/>
              </w:rPr>
              <w:t>可选角色，教学场景推荐增加</w:t>
            </w:r>
          </w:p>
        </w:tc>
      </w:tr>
      <w:tr w14:paraId="62D59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A02207B">
            <w:pPr>
              <w:spacing w:before="36" w:after="36"/>
              <w:jc w:val="left"/>
            </w:pPr>
            <w:r>
              <w:rPr>
                <w:rFonts w:ascii="Arial" w:hAnsi="Arial" w:eastAsia="Arial" w:cs="Arial"/>
                <w:color w:val="222222"/>
                <w:sz w:val="20"/>
                <w:szCs w:val="20"/>
              </w:rPr>
              <w:t>清河县人大代表（农业界）</w:t>
            </w:r>
          </w:p>
        </w:tc>
        <w:tc>
          <w:tcPr>
            <w:tcW w:w="102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710664F">
            <w:pPr>
              <w:spacing w:before="36" w:after="36"/>
              <w:jc w:val="left"/>
            </w:pPr>
            <w:r>
              <w:rPr>
                <w:rFonts w:ascii="Arial" w:hAnsi="Arial" w:eastAsia="Arial" w:cs="Arial"/>
                <w:color w:val="222222"/>
                <w:sz w:val="20"/>
                <w:szCs w:val="20"/>
              </w:rPr>
              <w:t>M6政社关系</w:t>
            </w:r>
          </w:p>
        </w:tc>
        <w:tc>
          <w:tcPr>
            <w:tcW w:w="1431"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BE38E46">
            <w:pPr>
              <w:spacing w:before="36" w:after="36"/>
              <w:jc w:val="left"/>
            </w:pPr>
            <w:r>
              <w:rPr>
                <w:rFonts w:ascii="Arial" w:hAnsi="Arial" w:eastAsia="Arial" w:cs="Arial"/>
                <w:color w:val="222222"/>
                <w:sz w:val="20"/>
                <w:szCs w:val="20"/>
              </w:rPr>
              <w:t>STS 40% ARC 30% IGA 20% PSR 10% CLR 0%</w:t>
            </w:r>
          </w:p>
        </w:tc>
        <w:tc>
          <w:tcPr>
            <w:tcW w:w="245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DC2CD46">
            <w:pPr>
              <w:spacing w:before="36" w:after="36"/>
              <w:jc w:val="left"/>
            </w:pPr>
            <w:r>
              <w:rPr>
                <w:rFonts w:ascii="Arial" w:hAnsi="Arial" w:eastAsia="Arial" w:cs="Arial"/>
                <w:color w:val="222222"/>
                <w:sz w:val="20"/>
                <w:szCs w:val="20"/>
              </w:rPr>
              <w:t>收到受影响农业灌溉户集体委托，要求其正式提出质询，但质询范围按规定只能针对县级事务，跨县问题存在程序盲区。</w:t>
            </w:r>
          </w:p>
        </w:tc>
        <w:tc>
          <w:tcPr>
            <w:tcW w:w="173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92C9483">
            <w:pPr>
              <w:spacing w:before="36" w:after="36"/>
              <w:jc w:val="left"/>
            </w:pPr>
            <w:r>
              <w:rPr>
                <w:rFonts w:ascii="Arial" w:hAnsi="Arial" w:eastAsia="Arial" w:cs="Arial"/>
                <w:color w:val="222222"/>
                <w:sz w:val="20"/>
                <w:szCs w:val="20"/>
              </w:rPr>
              <w:t>社会沟通类/联署合作类</w:t>
            </w:r>
          </w:p>
        </w:tc>
        <w:tc>
          <w:tcPr>
            <w:tcW w:w="128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D33819D">
            <w:pPr>
              <w:spacing w:before="36" w:after="36"/>
              <w:jc w:val="left"/>
            </w:pPr>
            <w:r>
              <w:rPr>
                <w:rFonts w:ascii="Arial" w:hAnsi="Arial" w:eastAsia="Arial" w:cs="Arial"/>
                <w:color w:val="222222"/>
                <w:sz w:val="20"/>
                <w:szCs w:val="20"/>
              </w:rPr>
              <w:t>可选角色，研究场景增加以检验人大监督机制</w:t>
            </w:r>
          </w:p>
        </w:tc>
      </w:tr>
    </w:tbl>
    <w:p w14:paraId="2AD9904D">
      <w:pPr>
        <w:spacing w:before="120" w:after="120"/>
      </w:pPr>
    </w:p>
    <w:p w14:paraId="4EBCD6C9">
      <w:pPr>
        <w:pStyle w:val="3"/>
        <w:spacing w:before="320" w:after="140"/>
      </w:pPr>
      <w:r>
        <w:rPr>
          <w:rFonts w:ascii="Arial" w:hAnsi="Arial" w:eastAsia="Arial" w:cs="Arial"/>
          <w:b/>
          <w:bCs/>
          <w:color w:val="174A7E"/>
          <w:sz w:val="25"/>
          <w:szCs w:val="25"/>
        </w:rPr>
        <w:t>10.4 五阶段推演剧情设计</w:t>
      </w:r>
    </w:p>
    <w:p w14:paraId="7601D099">
      <w:pPr>
        <w:spacing w:before="80" w:after="80"/>
        <w:jc w:val="both"/>
      </w:pPr>
      <w:r>
        <w:rPr>
          <w:rFonts w:ascii="Arial" w:hAnsi="Arial" w:eastAsia="Arial" w:cs="Arial"/>
          <w:b w:val="0"/>
          <w:bCs w:val="0"/>
          <w:color w:val="111111"/>
          <w:sz w:val="22"/>
          <w:szCs w:val="22"/>
        </w:rPr>
        <w:t>五个阶段的设计遵循「信息逐步解封—压力持续升级—博弈格局演变」的内在节奏。每个阶段开始时玩家获得新的情境信息（公开信息对所有人，独占信息仅对特定角色），然后进行2—3轮行动决策，阶段结束时系统计算并公布五维指标变化，并可能触发事件卡。</w:t>
      </w:r>
    </w:p>
    <w:p w14:paraId="6C599C11">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BA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04C9359A">
            <w:pPr>
              <w:spacing w:before="60" w:after="100"/>
            </w:pPr>
            <w:r>
              <w:rPr>
                <w:rFonts w:ascii="Arial" w:hAnsi="Arial" w:eastAsia="Arial" w:cs="Arial"/>
                <w:b/>
                <w:bCs/>
                <w:color w:val="1A3A5C"/>
                <w:sz w:val="21"/>
                <w:szCs w:val="21"/>
              </w:rPr>
              <w:t>▌ 清河记五阶段推演时间线</w:t>
            </w:r>
          </w:p>
          <w:p w14:paraId="000B5D09">
            <w:pPr>
              <w:spacing w:before="16" w:after="16"/>
            </w:pPr>
            <w:r>
              <w:rPr>
                <w:rFonts w:ascii="Courier New" w:hAnsi="Courier New" w:eastAsia="Courier New" w:cs="Courier New"/>
                <w:color w:val="1A2233"/>
                <w:sz w:val="19"/>
                <w:szCs w:val="19"/>
              </w:rPr>
              <w:t xml:space="preserve">  ┌─────────────────────────────────────────────────────────────────────────┐</w:t>
            </w:r>
          </w:p>
          <w:p w14:paraId="1870D3EF">
            <w:pPr>
              <w:spacing w:before="16" w:after="16"/>
            </w:pPr>
            <w:r>
              <w:rPr>
                <w:rFonts w:ascii="Courier New" w:hAnsi="Courier New" w:eastAsia="Courier New" w:cs="Courier New"/>
                <w:color w:val="1A2233"/>
                <w:sz w:val="19"/>
                <w:szCs w:val="19"/>
              </w:rPr>
              <w:t xml:space="preserve">  │              清河记：五阶段推演时间线                                   │</w:t>
            </w:r>
          </w:p>
          <w:p w14:paraId="42D842BD">
            <w:pPr>
              <w:spacing w:before="16" w:after="16"/>
            </w:pPr>
            <w:r>
              <w:rPr>
                <w:rFonts w:ascii="Courier New" w:hAnsi="Courier New" w:eastAsia="Courier New" w:cs="Courier New"/>
                <w:color w:val="1A2233"/>
                <w:sz w:val="19"/>
                <w:szCs w:val="19"/>
              </w:rPr>
              <w:t xml:space="preserve">  ├──────────┬──────────────────────────────────────────────────────────────┤</w:t>
            </w:r>
          </w:p>
          <w:p w14:paraId="26C6BB1A">
            <w:pPr>
              <w:spacing w:before="16" w:after="16"/>
            </w:pPr>
            <w:r>
              <w:rPr>
                <w:rFonts w:ascii="Courier New" w:hAnsi="Courier New" w:eastAsia="Courier New" w:cs="Courier New"/>
                <w:color w:val="1A2233"/>
                <w:sz w:val="19"/>
                <w:szCs w:val="19"/>
              </w:rPr>
              <w:t xml:space="preserve">  │  阶段 1  │  初始定性（T+0至T+12小时）                                  │</w:t>
            </w:r>
          </w:p>
          <w:p w14:paraId="5AA363AC">
            <w:pPr>
              <w:spacing w:before="16" w:after="16"/>
            </w:pPr>
            <w:r>
              <w:rPr>
                <w:rFonts w:ascii="Courier New" w:hAnsi="Courier New" w:eastAsia="Courier New" w:cs="Courier New"/>
                <w:color w:val="1A2233"/>
                <w:sz w:val="19"/>
                <w:szCs w:val="19"/>
              </w:rPr>
              <w:t xml:space="preserve">  │          │  核心张力：信息碎片化 × 双方互不信任 × 内部压缩数据已存在  │</w:t>
            </w:r>
          </w:p>
          <w:p w14:paraId="74D32309">
            <w:pPr>
              <w:spacing w:before="16" w:after="16"/>
            </w:pPr>
            <w:r>
              <w:rPr>
                <w:rFonts w:ascii="Courier New" w:hAnsi="Courier New" w:eastAsia="Courier New" w:cs="Courier New"/>
                <w:color w:val="1A2233"/>
                <w:sz w:val="19"/>
                <w:szCs w:val="19"/>
              </w:rPr>
              <w:t xml:space="preserve">  │          │  主要决策节点：                                              │</w:t>
            </w:r>
          </w:p>
          <w:p w14:paraId="39470486">
            <w:pPr>
              <w:spacing w:before="16" w:after="16"/>
            </w:pPr>
            <w:r>
              <w:rPr>
                <w:rFonts w:ascii="Courier New" w:hAnsi="Courier New" w:eastAsia="Courier New" w:cs="Courier New"/>
                <w:color w:val="1A2233"/>
                <w:sz w:val="19"/>
                <w:szCs w:val="19"/>
              </w:rPr>
              <w:t xml:space="preserve">  │          │  D1.1 水源县委书记：是否立即向市委书记汇报？               │</w:t>
            </w:r>
          </w:p>
          <w:p w14:paraId="5F7DF8BC">
            <w:pPr>
              <w:spacing w:before="16" w:after="16"/>
            </w:pPr>
            <w:r>
              <w:rPr>
                <w:rFonts w:ascii="Courier New" w:hAnsi="Courier New" w:eastAsia="Courier New" w:cs="Courier New"/>
                <w:color w:val="1A2233"/>
                <w:sz w:val="19"/>
                <w:szCs w:val="19"/>
              </w:rPr>
              <w:t xml:space="preserve">  │          │  D1.2 水源县环保局：是否公开原始检测数据？                 │</w:t>
            </w:r>
          </w:p>
          <w:p w14:paraId="654EF1AE">
            <w:pPr>
              <w:spacing w:before="16" w:after="16"/>
            </w:pPr>
            <w:r>
              <w:rPr>
                <w:rFonts w:ascii="Courier New" w:hAnsi="Courier New" w:eastAsia="Courier New" w:cs="Courier New"/>
                <w:color w:val="1A2233"/>
                <w:sz w:val="19"/>
                <w:szCs w:val="19"/>
              </w:rPr>
              <w:t xml:space="preserve">  │          │  D1.3 清河县委书记：如何回应水源县的非正式通报？           │</w:t>
            </w:r>
          </w:p>
          <w:p w14:paraId="0323DF50">
            <w:pPr>
              <w:spacing w:before="16" w:after="16"/>
            </w:pPr>
            <w:r>
              <w:rPr>
                <w:rFonts w:ascii="Courier New" w:hAnsi="Courier New" w:eastAsia="Courier New" w:cs="Courier New"/>
                <w:color w:val="1A2233"/>
                <w:sz w:val="19"/>
                <w:szCs w:val="19"/>
              </w:rPr>
              <w:t xml:space="preserve">  │          │  D1.4 NGO代表：是否将自测数据提交给水源县环保局？          │</w:t>
            </w:r>
          </w:p>
          <w:p w14:paraId="3EDD2E98">
            <w:pPr>
              <w:spacing w:before="16" w:after="16"/>
            </w:pPr>
            <w:r>
              <w:rPr>
                <w:rFonts w:ascii="Courier New" w:hAnsi="Courier New" w:eastAsia="Courier New" w:cs="Courier New"/>
                <w:color w:val="1A2233"/>
                <w:sz w:val="19"/>
                <w:szCs w:val="19"/>
              </w:rPr>
              <w:t xml:space="preserve">  ├──────────┼──────────────────────────────────────────────────────────────┤</w:t>
            </w:r>
          </w:p>
          <w:p w14:paraId="69BEFB2E">
            <w:pPr>
              <w:spacing w:before="16" w:after="16"/>
            </w:pPr>
            <w:r>
              <w:rPr>
                <w:rFonts w:ascii="Courier New" w:hAnsi="Courier New" w:eastAsia="Courier New" w:cs="Courier New"/>
                <w:color w:val="1A2233"/>
                <w:sz w:val="19"/>
                <w:szCs w:val="19"/>
              </w:rPr>
              <w:t xml:space="preserve">  │  阶段 2  │  责任博弈（T+12至T+30小时）                                 │</w:t>
            </w:r>
          </w:p>
          <w:p w14:paraId="11CBF515">
            <w:pPr>
              <w:spacing w:before="16" w:after="16"/>
            </w:pPr>
            <w:r>
              <w:rPr>
                <w:rFonts w:ascii="Courier New" w:hAnsi="Courier New" w:eastAsia="Courier New" w:cs="Courier New"/>
                <w:color w:val="1A2233"/>
                <w:sz w:val="19"/>
                <w:szCs w:val="19"/>
              </w:rPr>
              <w:t xml:space="preserve">  │          │  触发事件：媒体NPC发出第一篇不定性观察报道（舆情热度+15）  │</w:t>
            </w:r>
          </w:p>
          <w:p w14:paraId="4E92CDAC">
            <w:pPr>
              <w:spacing w:before="16" w:after="16"/>
            </w:pPr>
            <w:r>
              <w:rPr>
                <w:rFonts w:ascii="Courier New" w:hAnsi="Courier New" w:eastAsia="Courier New" w:cs="Courier New"/>
                <w:color w:val="1A2233"/>
                <w:sz w:val="19"/>
                <w:szCs w:val="19"/>
              </w:rPr>
              <w:t xml:space="preserve">  │          │  核心张力：溯源主导权争夺 × 企业保护与执法的内部博弈       │</w:t>
            </w:r>
          </w:p>
          <w:p w14:paraId="12BC05F8">
            <w:pPr>
              <w:spacing w:before="16" w:after="16"/>
            </w:pPr>
            <w:r>
              <w:rPr>
                <w:rFonts w:ascii="Courier New" w:hAnsi="Courier New" w:eastAsia="Courier New" w:cs="Courier New"/>
                <w:color w:val="1A2233"/>
                <w:sz w:val="19"/>
                <w:szCs w:val="19"/>
              </w:rPr>
              <w:t xml:space="preserve">  │          │  主要决策节点：                                              │</w:t>
            </w:r>
          </w:p>
          <w:p w14:paraId="465E335C">
            <w:pPr>
              <w:spacing w:before="16" w:after="16"/>
            </w:pPr>
            <w:r>
              <w:rPr>
                <w:rFonts w:ascii="Courier New" w:hAnsi="Courier New" w:eastAsia="Courier New" w:cs="Courier New"/>
                <w:color w:val="1A2233"/>
                <w:sz w:val="19"/>
                <w:szCs w:val="19"/>
              </w:rPr>
              <w:t xml:space="preserve">  │          │  D2.1 清河县委书记：是否要求清化精工提供原始台账？         │</w:t>
            </w:r>
          </w:p>
          <w:p w14:paraId="6B0ADBEE">
            <w:pPr>
              <w:spacing w:before="16" w:after="16"/>
            </w:pPr>
            <w:r>
              <w:rPr>
                <w:rFonts w:ascii="Courier New" w:hAnsi="Courier New" w:eastAsia="Courier New" w:cs="Courier New"/>
                <w:color w:val="1A2233"/>
                <w:sz w:val="19"/>
                <w:szCs w:val="19"/>
              </w:rPr>
              <w:t xml:space="preserve">  │          │  D2.2 双方书记：是否接受独立第三方技术评估？               │</w:t>
            </w:r>
          </w:p>
          <w:p w14:paraId="4DF0F47F">
            <w:pPr>
              <w:spacing w:before="16" w:after="16"/>
            </w:pPr>
            <w:r>
              <w:rPr>
                <w:rFonts w:ascii="Courier New" w:hAnsi="Courier New" w:eastAsia="Courier New" w:cs="Courier New"/>
                <w:color w:val="1A2233"/>
                <w:sz w:val="19"/>
                <w:szCs w:val="19"/>
              </w:rPr>
              <w:t xml:space="preserve">  │          │  D2.3 清河县环保局长：是否主动上报历史整改造假情况？       │</w:t>
            </w:r>
          </w:p>
          <w:p w14:paraId="4A259929">
            <w:pPr>
              <w:spacing w:before="16" w:after="16"/>
            </w:pPr>
            <w:r>
              <w:rPr>
                <w:rFonts w:ascii="Courier New" w:hAnsi="Courier New" w:eastAsia="Courier New" w:cs="Courier New"/>
                <w:color w:val="1A2233"/>
                <w:sz w:val="19"/>
                <w:szCs w:val="19"/>
              </w:rPr>
              <w:t xml:space="preserve">  │          │  D2.4 水源方：是否向市级督察专员正式提交书面请求？         │</w:t>
            </w:r>
          </w:p>
          <w:p w14:paraId="12804E16">
            <w:pPr>
              <w:spacing w:before="16" w:after="16"/>
            </w:pPr>
            <w:r>
              <w:rPr>
                <w:rFonts w:ascii="Courier New" w:hAnsi="Courier New" w:eastAsia="Courier New" w:cs="Courier New"/>
                <w:color w:val="1A2233"/>
                <w:sz w:val="19"/>
                <w:szCs w:val="19"/>
              </w:rPr>
              <w:t xml:space="preserve">  ├──────────┼──────────────────────────────────────────────────────────────┤</w:t>
            </w:r>
          </w:p>
          <w:p w14:paraId="74055B46">
            <w:pPr>
              <w:spacing w:before="16" w:after="16"/>
            </w:pPr>
            <w:r>
              <w:rPr>
                <w:rFonts w:ascii="Courier New" w:hAnsi="Courier New" w:eastAsia="Courier New" w:cs="Courier New"/>
                <w:color w:val="1A2233"/>
                <w:sz w:val="19"/>
                <w:szCs w:val="19"/>
              </w:rPr>
              <w:t xml:space="preserve">  │  阶段 3  │  压力峰值（T+30至T+48小时）                                 │</w:t>
            </w:r>
          </w:p>
          <w:p w14:paraId="10D36B26">
            <w:pPr>
              <w:spacing w:before="16" w:after="16"/>
            </w:pPr>
            <w:r>
              <w:rPr>
                <w:rFonts w:ascii="Courier New" w:hAnsi="Courier New" w:eastAsia="Courier New" w:cs="Courier New"/>
                <w:color w:val="1A2233"/>
                <w:sz w:val="19"/>
                <w:szCs w:val="19"/>
              </w:rPr>
              <w:t xml:space="preserve">  │          │  触发条件：舆情热度&gt;50则媒体NPC发深度报道；督察NPC发催办函 │</w:t>
            </w:r>
          </w:p>
          <w:p w14:paraId="09248266">
            <w:pPr>
              <w:spacing w:before="16" w:after="16"/>
            </w:pPr>
            <w:r>
              <w:rPr>
                <w:rFonts w:ascii="Courier New" w:hAnsi="Courier New" w:eastAsia="Courier New" w:cs="Courier New"/>
                <w:color w:val="1A2233"/>
                <w:sz w:val="19"/>
                <w:szCs w:val="19"/>
              </w:rPr>
              <w:t xml:space="preserve">  │          │  核心张力：上级施压 × 企业游说 × 舆论升温三方同时激化      │</w:t>
            </w:r>
          </w:p>
          <w:p w14:paraId="0252B271">
            <w:pPr>
              <w:spacing w:before="16" w:after="16"/>
            </w:pPr>
            <w:r>
              <w:rPr>
                <w:rFonts w:ascii="Courier New" w:hAnsi="Courier New" w:eastAsia="Courier New" w:cs="Courier New"/>
                <w:color w:val="1A2233"/>
                <w:sz w:val="19"/>
                <w:szCs w:val="19"/>
              </w:rPr>
              <w:t xml:space="preserve">  │          │  主要决策节点：                                              │</w:t>
            </w:r>
          </w:p>
          <w:p w14:paraId="3F9D6548">
            <w:pPr>
              <w:spacing w:before="16" w:after="16"/>
            </w:pPr>
            <w:r>
              <w:rPr>
                <w:rFonts w:ascii="Courier New" w:hAnsi="Courier New" w:eastAsia="Courier New" w:cs="Courier New"/>
                <w:color w:val="1A2233"/>
                <w:sz w:val="19"/>
                <w:szCs w:val="19"/>
              </w:rPr>
              <w:t xml:space="preserve">  │          │  D3.1 清河县委书记：是否要求清化精工临时限产？             │</w:t>
            </w:r>
          </w:p>
          <w:p w14:paraId="5E16EDC3">
            <w:pPr>
              <w:spacing w:before="16" w:after="16"/>
            </w:pPr>
            <w:r>
              <w:rPr>
                <w:rFonts w:ascii="Courier New" w:hAnsi="Courier New" w:eastAsia="Courier New" w:cs="Courier New"/>
                <w:color w:val="1A2233"/>
                <w:sz w:val="19"/>
                <w:szCs w:val="19"/>
              </w:rPr>
              <w:t xml:space="preserve">  │          │  D3.2 双方书记：是否联署向市级提交协调处置报告？           │</w:t>
            </w:r>
          </w:p>
          <w:p w14:paraId="0CE4EE39">
            <w:pPr>
              <w:spacing w:before="16" w:after="16"/>
            </w:pPr>
            <w:r>
              <w:rPr>
                <w:rFonts w:ascii="Courier New" w:hAnsi="Courier New" w:eastAsia="Courier New" w:cs="Courier New"/>
                <w:color w:val="1A2233"/>
                <w:sz w:val="19"/>
                <w:szCs w:val="19"/>
              </w:rPr>
              <w:t xml:space="preserve">  │          │  D3.3 水源县：是否向受影响村民召开信息通报会？             │</w:t>
            </w:r>
          </w:p>
          <w:p w14:paraId="5F9EF32D">
            <w:pPr>
              <w:spacing w:before="16" w:after="16"/>
            </w:pPr>
            <w:r>
              <w:rPr>
                <w:rFonts w:ascii="Courier New" w:hAnsi="Courier New" w:eastAsia="Courier New" w:cs="Courier New"/>
                <w:color w:val="1A2233"/>
                <w:sz w:val="19"/>
                <w:szCs w:val="19"/>
              </w:rPr>
              <w:t xml:space="preserve">  ├──────────┼──────────────────────────────────────────────────────────────┤</w:t>
            </w:r>
          </w:p>
          <w:p w14:paraId="2A72AAA4">
            <w:pPr>
              <w:spacing w:before="16" w:after="16"/>
            </w:pPr>
            <w:r>
              <w:rPr>
                <w:rFonts w:ascii="Courier New" w:hAnsi="Courier New" w:eastAsia="Courier New" w:cs="Courier New"/>
                <w:color w:val="1A2233"/>
                <w:sz w:val="19"/>
                <w:szCs w:val="19"/>
              </w:rPr>
              <w:t xml:space="preserve">  │  阶段 4  │  协议谈判（T+48至T+72小时）                                 │</w:t>
            </w:r>
          </w:p>
          <w:p w14:paraId="37F2603E">
            <w:pPr>
              <w:spacing w:before="16" w:after="16"/>
            </w:pPr>
            <w:r>
              <w:rPr>
                <w:rFonts w:ascii="Courier New" w:hAnsi="Courier New" w:eastAsia="Courier New" w:cs="Courier New"/>
                <w:color w:val="1A2233"/>
                <w:sz w:val="19"/>
                <w:szCs w:val="19"/>
              </w:rPr>
              <w:t xml:space="preserve">  │          │  触发条件：若联署完成则进入协议模式；若未联署则督察启动    │</w:t>
            </w:r>
          </w:p>
          <w:p w14:paraId="181A0759">
            <w:pPr>
              <w:spacing w:before="16" w:after="16"/>
            </w:pPr>
            <w:r>
              <w:rPr>
                <w:rFonts w:ascii="Courier New" w:hAnsi="Courier New" w:eastAsia="Courier New" w:cs="Courier New"/>
                <w:color w:val="1A2233"/>
                <w:sz w:val="19"/>
                <w:szCs w:val="19"/>
              </w:rPr>
              <w:t xml:space="preserve">  │          │  核心张力：追责范围界定 × 赔偿机制设计 × 制度化安排争议   │</w:t>
            </w:r>
          </w:p>
          <w:p w14:paraId="7185B25C">
            <w:pPr>
              <w:spacing w:before="16" w:after="16"/>
            </w:pPr>
            <w:r>
              <w:rPr>
                <w:rFonts w:ascii="Courier New" w:hAnsi="Courier New" w:eastAsia="Courier New" w:cs="Courier New"/>
                <w:color w:val="1A2233"/>
                <w:sz w:val="19"/>
                <w:szCs w:val="19"/>
              </w:rPr>
              <w:t xml:space="preserve">  │          │  主要决策节点：                                              │</w:t>
            </w:r>
          </w:p>
          <w:p w14:paraId="71A792E7">
            <w:pPr>
              <w:spacing w:before="16" w:after="16"/>
            </w:pPr>
            <w:r>
              <w:rPr>
                <w:rFonts w:ascii="Courier New" w:hAnsi="Courier New" w:eastAsia="Courier New" w:cs="Courier New"/>
                <w:color w:val="1A2233"/>
                <w:sz w:val="19"/>
                <w:szCs w:val="19"/>
              </w:rPr>
              <w:t xml:space="preserve">  │          │  D4.1 各方：如何界定本次事件的责任归属？                   │</w:t>
            </w:r>
          </w:p>
          <w:p w14:paraId="4F257E01">
            <w:pPr>
              <w:spacing w:before="16" w:after="16"/>
            </w:pPr>
            <w:r>
              <w:rPr>
                <w:rFonts w:ascii="Courier New" w:hAnsi="Courier New" w:eastAsia="Courier New" w:cs="Courier New"/>
                <w:color w:val="1A2233"/>
                <w:sz w:val="19"/>
                <w:szCs w:val="19"/>
              </w:rPr>
              <w:t xml:space="preserve">  │          │  D4.2 清河方：是否接受对清化精工的正式立案调查？           │</w:t>
            </w:r>
          </w:p>
          <w:p w14:paraId="7BBA64A7">
            <w:pPr>
              <w:spacing w:before="16" w:after="16"/>
            </w:pPr>
            <w:r>
              <w:rPr>
                <w:rFonts w:ascii="Courier New" w:hAnsi="Courier New" w:eastAsia="Courier New" w:cs="Courier New"/>
                <w:color w:val="1A2233"/>
                <w:sz w:val="19"/>
                <w:szCs w:val="19"/>
              </w:rPr>
              <w:t xml:space="preserve">  │          │  D4.3 NGO/村民代表：是否接受现有处置方案？                 │</w:t>
            </w:r>
          </w:p>
          <w:p w14:paraId="5798A354">
            <w:pPr>
              <w:spacing w:before="16" w:after="16"/>
            </w:pPr>
            <w:r>
              <w:rPr>
                <w:rFonts w:ascii="Courier New" w:hAnsi="Courier New" w:eastAsia="Courier New" w:cs="Courier New"/>
                <w:color w:val="1A2233"/>
                <w:sz w:val="19"/>
                <w:szCs w:val="19"/>
              </w:rPr>
              <w:t xml:space="preserve">  ├──────────┼──────────────────────────────────────────────────────────────┤</w:t>
            </w:r>
          </w:p>
          <w:p w14:paraId="0B6DEED6">
            <w:pPr>
              <w:spacing w:before="16" w:after="16"/>
            </w:pPr>
            <w:r>
              <w:rPr>
                <w:rFonts w:ascii="Courier New" w:hAnsi="Courier New" w:eastAsia="Courier New" w:cs="Courier New"/>
                <w:color w:val="1A2233"/>
                <w:sz w:val="19"/>
                <w:szCs w:val="19"/>
              </w:rPr>
              <w:t xml:space="preserve">  │  阶段 5  │  制度化收尾（T+72至T+96小时）                               │</w:t>
            </w:r>
          </w:p>
          <w:p w14:paraId="28CED69B">
            <w:pPr>
              <w:spacing w:before="16" w:after="16"/>
            </w:pPr>
            <w:r>
              <w:rPr>
                <w:rFonts w:ascii="Courier New" w:hAnsi="Courier New" w:eastAsia="Courier New" w:cs="Courier New"/>
                <w:color w:val="1A2233"/>
                <w:sz w:val="19"/>
                <w:szCs w:val="19"/>
              </w:rPr>
              <w:t xml:space="preserve">  │          │  核心任务：为未来同类事件建立协调机制 或 记录此次失败教训  │</w:t>
            </w:r>
          </w:p>
          <w:p w14:paraId="149F9116">
            <w:pPr>
              <w:spacing w:before="16" w:after="16"/>
            </w:pPr>
            <w:r>
              <w:rPr>
                <w:rFonts w:ascii="Courier New" w:hAnsi="Courier New" w:eastAsia="Courier New" w:cs="Courier New"/>
                <w:color w:val="1A2233"/>
                <w:sz w:val="19"/>
                <w:szCs w:val="19"/>
              </w:rPr>
              <w:t xml:space="preserve">  │          │  主要决策节点：                                              │</w:t>
            </w:r>
          </w:p>
          <w:p w14:paraId="061817DD">
            <w:pPr>
              <w:spacing w:before="16" w:after="16"/>
            </w:pPr>
            <w:r>
              <w:rPr>
                <w:rFonts w:ascii="Courier New" w:hAnsi="Courier New" w:eastAsia="Courier New" w:cs="Courier New"/>
                <w:color w:val="1A2233"/>
                <w:sz w:val="19"/>
                <w:szCs w:val="19"/>
              </w:rPr>
              <w:t xml:space="preserve">  │          │  D5.1 各方：提出对跨界应急协调机制的制度性主张             │</w:t>
            </w:r>
          </w:p>
          <w:p w14:paraId="523F4193">
            <w:pPr>
              <w:spacing w:before="16" w:after="16"/>
            </w:pPr>
            <w:r>
              <w:rPr>
                <w:rFonts w:ascii="Courier New" w:hAnsi="Courier New" w:eastAsia="Courier New" w:cs="Courier New"/>
                <w:color w:val="1A2233"/>
                <w:sz w:val="19"/>
                <w:szCs w:val="19"/>
              </w:rPr>
              <w:t xml:space="preserve">  │          │  D5.2 最终五维指标公布，各角色KPI得分排名                  │</w:t>
            </w:r>
          </w:p>
          <w:p w14:paraId="6547799D">
            <w:pPr>
              <w:spacing w:before="16" w:after="16"/>
            </w:pPr>
            <w:r>
              <w:rPr>
                <w:rFonts w:ascii="Courier New" w:hAnsi="Courier New" w:eastAsia="Courier New" w:cs="Courier New"/>
                <w:color w:val="1A2233"/>
                <w:sz w:val="19"/>
                <w:szCs w:val="19"/>
              </w:rPr>
              <w:t xml:space="preserve">  └──────────┴──────────────────────────────────────────────────────────────┘</w:t>
            </w:r>
          </w:p>
        </w:tc>
      </w:tr>
    </w:tbl>
    <w:p w14:paraId="03423FDE">
      <w:pPr>
        <w:spacing w:before="120" w:after="120"/>
      </w:pPr>
    </w:p>
    <w:p w14:paraId="2B05E180">
      <w:pPr>
        <w:pStyle w:val="3"/>
        <w:spacing w:before="320" w:after="140"/>
      </w:pPr>
      <w:r>
        <w:rPr>
          <w:rFonts w:ascii="Arial" w:hAnsi="Arial" w:eastAsia="Arial" w:cs="Arial"/>
          <w:b/>
          <w:bCs/>
          <w:color w:val="174A7E"/>
          <w:sz w:val="25"/>
          <w:szCs w:val="25"/>
        </w:rPr>
        <w:t>10.5 关键决策节点完整设计示例：D2.2</w:t>
      </w:r>
    </w:p>
    <w:p w14:paraId="17DB3B64">
      <w:pPr>
        <w:spacing w:before="80" w:after="80"/>
        <w:jc w:val="both"/>
      </w:pPr>
      <w:r>
        <w:rPr>
          <w:rFonts w:ascii="Arial" w:hAnsi="Arial" w:eastAsia="Arial" w:cs="Arial"/>
          <w:b w:val="0"/>
          <w:bCs w:val="0"/>
          <w:color w:val="111111"/>
          <w:sz w:val="22"/>
          <w:szCs w:val="22"/>
        </w:rPr>
        <w:t>以决策节点D2.2「双方书记：是否接受由高校团队主持的独立第三方技术评估？」为例，展示一个决策节点的完整元数据设计。理解这一示例，就理解了平台所有决策节点的设计逻辑。</w:t>
      </w:r>
    </w:p>
    <w:p w14:paraId="2547956C">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49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469A0" w:sz="6" w:space="0"/>
              <w:left w:val="single" w:color="2469A0" w:sz="8" w:space="0"/>
              <w:bottom w:val="single" w:color="2469A0" w:sz="6" w:space="0"/>
              <w:right w:val="single" w:color="2469A0" w:sz="4" w:space="0"/>
            </w:tcBorders>
            <w:shd w:val="clear" w:color="auto" w:fill="EAF3FB"/>
            <w:tcMar>
              <w:top w:w="140" w:type="dxa"/>
              <w:left w:w="240" w:type="dxa"/>
              <w:bottom w:w="140" w:type="dxa"/>
              <w:right w:w="240" w:type="dxa"/>
            </w:tcMar>
          </w:tcPr>
          <w:p w14:paraId="6036BBDC">
            <w:pPr>
              <w:spacing w:before="60" w:after="80"/>
            </w:pPr>
            <w:r>
              <w:rPr>
                <w:rFonts w:ascii="Arial" w:hAnsi="Arial" w:eastAsia="Arial" w:cs="Arial"/>
                <w:b/>
                <w:bCs/>
                <w:color w:val="1A3A5C"/>
                <w:sz w:val="22"/>
                <w:szCs w:val="22"/>
              </w:rPr>
              <w:t>决策节点D2.2完整元数据</w:t>
            </w:r>
          </w:p>
          <w:p w14:paraId="387E7334">
            <w:pPr>
              <w:spacing w:before="48" w:after="48"/>
            </w:pPr>
            <w:r>
              <w:rPr>
                <w:rFonts w:ascii="Arial" w:hAnsi="Arial" w:eastAsia="Arial" w:cs="Arial"/>
                <w:color w:val="222222"/>
                <w:sz w:val="21"/>
                <w:szCs w:val="21"/>
              </w:rPr>
              <w:t>【D2.2 完整决策节点规范】</w:t>
            </w:r>
          </w:p>
          <w:p w14:paraId="5CF778A1">
            <w:pPr>
              <w:spacing w:before="48" w:after="48"/>
            </w:pPr>
          </w:p>
          <w:p w14:paraId="0A3B14CE">
            <w:pPr>
              <w:spacing w:before="48" w:after="48"/>
            </w:pPr>
            <w:r>
              <w:rPr>
                <w:rFonts w:ascii="Arial" w:hAnsi="Arial" w:eastAsia="Arial" w:cs="Arial"/>
                <w:color w:val="222222"/>
                <w:sz w:val="21"/>
                <w:szCs w:val="21"/>
              </w:rPr>
              <w:t>决策角色：水源县委书记（必须决策）/ 清河县委书记（可以联署，也可以各自独立决策）</w:t>
            </w:r>
          </w:p>
          <w:p w14:paraId="420D5494">
            <w:pPr>
              <w:spacing w:before="48" w:after="48"/>
            </w:pPr>
            <w:r>
              <w:rPr>
                <w:rFonts w:ascii="Arial" w:hAnsi="Arial" w:eastAsia="Arial" w:cs="Arial"/>
                <w:color w:val="222222"/>
                <w:sz w:val="21"/>
                <w:szCs w:val="21"/>
              </w:rPr>
              <w:t>决策问题：在溯源数据仍有争议的情况下，是否接受由非本省高校环境科学团队主持的独立技术评估？</w:t>
            </w:r>
          </w:p>
          <w:p w14:paraId="11BE0973">
            <w:pPr>
              <w:spacing w:before="48" w:after="48"/>
            </w:pPr>
            <w:r>
              <w:rPr>
                <w:rFonts w:ascii="Arial" w:hAnsi="Arial" w:eastAsia="Arial" w:cs="Arial"/>
                <w:color w:val="222222"/>
                <w:sz w:val="21"/>
                <w:szCs w:val="21"/>
              </w:rPr>
              <w:t>触发情境：阶段2，清河县尚未提供原始台账，但双方都意识到单方数据公信力不足</w:t>
            </w:r>
          </w:p>
          <w:p w14:paraId="434DED71">
            <w:pPr>
              <w:spacing w:before="48" w:after="48"/>
            </w:pPr>
            <w:r>
              <w:rPr>
                <w:rFonts w:ascii="Arial" w:hAnsi="Arial" w:eastAsia="Arial" w:cs="Arial"/>
                <w:color w:val="222222"/>
                <w:sz w:val="21"/>
                <w:szCs w:val="21"/>
              </w:rPr>
              <w:t>当前参数状态：info_asymmetry=7（高信息不对称），accountability_pressure=5（中等问责压力）</w:t>
            </w:r>
          </w:p>
          <w:p w14:paraId="7B698A37">
            <w:pPr>
              <w:spacing w:before="48" w:after="48"/>
            </w:pPr>
          </w:p>
          <w:p w14:paraId="64C482B2">
            <w:pPr>
              <w:spacing w:before="48" w:after="48"/>
            </w:pPr>
            <w:r>
              <w:rPr>
                <w:rFonts w:ascii="Arial" w:hAnsi="Arial" w:eastAsia="Arial" w:cs="Arial"/>
                <w:color w:val="222222"/>
                <w:sz w:val="21"/>
                <w:szCs w:val="21"/>
              </w:rPr>
              <w:t>【RAG触发——情境向量关键词】</w:t>
            </w:r>
          </w:p>
          <w:p w14:paraId="0B75C430">
            <w:pPr>
              <w:spacing w:before="48" w:after="48"/>
            </w:pPr>
            <w:r>
              <w:rPr>
                <w:rFonts w:ascii="Arial" w:hAnsi="Arial" w:eastAsia="Arial" w:cs="Arial"/>
                <w:color w:val="222222"/>
                <w:sz w:val="21"/>
                <w:szCs w:val="21"/>
              </w:rPr>
              <w:t>第三方评估 / 独立技术机构 / 数据公信力 / 跨域争议 / 科学权威背书 / 证据链构建</w:t>
            </w:r>
          </w:p>
          <w:p w14:paraId="3CFC55F3">
            <w:pPr>
              <w:spacing w:before="48" w:after="48"/>
            </w:pPr>
          </w:p>
          <w:p w14:paraId="5F0D5BA4">
            <w:pPr>
              <w:spacing w:before="48" w:after="48"/>
            </w:pPr>
            <w:r>
              <w:rPr>
                <w:rFonts w:ascii="Arial" w:hAnsi="Arial" w:eastAsia="Arial" w:cs="Arial"/>
                <w:color w:val="222222"/>
                <w:sz w:val="21"/>
                <w:szCs w:val="21"/>
              </w:rPr>
              <w:t>【L2检索结果与选项生成（水源县委书记视角）】</w:t>
            </w:r>
          </w:p>
          <w:p w14:paraId="614A14DE">
            <w:pPr>
              <w:spacing w:before="48" w:after="48"/>
            </w:pPr>
          </w:p>
          <w:p w14:paraId="548F3D52">
            <w:pPr>
              <w:spacing w:before="48" w:after="48"/>
            </w:pPr>
            <w:r>
              <w:rPr>
                <w:rFonts w:ascii="Arial" w:hAnsi="Arial" w:eastAsia="Arial" w:cs="Arial"/>
                <w:color w:val="222222"/>
                <w:sz w:val="21"/>
                <w:szCs w:val="21"/>
              </w:rPr>
              <w:t>选项A（RAG来源：Millstone 2009，Research Policy；Ansell &amp; Gash 2008，JPART）</w:t>
            </w:r>
          </w:p>
          <w:p w14:paraId="5CECA68E">
            <w:pPr>
              <w:spacing w:before="48" w:after="48"/>
            </w:pPr>
            <w:r>
              <w:rPr>
                <w:rFonts w:ascii="Arial" w:hAnsi="Arial" w:eastAsia="Arial" w:cs="Arial"/>
                <w:color w:val="222222"/>
                <w:sz w:val="21"/>
                <w:szCs w:val="21"/>
              </w:rPr>
              <w:t xml:space="preserve">  行动文本：「主动邀请非本省高校团队介入技术评估，条件是双方原始数据必须同步提交；</w:t>
            </w:r>
          </w:p>
          <w:p w14:paraId="333B5FD9">
            <w:pPr>
              <w:spacing w:before="48" w:after="48"/>
            </w:pPr>
            <w:r>
              <w:rPr>
                <w:rFonts w:ascii="Arial" w:hAnsi="Arial" w:eastAsia="Arial" w:cs="Arial"/>
                <w:color w:val="222222"/>
                <w:sz w:val="21"/>
                <w:szCs w:val="21"/>
              </w:rPr>
              <w:t xml:space="preserve">            同时向市级督察专员报备此决定，争取上级背书。」</w:t>
            </w:r>
          </w:p>
          <w:p w14:paraId="62FFCCBD">
            <w:pPr>
              <w:spacing w:before="48" w:after="48"/>
            </w:pPr>
            <w:r>
              <w:rPr>
                <w:rFonts w:ascii="Arial" w:hAnsi="Arial" w:eastAsia="Arial" w:cs="Arial"/>
                <w:color w:val="222222"/>
                <w:sz w:val="21"/>
                <w:szCs w:val="21"/>
              </w:rPr>
              <w:t xml:space="preserve">  行动类型：技术支撑类 + 信息上报类</w:t>
            </w:r>
          </w:p>
          <w:p w14:paraId="6325D222">
            <w:pPr>
              <w:spacing w:before="48" w:after="48"/>
            </w:pPr>
            <w:r>
              <w:rPr>
                <w:rFonts w:ascii="Arial" w:hAnsi="Arial" w:eastAsia="Arial" w:cs="Arial"/>
                <w:color w:val="222222"/>
                <w:sz w:val="21"/>
                <w:szCs w:val="21"/>
              </w:rPr>
              <w:t xml:space="preserve">  预期效果：ARC+4 / IGA+3 / CLR+2 / PSR+2 / STS+1</w:t>
            </w:r>
          </w:p>
          <w:p w14:paraId="7125231D">
            <w:pPr>
              <w:spacing w:before="48" w:after="48"/>
            </w:pPr>
            <w:r>
              <w:rPr>
                <w:rFonts w:ascii="Arial" w:hAnsi="Arial" w:eastAsia="Arial" w:cs="Arial"/>
                <w:color w:val="222222"/>
                <w:sz w:val="21"/>
                <w:szCs w:val="21"/>
              </w:rPr>
              <w:t xml:space="preserve">  风险等级：★★☆☆☆（低风险，但对方若拒绝则IGA-3）</w:t>
            </w:r>
          </w:p>
          <w:p w14:paraId="1DA26C2A">
            <w:pPr>
              <w:spacing w:before="48" w:after="48"/>
            </w:pPr>
            <w:r>
              <w:rPr>
                <w:rFonts w:ascii="Arial" w:hAnsi="Arial" w:eastAsia="Arial" w:cs="Arial"/>
                <w:color w:val="222222"/>
                <w:sz w:val="21"/>
                <w:szCs w:val="21"/>
              </w:rPr>
              <w:t xml:space="preserve">  文献来源：Millstone(2009).Research Policy,38(4),624-636.独立科学机构参与可显著提升争议决策公信力</w:t>
            </w:r>
          </w:p>
          <w:p w14:paraId="13C0C4A2">
            <w:pPr>
              <w:spacing w:before="48" w:after="48"/>
            </w:pPr>
          </w:p>
          <w:p w14:paraId="6BC8EED2">
            <w:pPr>
              <w:spacing w:before="48" w:after="48"/>
            </w:pPr>
            <w:r>
              <w:rPr>
                <w:rFonts w:ascii="Arial" w:hAnsi="Arial" w:eastAsia="Arial" w:cs="Arial"/>
                <w:color w:val="222222"/>
                <w:sz w:val="21"/>
                <w:szCs w:val="21"/>
              </w:rPr>
              <w:t>选项B（RAG来源：周雪光 2013；O'Brien &amp; Li 1999）</w:t>
            </w:r>
          </w:p>
          <w:p w14:paraId="15DA0AE2">
            <w:pPr>
              <w:spacing w:before="48" w:after="48"/>
            </w:pPr>
            <w:r>
              <w:rPr>
                <w:rFonts w:ascii="Arial" w:hAnsi="Arial" w:eastAsia="Arial" w:cs="Arial"/>
                <w:color w:val="222222"/>
                <w:sz w:val="21"/>
                <w:szCs w:val="21"/>
              </w:rPr>
              <w:t xml:space="preserve">  行动文本：「拒绝第三方评估提议，改为请求地级市直接指定官方评估机构，</w:t>
            </w:r>
          </w:p>
          <w:p w14:paraId="5094C6BF">
            <w:pPr>
              <w:spacing w:before="48" w:after="48"/>
            </w:pPr>
            <w:r>
              <w:rPr>
                <w:rFonts w:ascii="Arial" w:hAnsi="Arial" w:eastAsia="Arial" w:cs="Arial"/>
                <w:color w:val="222222"/>
                <w:sz w:val="21"/>
                <w:szCs w:val="21"/>
              </w:rPr>
              <w:t xml:space="preserve">            维护行政主导的问题处置路径。」</w:t>
            </w:r>
          </w:p>
          <w:p w14:paraId="17DD713E">
            <w:pPr>
              <w:spacing w:before="48" w:after="48"/>
            </w:pPr>
            <w:r>
              <w:rPr>
                <w:rFonts w:ascii="Arial" w:hAnsi="Arial" w:eastAsia="Arial" w:cs="Arial"/>
                <w:color w:val="222222"/>
                <w:sz w:val="21"/>
                <w:szCs w:val="21"/>
              </w:rPr>
              <w:t xml:space="preserve">  行动类型：政治动员类</w:t>
            </w:r>
          </w:p>
          <w:p w14:paraId="2ED55DD4">
            <w:pPr>
              <w:spacing w:before="48" w:after="48"/>
            </w:pPr>
            <w:r>
              <w:rPr>
                <w:rFonts w:ascii="Arial" w:hAnsi="Arial" w:eastAsia="Arial" w:cs="Arial"/>
                <w:color w:val="222222"/>
                <w:sz w:val="21"/>
                <w:szCs w:val="21"/>
              </w:rPr>
              <w:t xml:space="preserve">  预期效果：CLR+3 / ARC-2 / IGA-4 / STS-1</w:t>
            </w:r>
          </w:p>
          <w:p w14:paraId="1F5C3D06">
            <w:pPr>
              <w:spacing w:before="48" w:after="48"/>
            </w:pPr>
            <w:r>
              <w:rPr>
                <w:rFonts w:ascii="Arial" w:hAnsi="Arial" w:eastAsia="Arial" w:cs="Arial"/>
                <w:color w:val="222222"/>
                <w:sz w:val="21"/>
                <w:szCs w:val="21"/>
              </w:rPr>
              <w:t xml:space="preserve">  风险等级：★★★☆☆（中等：维护上级关系但牺牲外部公信力）</w:t>
            </w:r>
          </w:p>
          <w:p w14:paraId="08924DA2">
            <w:pPr>
              <w:spacing w:before="48" w:after="48"/>
            </w:pPr>
            <w:r>
              <w:rPr>
                <w:rFonts w:ascii="Arial" w:hAnsi="Arial" w:eastAsia="Arial" w:cs="Arial"/>
                <w:color w:val="222222"/>
                <w:sz w:val="21"/>
                <w:szCs w:val="21"/>
              </w:rPr>
              <w:t xml:space="preserve">  文献来源：周雪光(2013).社会,33(2).官僚体制中技术证据被政治化处理是系统性现象</w:t>
            </w:r>
          </w:p>
          <w:p w14:paraId="59CE3AA8">
            <w:pPr>
              <w:spacing w:before="48" w:after="48"/>
            </w:pPr>
          </w:p>
          <w:p w14:paraId="51CDF134">
            <w:pPr>
              <w:spacing w:before="48" w:after="48"/>
            </w:pPr>
            <w:r>
              <w:rPr>
                <w:rFonts w:ascii="Arial" w:hAnsi="Arial" w:eastAsia="Arial" w:cs="Arial"/>
                <w:color w:val="222222"/>
                <w:sz w:val="21"/>
                <w:szCs w:val="21"/>
              </w:rPr>
              <w:t>选项C（RAG来源：Feiock 2013，Policy Studies Journal）</w:t>
            </w:r>
          </w:p>
          <w:p w14:paraId="19645BDC">
            <w:pPr>
              <w:spacing w:before="48" w:after="48"/>
            </w:pPr>
            <w:r>
              <w:rPr>
                <w:rFonts w:ascii="Arial" w:hAnsi="Arial" w:eastAsia="Arial" w:cs="Arial"/>
                <w:color w:val="222222"/>
                <w:sz w:val="21"/>
                <w:szCs w:val="21"/>
              </w:rPr>
              <w:t xml:space="preserve">  行动文本：「条件式接受：同意第三方评估，但要求双方书记联署评估委托书，</w:t>
            </w:r>
          </w:p>
          <w:p w14:paraId="7E065497">
            <w:pPr>
              <w:spacing w:before="48" w:after="48"/>
            </w:pPr>
            <w:r>
              <w:rPr>
                <w:rFonts w:ascii="Arial" w:hAnsi="Arial" w:eastAsia="Arial" w:cs="Arial"/>
                <w:color w:val="222222"/>
                <w:sz w:val="21"/>
                <w:szCs w:val="21"/>
              </w:rPr>
              <w:t xml:space="preserve">            并在评估期间暂缓一切媒体发声。」</w:t>
            </w:r>
          </w:p>
          <w:p w14:paraId="40D90D7E">
            <w:pPr>
              <w:spacing w:before="48" w:after="48"/>
            </w:pPr>
            <w:r>
              <w:rPr>
                <w:rFonts w:ascii="Arial" w:hAnsi="Arial" w:eastAsia="Arial" w:cs="Arial"/>
                <w:color w:val="222222"/>
                <w:sz w:val="21"/>
                <w:szCs w:val="21"/>
              </w:rPr>
              <w:t xml:space="preserve">  行动类型：联署合作类 + 信息管控类</w:t>
            </w:r>
          </w:p>
          <w:p w14:paraId="0A2BDD70">
            <w:pPr>
              <w:spacing w:before="48" w:after="48"/>
            </w:pPr>
            <w:r>
              <w:rPr>
                <w:rFonts w:ascii="Arial" w:hAnsi="Arial" w:eastAsia="Arial" w:cs="Arial"/>
                <w:color w:val="222222"/>
                <w:sz w:val="21"/>
                <w:szCs w:val="21"/>
              </w:rPr>
              <w:t xml:space="preserve">  预期效果：IGA+5 / CLR+2 / ARC+2 / STS（暂不变化，评估期后看结果）</w:t>
            </w:r>
          </w:p>
          <w:p w14:paraId="5FA7D19D">
            <w:pPr>
              <w:spacing w:before="48" w:after="48"/>
            </w:pPr>
            <w:r>
              <w:rPr>
                <w:rFonts w:ascii="Arial" w:hAnsi="Arial" w:eastAsia="Arial" w:cs="Arial"/>
                <w:color w:val="222222"/>
                <w:sz w:val="21"/>
                <w:szCs w:val="21"/>
              </w:rPr>
              <w:t xml:space="preserve">  风险等级：★★☆☆☆（低风险，但依赖对方配合）</w:t>
            </w:r>
          </w:p>
          <w:p w14:paraId="3749EFAD">
            <w:pPr>
              <w:spacing w:before="48" w:after="48"/>
            </w:pPr>
            <w:r>
              <w:rPr>
                <w:rFonts w:ascii="Arial" w:hAnsi="Arial" w:eastAsia="Arial" w:cs="Arial"/>
                <w:color w:val="222222"/>
                <w:sz w:val="21"/>
                <w:szCs w:val="21"/>
              </w:rPr>
              <w:t xml:space="preserve">  文献来源：Feiock(2013).Policy Studies Journal,41(3).制度性集体行动框架：联署降低协调失败概率</w:t>
            </w:r>
          </w:p>
          <w:p w14:paraId="6E6DF497">
            <w:pPr>
              <w:spacing w:before="48" w:after="48"/>
            </w:pPr>
          </w:p>
          <w:p w14:paraId="556F1495">
            <w:pPr>
              <w:spacing w:before="48" w:after="48"/>
            </w:pPr>
            <w:r>
              <w:rPr>
                <w:rFonts w:ascii="Arial" w:hAnsi="Arial" w:eastAsia="Arial" w:cs="Arial"/>
                <w:color w:val="222222"/>
                <w:sz w:val="21"/>
                <w:szCs w:val="21"/>
              </w:rPr>
              <w:t>选项D（平台预设）</w:t>
            </w:r>
          </w:p>
          <w:p w14:paraId="516C33D8">
            <w:pPr>
              <w:spacing w:before="48" w:after="48"/>
            </w:pPr>
            <w:r>
              <w:rPr>
                <w:rFonts w:ascii="Arial" w:hAnsi="Arial" w:eastAsia="Arial" w:cs="Arial"/>
                <w:color w:val="222222"/>
                <w:sz w:val="21"/>
                <w:szCs w:val="21"/>
              </w:rPr>
              <w:t xml:space="preserve">  行动文本：「暂不表态，等待清河县书记先表明立场。」</w:t>
            </w:r>
          </w:p>
          <w:p w14:paraId="1C82753C">
            <w:pPr>
              <w:spacing w:before="48" w:after="48"/>
            </w:pPr>
            <w:r>
              <w:rPr>
                <w:rFonts w:ascii="Arial" w:hAnsi="Arial" w:eastAsia="Arial" w:cs="Arial"/>
                <w:color w:val="222222"/>
                <w:sz w:val="21"/>
                <w:szCs w:val="21"/>
              </w:rPr>
              <w:t xml:space="preserve">  行动类型：延迟等待类</w:t>
            </w:r>
          </w:p>
          <w:p w14:paraId="06A712FC">
            <w:pPr>
              <w:spacing w:before="48" w:after="48"/>
            </w:pPr>
            <w:r>
              <w:rPr>
                <w:rFonts w:ascii="Arial" w:hAnsi="Arial" w:eastAsia="Arial" w:cs="Arial"/>
                <w:color w:val="222222"/>
                <w:sz w:val="21"/>
                <w:szCs w:val="21"/>
              </w:rPr>
              <w:t xml:space="preserve">  预期效果：所有维度本轮不变，但督察倒计时缩短1轮，舆情自然上升+2</w:t>
            </w:r>
          </w:p>
          <w:p w14:paraId="740504C4">
            <w:pPr>
              <w:spacing w:before="48" w:after="48"/>
            </w:pPr>
            <w:r>
              <w:rPr>
                <w:rFonts w:ascii="Arial" w:hAnsi="Arial" w:eastAsia="Arial" w:cs="Arial"/>
                <w:color w:val="222222"/>
                <w:sz w:val="21"/>
                <w:szCs w:val="21"/>
              </w:rPr>
              <w:t xml:space="preserve">  风险等级：★★★★☆（高风险：主动权丧失）</w:t>
            </w:r>
          </w:p>
          <w:p w14:paraId="618184F7">
            <w:pPr>
              <w:spacing w:before="48" w:after="48"/>
            </w:pPr>
          </w:p>
          <w:p w14:paraId="069DBF39">
            <w:pPr>
              <w:spacing w:before="48" w:after="48"/>
            </w:pPr>
            <w:r>
              <w:rPr>
                <w:rFonts w:ascii="Arial" w:hAnsi="Arial" w:eastAsia="Arial" w:cs="Arial"/>
                <w:color w:val="222222"/>
                <w:sz w:val="21"/>
                <w:szCs w:val="21"/>
              </w:rPr>
              <w:t>【玩家可自定义选项入口】</w:t>
            </w:r>
          </w:p>
          <w:p w14:paraId="131AD55A">
            <w:pPr>
              <w:spacing w:before="48" w:after="48"/>
            </w:pPr>
            <w:r>
              <w:rPr>
                <w:rFonts w:ascii="Arial" w:hAnsi="Arial" w:eastAsia="Arial" w:cs="Arial"/>
                <w:color w:val="222222"/>
                <w:sz w:val="21"/>
                <w:szCs w:val="21"/>
              </w:rPr>
              <w:t xml:space="preserve">  玩家可以点击「提交自定义行动方案」，输入300字以内的行动描述。</w:t>
            </w:r>
          </w:p>
          <w:p w14:paraId="69431E50">
            <w:pPr>
              <w:spacing w:before="48" w:after="48"/>
            </w:pPr>
            <w:r>
              <w:rPr>
                <w:rFonts w:ascii="Arial" w:hAnsi="Arial" w:eastAsia="Arial" w:cs="Arial"/>
                <w:color w:val="222222"/>
                <w:sz w:val="21"/>
                <w:szCs w:val="21"/>
              </w:rPr>
              <w:t xml:space="preserve">  平台制度合规验证器将检查：①是否在角色权限范围内；②是否违反M3府际关系的属地管理硬约束；</w:t>
            </w:r>
          </w:p>
          <w:p w14:paraId="2E0B2C1C">
            <w:pPr>
              <w:spacing w:before="48" w:after="48"/>
            </w:pPr>
            <w:r>
              <w:rPr>
                <w:rFonts w:ascii="Arial" w:hAnsi="Arial" w:eastAsia="Arial" w:cs="Arial"/>
                <w:color w:val="222222"/>
                <w:sz w:val="21"/>
                <w:szCs w:val="21"/>
              </w:rPr>
              <w:t xml:space="preserve">  ③是否具备当前情境下的可行性（基于参数状态验证）。</w:t>
            </w:r>
          </w:p>
          <w:p w14:paraId="4BEBFA76">
            <w:pPr>
              <w:spacing w:before="48" w:after="48"/>
            </w:pPr>
            <w:r>
              <w:rPr>
                <w:rFonts w:ascii="Arial" w:hAnsi="Arial" w:eastAsia="Arial" w:cs="Arial"/>
                <w:color w:val="222222"/>
                <w:sz w:val="21"/>
                <w:szCs w:val="21"/>
              </w:rPr>
              <w:t xml:space="preserve">  通过验证的自定义选项将与RAG生成选项并列展示，用不同颜色标识区分来源。</w:t>
            </w:r>
          </w:p>
        </w:tc>
      </w:tr>
    </w:tbl>
    <w:p w14:paraId="2A7DE7B1">
      <w:pPr>
        <w:spacing w:before="120" w:after="120"/>
      </w:pPr>
    </w:p>
    <w:p w14:paraId="7AD8C4AF">
      <w:pPr>
        <w:pStyle w:val="3"/>
        <w:spacing w:before="320" w:after="140"/>
      </w:pPr>
      <w:r>
        <w:rPr>
          <w:rFonts w:ascii="Arial" w:hAnsi="Arial" w:eastAsia="Arial" w:cs="Arial"/>
          <w:b/>
          <w:bCs/>
          <w:color w:val="174A7E"/>
          <w:sz w:val="25"/>
          <w:szCs w:val="25"/>
        </w:rPr>
        <w:t>10.6 事件卡库设计（清河记专项，共20张）</w:t>
      </w:r>
    </w:p>
    <w:p w14:paraId="2735BF10">
      <w:pPr>
        <w:spacing w:before="80" w:after="80"/>
        <w:jc w:val="both"/>
      </w:pPr>
      <w:r>
        <w:rPr>
          <w:rFonts w:ascii="Arial" w:hAnsi="Arial" w:eastAsia="Arial" w:cs="Arial"/>
          <w:b w:val="0"/>
          <w:bCs w:val="0"/>
          <w:color w:val="111111"/>
          <w:sz w:val="22"/>
          <w:szCs w:val="22"/>
        </w:rPr>
        <w:t>事件卡是推演剧情走向的主要驱动力，分为必发事件（条件满足即触发）和随机事件（概率触发）。教师可在此基础上增删，也可以完全替换为自己设计的事件卡。以下展示8张核心必发事件和4张典型随机事件的设计规范。</w:t>
      </w:r>
    </w:p>
    <w:p w14:paraId="52798804">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5"/>
        <w:gridCol w:w="2790"/>
        <w:gridCol w:w="1109"/>
        <w:gridCol w:w="802"/>
        <w:gridCol w:w="1452"/>
        <w:gridCol w:w="2362"/>
      </w:tblGrid>
      <w:tr w14:paraId="79CE5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4"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4009871C">
            <w:pPr>
              <w:spacing w:before="36" w:after="36"/>
              <w:jc w:val="center"/>
            </w:pPr>
            <w:r>
              <w:rPr>
                <w:rFonts w:ascii="Arial" w:hAnsi="Arial" w:eastAsia="Arial" w:cs="Arial"/>
                <w:b/>
                <w:bCs/>
                <w:color w:val="FFFFFF"/>
                <w:sz w:val="19"/>
                <w:szCs w:val="19"/>
              </w:rPr>
              <w:t>事件名称</w:t>
            </w:r>
          </w:p>
        </w:tc>
        <w:tc>
          <w:tcPr>
            <w:tcW w:w="672"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80A915D">
            <w:pPr>
              <w:spacing w:before="36" w:after="36"/>
              <w:jc w:val="center"/>
            </w:pPr>
            <w:r>
              <w:rPr>
                <w:rFonts w:ascii="Arial" w:hAnsi="Arial" w:eastAsia="Arial" w:cs="Arial"/>
                <w:b/>
                <w:bCs/>
                <w:color w:val="FFFFFF"/>
                <w:sz w:val="19"/>
                <w:szCs w:val="19"/>
              </w:rPr>
              <w:t>类型</w:t>
            </w:r>
          </w:p>
        </w:tc>
        <w:tc>
          <w:tcPr>
            <w:tcW w:w="1567"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0472AE4">
            <w:pPr>
              <w:spacing w:before="36" w:after="36"/>
              <w:jc w:val="center"/>
            </w:pPr>
            <w:r>
              <w:rPr>
                <w:rFonts w:ascii="Arial" w:hAnsi="Arial" w:eastAsia="Arial" w:cs="Arial"/>
                <w:b/>
                <w:bCs/>
                <w:color w:val="FFFFFF"/>
                <w:sz w:val="19"/>
                <w:szCs w:val="19"/>
              </w:rPr>
              <w:t>触发条件</w:t>
            </w:r>
          </w:p>
        </w:tc>
        <w:tc>
          <w:tcPr>
            <w:tcW w:w="1344"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7E23FE7">
            <w:pPr>
              <w:spacing w:before="36" w:after="36"/>
              <w:jc w:val="center"/>
            </w:pPr>
            <w:r>
              <w:rPr>
                <w:rFonts w:ascii="Arial" w:hAnsi="Arial" w:eastAsia="Arial" w:cs="Arial"/>
                <w:b/>
                <w:bCs/>
                <w:color w:val="FFFFFF"/>
                <w:sz w:val="19"/>
                <w:szCs w:val="19"/>
              </w:rPr>
              <w:t>接收对象</w:t>
            </w:r>
          </w:p>
        </w:tc>
        <w:tc>
          <w:tcPr>
            <w:tcW w:w="2799"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F16F467">
            <w:pPr>
              <w:spacing w:before="36" w:after="36"/>
              <w:jc w:val="center"/>
            </w:pPr>
            <w:r>
              <w:rPr>
                <w:rFonts w:ascii="Arial" w:hAnsi="Arial" w:eastAsia="Arial" w:cs="Arial"/>
                <w:b/>
                <w:bCs/>
                <w:color w:val="FFFFFF"/>
                <w:sz w:val="19"/>
                <w:szCs w:val="19"/>
              </w:rPr>
              <w:t>事件内容摘要</w:t>
            </w:r>
          </w:p>
        </w:tc>
        <w:tc>
          <w:tcPr>
            <w:tcW w:w="1634"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7E4C4B2">
            <w:pPr>
              <w:spacing w:before="36" w:after="36"/>
              <w:jc w:val="center"/>
            </w:pPr>
            <w:r>
              <w:rPr>
                <w:rFonts w:ascii="Arial" w:hAnsi="Arial" w:eastAsia="Arial" w:cs="Arial"/>
                <w:b/>
                <w:bCs/>
                <w:color w:val="FFFFFF"/>
                <w:sz w:val="19"/>
                <w:szCs w:val="19"/>
              </w:rPr>
              <w:t>立即指标效果</w:t>
            </w:r>
          </w:p>
        </w:tc>
      </w:tr>
      <w:tr w14:paraId="4496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5D45407">
            <w:pPr>
              <w:spacing w:before="36" w:after="36"/>
              <w:jc w:val="left"/>
            </w:pPr>
            <w:r>
              <w:rPr>
                <w:rFonts w:ascii="Arial" w:hAnsi="Arial" w:eastAsia="Arial" w:cs="Arial"/>
                <w:color w:val="222222"/>
                <w:sz w:val="20"/>
                <w:szCs w:val="20"/>
              </w:rPr>
              <w:t>省级通报预警</w:t>
            </w:r>
          </w:p>
        </w:tc>
        <w:tc>
          <w:tcPr>
            <w:tcW w:w="67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BF4CC81">
            <w:pPr>
              <w:spacing w:before="36" w:after="36"/>
              <w:jc w:val="left"/>
            </w:pPr>
            <w:r>
              <w:rPr>
                <w:rFonts w:ascii="Arial" w:hAnsi="Arial" w:eastAsia="Arial" w:cs="Arial"/>
                <w:color w:val="222222"/>
                <w:sz w:val="20"/>
                <w:szCs w:val="20"/>
              </w:rPr>
              <w:t>必发</w:t>
            </w:r>
          </w:p>
        </w:tc>
        <w:tc>
          <w:tcPr>
            <w:tcW w:w="156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CAD9BF7">
            <w:pPr>
              <w:spacing w:before="36" w:after="36"/>
              <w:jc w:val="left"/>
            </w:pPr>
            <w:r>
              <w:rPr>
                <w:rFonts w:ascii="Arial" w:hAnsi="Arial" w:eastAsia="Arial" w:cs="Arial"/>
                <w:color w:val="222222"/>
                <w:sz w:val="20"/>
                <w:szCs w:val="20"/>
              </w:rPr>
              <w:t>阶段2结束时，若联署行动仍为0</w:t>
            </w:r>
          </w:p>
        </w:tc>
        <w:tc>
          <w:tcPr>
            <w:tcW w:w="134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1A27DDE">
            <w:pPr>
              <w:spacing w:before="36" w:after="36"/>
              <w:jc w:val="left"/>
            </w:pPr>
            <w:r>
              <w:rPr>
                <w:rFonts w:ascii="Arial" w:hAnsi="Arial" w:eastAsia="Arial" w:cs="Arial"/>
                <w:color w:val="222222"/>
                <w:sz w:val="20"/>
                <w:szCs w:val="20"/>
              </w:rPr>
              <w:t>全体角色</w:t>
            </w:r>
          </w:p>
        </w:tc>
        <w:tc>
          <w:tcPr>
            <w:tcW w:w="2799"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C17DDFB">
            <w:pPr>
              <w:spacing w:before="36" w:after="36"/>
              <w:jc w:val="left"/>
            </w:pPr>
            <w:r>
              <w:rPr>
                <w:rFonts w:ascii="Arial" w:hAnsi="Arial" w:eastAsia="Arial" w:cs="Arial"/>
                <w:color w:val="222222"/>
                <w:sz w:val="20"/>
                <w:szCs w:val="20"/>
              </w:rPr>
              <w:t>省生态环境厅发出内部预警函：本跨界事件已引起厅长关注，要求一周内形成处置报告。</w:t>
            </w:r>
          </w:p>
        </w:tc>
        <w:tc>
          <w:tcPr>
            <w:tcW w:w="163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83E144A">
            <w:pPr>
              <w:spacing w:before="36" w:after="36"/>
              <w:jc w:val="left"/>
            </w:pPr>
            <w:r>
              <w:rPr>
                <w:rFonts w:ascii="Arial" w:hAnsi="Arial" w:eastAsia="Arial" w:cs="Arial"/>
                <w:color w:val="222222"/>
                <w:sz w:val="20"/>
                <w:szCs w:val="20"/>
              </w:rPr>
              <w:t>accountability_pressure自动+2</w:t>
            </w:r>
          </w:p>
        </w:tc>
      </w:tr>
      <w:tr w14:paraId="0FA24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788D0B7">
            <w:pPr>
              <w:spacing w:before="36" w:after="36"/>
              <w:jc w:val="left"/>
            </w:pPr>
            <w:r>
              <w:rPr>
                <w:rFonts w:ascii="Arial" w:hAnsi="Arial" w:eastAsia="Arial" w:cs="Arial"/>
                <w:color w:val="222222"/>
                <w:sz w:val="20"/>
                <w:szCs w:val="20"/>
              </w:rPr>
              <w:t>企业游说</w:t>
            </w:r>
          </w:p>
        </w:tc>
        <w:tc>
          <w:tcPr>
            <w:tcW w:w="67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5E10CF1">
            <w:pPr>
              <w:spacing w:before="36" w:after="36"/>
              <w:jc w:val="left"/>
            </w:pPr>
            <w:r>
              <w:rPr>
                <w:rFonts w:ascii="Arial" w:hAnsi="Arial" w:eastAsia="Arial" w:cs="Arial"/>
                <w:color w:val="222222"/>
                <w:sz w:val="20"/>
                <w:szCs w:val="20"/>
              </w:rPr>
              <w:t>必发</w:t>
            </w:r>
          </w:p>
        </w:tc>
        <w:tc>
          <w:tcPr>
            <w:tcW w:w="156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C1BD6E7">
            <w:pPr>
              <w:spacing w:before="36" w:after="36"/>
              <w:jc w:val="left"/>
            </w:pPr>
            <w:r>
              <w:rPr>
                <w:rFonts w:ascii="Arial" w:hAnsi="Arial" w:eastAsia="Arial" w:cs="Arial"/>
                <w:color w:val="222222"/>
                <w:sz w:val="20"/>
                <w:szCs w:val="20"/>
              </w:rPr>
              <w:t>阶段2，清河县委书记独占</w:t>
            </w:r>
          </w:p>
        </w:tc>
        <w:tc>
          <w:tcPr>
            <w:tcW w:w="134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650DDBD">
            <w:pPr>
              <w:spacing w:before="36" w:after="36"/>
              <w:jc w:val="left"/>
            </w:pPr>
            <w:r>
              <w:rPr>
                <w:rFonts w:ascii="Arial" w:hAnsi="Arial" w:eastAsia="Arial" w:cs="Arial"/>
                <w:color w:val="222222"/>
                <w:sz w:val="20"/>
                <w:szCs w:val="20"/>
              </w:rPr>
              <w:t>清河县委书记（独占）</w:t>
            </w:r>
          </w:p>
        </w:tc>
        <w:tc>
          <w:tcPr>
            <w:tcW w:w="2799"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D6ECD70">
            <w:pPr>
              <w:spacing w:before="36" w:after="36"/>
              <w:jc w:val="left"/>
            </w:pPr>
            <w:r>
              <w:rPr>
                <w:rFonts w:ascii="Arial" w:hAnsi="Arial" w:eastAsia="Arial" w:cs="Arial"/>
                <w:color w:val="222222"/>
                <w:sz w:val="20"/>
                <w:szCs w:val="20"/>
              </w:rPr>
              <w:t>清化精工法人代表秘密约见书记，表示若配合拖延可提供"捐赠资金"用于县里某个基础设施项目。</w:t>
            </w:r>
          </w:p>
        </w:tc>
        <w:tc>
          <w:tcPr>
            <w:tcW w:w="163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117F575">
            <w:pPr>
              <w:spacing w:before="36" w:after="36"/>
              <w:jc w:val="left"/>
            </w:pPr>
            <w:r>
              <w:rPr>
                <w:rFonts w:ascii="Arial" w:hAnsi="Arial" w:eastAsia="Arial" w:cs="Arial"/>
                <w:color w:val="222222"/>
                <w:sz w:val="20"/>
                <w:szCs w:val="20"/>
              </w:rPr>
              <w:t>清河县委书记面临高风险选择卡（拒绝/接受），接受则ARC-20且后续被发现触发问责惩罚×2</w:t>
            </w:r>
          </w:p>
        </w:tc>
      </w:tr>
      <w:tr w14:paraId="5A73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EC55793">
            <w:pPr>
              <w:spacing w:before="36" w:after="36"/>
              <w:jc w:val="left"/>
            </w:pPr>
            <w:r>
              <w:rPr>
                <w:rFonts w:ascii="Arial" w:hAnsi="Arial" w:eastAsia="Arial" w:cs="Arial"/>
                <w:color w:val="222222"/>
                <w:sz w:val="20"/>
                <w:szCs w:val="20"/>
              </w:rPr>
              <w:t>媒体爆料</w:t>
            </w:r>
          </w:p>
        </w:tc>
        <w:tc>
          <w:tcPr>
            <w:tcW w:w="67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7D1DD01">
            <w:pPr>
              <w:spacing w:before="36" w:after="36"/>
              <w:jc w:val="left"/>
            </w:pPr>
            <w:r>
              <w:rPr>
                <w:rFonts w:ascii="Arial" w:hAnsi="Arial" w:eastAsia="Arial" w:cs="Arial"/>
                <w:color w:val="222222"/>
                <w:sz w:val="20"/>
                <w:szCs w:val="20"/>
              </w:rPr>
              <w:t>必发</w:t>
            </w:r>
          </w:p>
        </w:tc>
        <w:tc>
          <w:tcPr>
            <w:tcW w:w="156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E1A3B38">
            <w:pPr>
              <w:spacing w:before="36" w:after="36"/>
              <w:jc w:val="left"/>
            </w:pPr>
            <w:r>
              <w:rPr>
                <w:rFonts w:ascii="Arial" w:hAnsi="Arial" w:eastAsia="Arial" w:cs="Arial"/>
                <w:color w:val="222222"/>
                <w:sz w:val="20"/>
                <w:szCs w:val="20"/>
              </w:rPr>
              <w:t>阶段2，舆情热度&gt;45</w:t>
            </w:r>
          </w:p>
        </w:tc>
        <w:tc>
          <w:tcPr>
            <w:tcW w:w="134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838F6EB">
            <w:pPr>
              <w:spacing w:before="36" w:after="36"/>
              <w:jc w:val="left"/>
            </w:pPr>
            <w:r>
              <w:rPr>
                <w:rFonts w:ascii="Arial" w:hAnsi="Arial" w:eastAsia="Arial" w:cs="Arial"/>
                <w:color w:val="222222"/>
                <w:sz w:val="20"/>
                <w:szCs w:val="20"/>
              </w:rPr>
              <w:t>全体角色（公开频道）</w:t>
            </w:r>
          </w:p>
        </w:tc>
        <w:tc>
          <w:tcPr>
            <w:tcW w:w="2799"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C76DBC3">
            <w:pPr>
              <w:spacing w:before="36" w:after="36"/>
              <w:jc w:val="left"/>
            </w:pPr>
            <w:r>
              <w:rPr>
                <w:rFonts w:ascii="Arial" w:hAnsi="Arial" w:eastAsia="Arial" w:cs="Arial"/>
                <w:color w:val="222222"/>
                <w:sz w:val="20"/>
                <w:szCs w:val="20"/>
              </w:rPr>
              <w:t>市场化媒体发布深度报道，引用"知情人士"说法，点名清化精工，并披露水源县检测数据压缩情况。</w:t>
            </w:r>
          </w:p>
        </w:tc>
        <w:tc>
          <w:tcPr>
            <w:tcW w:w="163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1E0A274">
            <w:pPr>
              <w:spacing w:before="36" w:after="36"/>
              <w:jc w:val="left"/>
            </w:pPr>
            <w:r>
              <w:rPr>
                <w:rFonts w:ascii="Arial" w:hAnsi="Arial" w:eastAsia="Arial" w:cs="Arial"/>
                <w:color w:val="222222"/>
                <w:sz w:val="20"/>
                <w:szCs w:val="20"/>
              </w:rPr>
              <w:t>STS-8，舆情热度+25，宣传部长面临信息管控选择</w:t>
            </w:r>
          </w:p>
        </w:tc>
      </w:tr>
      <w:tr w14:paraId="0878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65C5537">
            <w:pPr>
              <w:spacing w:before="36" w:after="36"/>
              <w:jc w:val="left"/>
            </w:pPr>
            <w:r>
              <w:rPr>
                <w:rFonts w:ascii="Arial" w:hAnsi="Arial" w:eastAsia="Arial" w:cs="Arial"/>
                <w:color w:val="222222"/>
                <w:sz w:val="20"/>
                <w:szCs w:val="20"/>
              </w:rPr>
              <w:t>村民自发行动</w:t>
            </w:r>
          </w:p>
        </w:tc>
        <w:tc>
          <w:tcPr>
            <w:tcW w:w="67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C65EE98">
            <w:pPr>
              <w:spacing w:before="36" w:after="36"/>
              <w:jc w:val="left"/>
            </w:pPr>
            <w:r>
              <w:rPr>
                <w:rFonts w:ascii="Arial" w:hAnsi="Arial" w:eastAsia="Arial" w:cs="Arial"/>
                <w:color w:val="222222"/>
                <w:sz w:val="20"/>
                <w:szCs w:val="20"/>
              </w:rPr>
              <w:t>必发</w:t>
            </w:r>
          </w:p>
        </w:tc>
        <w:tc>
          <w:tcPr>
            <w:tcW w:w="156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C1AAA3A">
            <w:pPr>
              <w:spacing w:before="36" w:after="36"/>
              <w:jc w:val="left"/>
            </w:pPr>
            <w:r>
              <w:rPr>
                <w:rFonts w:ascii="Arial" w:hAnsi="Arial" w:eastAsia="Arial" w:cs="Arial"/>
                <w:color w:val="222222"/>
                <w:sz w:val="20"/>
                <w:szCs w:val="20"/>
              </w:rPr>
              <w:t>阶段3，STS&lt;40</w:t>
            </w:r>
          </w:p>
        </w:tc>
        <w:tc>
          <w:tcPr>
            <w:tcW w:w="134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FB7F9E5">
            <w:pPr>
              <w:spacing w:before="36" w:after="36"/>
              <w:jc w:val="left"/>
            </w:pPr>
            <w:r>
              <w:rPr>
                <w:rFonts w:ascii="Arial" w:hAnsi="Arial" w:eastAsia="Arial" w:cs="Arial"/>
                <w:color w:val="222222"/>
                <w:sz w:val="20"/>
                <w:szCs w:val="20"/>
              </w:rPr>
              <w:t>全体角色（公开频道）</w:t>
            </w:r>
          </w:p>
        </w:tc>
        <w:tc>
          <w:tcPr>
            <w:tcW w:w="2799"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871622E">
            <w:pPr>
              <w:spacing w:before="36" w:after="36"/>
              <w:jc w:val="left"/>
            </w:pPr>
            <w:r>
              <w:rPr>
                <w:rFonts w:ascii="Arial" w:hAnsi="Arial" w:eastAsia="Arial" w:cs="Arial"/>
                <w:color w:val="222222"/>
                <w:sz w:val="20"/>
                <w:szCs w:val="20"/>
              </w:rPr>
              <w:t>水源县下游两个自然村约200名村民自发聚集至县政府门口，要求政府给出答复，信访局干事已到场维稳。</w:t>
            </w:r>
          </w:p>
        </w:tc>
        <w:tc>
          <w:tcPr>
            <w:tcW w:w="163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82081AE">
            <w:pPr>
              <w:spacing w:before="36" w:after="36"/>
              <w:jc w:val="left"/>
            </w:pPr>
            <w:r>
              <w:rPr>
                <w:rFonts w:ascii="Arial" w:hAnsi="Arial" w:eastAsia="Arial" w:cs="Arial"/>
                <w:color w:val="222222"/>
                <w:sz w:val="20"/>
                <w:szCs w:val="20"/>
              </w:rPr>
              <w:t>STS-12，PSR紧迫性+1级，宣传部长和信访局干事触发特殊选择卡</w:t>
            </w:r>
          </w:p>
        </w:tc>
      </w:tr>
      <w:tr w14:paraId="5F7D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D88A06D">
            <w:pPr>
              <w:spacing w:before="36" w:after="36"/>
              <w:jc w:val="left"/>
            </w:pPr>
            <w:r>
              <w:rPr>
                <w:rFonts w:ascii="Arial" w:hAnsi="Arial" w:eastAsia="Arial" w:cs="Arial"/>
                <w:color w:val="222222"/>
                <w:sz w:val="20"/>
                <w:szCs w:val="20"/>
              </w:rPr>
              <w:t>NGO公开报告</w:t>
            </w:r>
          </w:p>
        </w:tc>
        <w:tc>
          <w:tcPr>
            <w:tcW w:w="67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583FDB1">
            <w:pPr>
              <w:spacing w:before="36" w:after="36"/>
              <w:jc w:val="left"/>
            </w:pPr>
            <w:r>
              <w:rPr>
                <w:rFonts w:ascii="Arial" w:hAnsi="Arial" w:eastAsia="Arial" w:cs="Arial"/>
                <w:color w:val="222222"/>
                <w:sz w:val="20"/>
                <w:szCs w:val="20"/>
              </w:rPr>
              <w:t>必发</w:t>
            </w:r>
          </w:p>
        </w:tc>
        <w:tc>
          <w:tcPr>
            <w:tcW w:w="156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FA28163">
            <w:pPr>
              <w:spacing w:before="36" w:after="36"/>
              <w:jc w:val="left"/>
            </w:pPr>
            <w:r>
              <w:rPr>
                <w:rFonts w:ascii="Arial" w:hAnsi="Arial" w:eastAsia="Arial" w:cs="Arial"/>
                <w:color w:val="222222"/>
                <w:sz w:val="20"/>
                <w:szCs w:val="20"/>
              </w:rPr>
              <w:t>阶段3，若NGO玩家/NPC之前已提交自测数据</w:t>
            </w:r>
          </w:p>
        </w:tc>
        <w:tc>
          <w:tcPr>
            <w:tcW w:w="134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304F5AC">
            <w:pPr>
              <w:spacing w:before="36" w:after="36"/>
              <w:jc w:val="left"/>
            </w:pPr>
            <w:r>
              <w:rPr>
                <w:rFonts w:ascii="Arial" w:hAnsi="Arial" w:eastAsia="Arial" w:cs="Arial"/>
                <w:color w:val="222222"/>
                <w:sz w:val="20"/>
                <w:szCs w:val="20"/>
              </w:rPr>
              <w:t>全体角色（公开频道）</w:t>
            </w:r>
          </w:p>
        </w:tc>
        <w:tc>
          <w:tcPr>
            <w:tcW w:w="2799"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91F8A06">
            <w:pPr>
              <w:spacing w:before="36" w:after="36"/>
              <w:jc w:val="left"/>
            </w:pPr>
            <w:r>
              <w:rPr>
                <w:rFonts w:ascii="Arial" w:hAnsi="Arial" w:eastAsia="Arial" w:cs="Arial"/>
                <w:color w:val="222222"/>
                <w:sz w:val="20"/>
                <w:szCs w:val="20"/>
              </w:rPr>
              <w:t>水源绿源环保中心向媒体和政府双渠道提交独立检测报告，数据详细，含照片和采样记录，公信力较高。</w:t>
            </w:r>
          </w:p>
        </w:tc>
        <w:tc>
          <w:tcPr>
            <w:tcW w:w="163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9B23C2B">
            <w:pPr>
              <w:spacing w:before="36" w:after="36"/>
              <w:jc w:val="left"/>
            </w:pPr>
            <w:r>
              <w:rPr>
                <w:rFonts w:ascii="Arial" w:hAnsi="Arial" w:eastAsia="Arial" w:cs="Arial"/>
                <w:color w:val="222222"/>
                <w:sz w:val="20"/>
                <w:szCs w:val="20"/>
              </w:rPr>
              <w:t>ARC+3（推动执法依据建立），STS+5（公众认可NGO行动），清河方压力倍增</w:t>
            </w:r>
          </w:p>
        </w:tc>
      </w:tr>
      <w:tr w14:paraId="16F93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2660B58">
            <w:pPr>
              <w:spacing w:before="36" w:after="36"/>
              <w:jc w:val="left"/>
            </w:pPr>
            <w:r>
              <w:rPr>
                <w:rFonts w:ascii="Arial" w:hAnsi="Arial" w:eastAsia="Arial" w:cs="Arial"/>
                <w:color w:val="222222"/>
                <w:sz w:val="20"/>
                <w:szCs w:val="20"/>
              </w:rPr>
              <w:t>上级约谈通知</w:t>
            </w:r>
          </w:p>
        </w:tc>
        <w:tc>
          <w:tcPr>
            <w:tcW w:w="67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B39AC2E">
            <w:pPr>
              <w:spacing w:before="36" w:after="36"/>
              <w:jc w:val="left"/>
            </w:pPr>
            <w:r>
              <w:rPr>
                <w:rFonts w:ascii="Arial" w:hAnsi="Arial" w:eastAsia="Arial" w:cs="Arial"/>
                <w:color w:val="222222"/>
                <w:sz w:val="20"/>
                <w:szCs w:val="20"/>
              </w:rPr>
              <w:t>必发</w:t>
            </w:r>
          </w:p>
        </w:tc>
        <w:tc>
          <w:tcPr>
            <w:tcW w:w="156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0FA1150">
            <w:pPr>
              <w:spacing w:before="36" w:after="36"/>
              <w:jc w:val="left"/>
            </w:pPr>
            <w:r>
              <w:rPr>
                <w:rFonts w:ascii="Arial" w:hAnsi="Arial" w:eastAsia="Arial" w:cs="Arial"/>
                <w:color w:val="222222"/>
                <w:sz w:val="20"/>
                <w:szCs w:val="20"/>
              </w:rPr>
              <w:t>阶段4前，若双方仍未完成联署</w:t>
            </w:r>
          </w:p>
        </w:tc>
        <w:tc>
          <w:tcPr>
            <w:tcW w:w="134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9A61582">
            <w:pPr>
              <w:spacing w:before="36" w:after="36"/>
              <w:jc w:val="left"/>
            </w:pPr>
            <w:r>
              <w:rPr>
                <w:rFonts w:ascii="Arial" w:hAnsi="Arial" w:eastAsia="Arial" w:cs="Arial"/>
                <w:color w:val="222222"/>
                <w:sz w:val="20"/>
                <w:szCs w:val="20"/>
              </w:rPr>
              <w:t>水源县委书记和清河县委书记（独占）</w:t>
            </w:r>
          </w:p>
        </w:tc>
        <w:tc>
          <w:tcPr>
            <w:tcW w:w="2799"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6E06FC7">
            <w:pPr>
              <w:spacing w:before="36" w:after="36"/>
              <w:jc w:val="left"/>
            </w:pPr>
            <w:r>
              <w:rPr>
                <w:rFonts w:ascii="Arial" w:hAnsi="Arial" w:eastAsia="Arial" w:cs="Arial"/>
                <w:color w:val="222222"/>
                <w:sz w:val="20"/>
                <w:szCs w:val="20"/>
              </w:rPr>
              <w:t>市委书记秘书分别通知两位书记：本周五下午赴市委汇报处置进展，建议携带书面方案。</w:t>
            </w:r>
          </w:p>
        </w:tc>
        <w:tc>
          <w:tcPr>
            <w:tcW w:w="163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B9E445D">
            <w:pPr>
              <w:spacing w:before="36" w:after="36"/>
              <w:jc w:val="left"/>
            </w:pPr>
            <w:r>
              <w:rPr>
                <w:rFonts w:ascii="Arial" w:hAnsi="Arial" w:eastAsia="Arial" w:cs="Arial"/>
                <w:color w:val="222222"/>
                <w:sz w:val="20"/>
                <w:szCs w:val="20"/>
              </w:rPr>
              <w:t>CLR危机提示（若无方案则CLR-15）</w:t>
            </w:r>
          </w:p>
        </w:tc>
      </w:tr>
      <w:tr w14:paraId="2DBFF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EC9D45C">
            <w:pPr>
              <w:spacing w:before="36" w:after="36"/>
              <w:jc w:val="left"/>
            </w:pPr>
            <w:r>
              <w:rPr>
                <w:rFonts w:ascii="Arial" w:hAnsi="Arial" w:eastAsia="Arial" w:cs="Arial"/>
                <w:color w:val="222222"/>
                <w:sz w:val="20"/>
                <w:szCs w:val="20"/>
              </w:rPr>
              <w:t>技术评估结论</w:t>
            </w:r>
          </w:p>
        </w:tc>
        <w:tc>
          <w:tcPr>
            <w:tcW w:w="67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AB321FE">
            <w:pPr>
              <w:spacing w:before="36" w:after="36"/>
              <w:jc w:val="left"/>
            </w:pPr>
            <w:r>
              <w:rPr>
                <w:rFonts w:ascii="Arial" w:hAnsi="Arial" w:eastAsia="Arial" w:cs="Arial"/>
                <w:color w:val="222222"/>
                <w:sz w:val="20"/>
                <w:szCs w:val="20"/>
              </w:rPr>
              <w:t>必发</w:t>
            </w:r>
          </w:p>
        </w:tc>
        <w:tc>
          <w:tcPr>
            <w:tcW w:w="156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F147AC2">
            <w:pPr>
              <w:spacing w:before="36" w:after="36"/>
              <w:jc w:val="left"/>
            </w:pPr>
            <w:r>
              <w:rPr>
                <w:rFonts w:ascii="Arial" w:hAnsi="Arial" w:eastAsia="Arial" w:cs="Arial"/>
                <w:color w:val="222222"/>
                <w:sz w:val="20"/>
                <w:szCs w:val="20"/>
              </w:rPr>
              <w:t>仅当D2.2中选择了第三方评估选项后，阶段4触发</w:t>
            </w:r>
          </w:p>
        </w:tc>
        <w:tc>
          <w:tcPr>
            <w:tcW w:w="134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6BB9484">
            <w:pPr>
              <w:spacing w:before="36" w:after="36"/>
              <w:jc w:val="left"/>
            </w:pPr>
            <w:r>
              <w:rPr>
                <w:rFonts w:ascii="Arial" w:hAnsi="Arial" w:eastAsia="Arial" w:cs="Arial"/>
                <w:color w:val="222222"/>
                <w:sz w:val="20"/>
                <w:szCs w:val="20"/>
              </w:rPr>
              <w:t>全体角色（公开频道）</w:t>
            </w:r>
          </w:p>
        </w:tc>
        <w:tc>
          <w:tcPr>
            <w:tcW w:w="2799"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A0887E8">
            <w:pPr>
              <w:spacing w:before="36" w:after="36"/>
              <w:jc w:val="left"/>
            </w:pPr>
            <w:r>
              <w:rPr>
                <w:rFonts w:ascii="Arial" w:hAnsi="Arial" w:eastAsia="Arial" w:cs="Arial"/>
                <w:color w:val="222222"/>
                <w:sz w:val="20"/>
                <w:szCs w:val="20"/>
              </w:rPr>
              <w:t>高校评估团队发布技术结论：主要污染源为清河县工业区，特征污染物与清化精工生产工序完全吻合，置信度92%。</w:t>
            </w:r>
          </w:p>
        </w:tc>
        <w:tc>
          <w:tcPr>
            <w:tcW w:w="163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FB890F9">
            <w:pPr>
              <w:spacing w:before="36" w:after="36"/>
              <w:jc w:val="left"/>
            </w:pPr>
            <w:r>
              <w:rPr>
                <w:rFonts w:ascii="Arial" w:hAnsi="Arial" w:eastAsia="Arial" w:cs="Arial"/>
                <w:color w:val="222222"/>
                <w:sz w:val="20"/>
                <w:szCs w:val="20"/>
              </w:rPr>
              <w:t>ARC+8（证据链完整），PSR+6（责任归属明确），清河方进入高压决策阶段</w:t>
            </w:r>
          </w:p>
        </w:tc>
      </w:tr>
      <w:tr w14:paraId="2453B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DA3B659">
            <w:pPr>
              <w:spacing w:before="36" w:after="36"/>
              <w:jc w:val="left"/>
            </w:pPr>
            <w:r>
              <w:rPr>
                <w:rFonts w:ascii="Arial" w:hAnsi="Arial" w:eastAsia="Arial" w:cs="Arial"/>
                <w:color w:val="222222"/>
                <w:sz w:val="20"/>
                <w:szCs w:val="20"/>
              </w:rPr>
              <w:t>历史数据泄露</w:t>
            </w:r>
          </w:p>
        </w:tc>
        <w:tc>
          <w:tcPr>
            <w:tcW w:w="67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C8F32AB">
            <w:pPr>
              <w:spacing w:before="36" w:after="36"/>
              <w:jc w:val="left"/>
            </w:pPr>
            <w:r>
              <w:rPr>
                <w:rFonts w:ascii="Arial" w:hAnsi="Arial" w:eastAsia="Arial" w:cs="Arial"/>
                <w:color w:val="222222"/>
                <w:sz w:val="20"/>
                <w:szCs w:val="20"/>
              </w:rPr>
              <w:t>随机（概率15%/阶段）</w:t>
            </w:r>
          </w:p>
        </w:tc>
        <w:tc>
          <w:tcPr>
            <w:tcW w:w="156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EAFE823">
            <w:pPr>
              <w:spacing w:before="36" w:after="36"/>
              <w:jc w:val="left"/>
            </w:pPr>
            <w:r>
              <w:rPr>
                <w:rFonts w:ascii="Arial" w:hAnsi="Arial" w:eastAsia="Arial" w:cs="Arial"/>
                <w:color w:val="222222"/>
                <w:sz w:val="20"/>
                <w:szCs w:val="20"/>
              </w:rPr>
              <w:t>阶段3或4，且清河县环保局长为AI NPC时</w:t>
            </w:r>
          </w:p>
        </w:tc>
        <w:tc>
          <w:tcPr>
            <w:tcW w:w="134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34A7141">
            <w:pPr>
              <w:spacing w:before="36" w:after="36"/>
              <w:jc w:val="left"/>
            </w:pPr>
            <w:r>
              <w:rPr>
                <w:rFonts w:ascii="Arial" w:hAnsi="Arial" w:eastAsia="Arial" w:cs="Arial"/>
                <w:color w:val="222222"/>
                <w:sz w:val="20"/>
                <w:szCs w:val="20"/>
              </w:rPr>
              <w:t>全体角色（公开频道）</w:t>
            </w:r>
          </w:p>
        </w:tc>
        <w:tc>
          <w:tcPr>
            <w:tcW w:w="2799"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89B7538">
            <w:pPr>
              <w:spacing w:before="36" w:after="36"/>
              <w:jc w:val="left"/>
            </w:pPr>
            <w:r>
              <w:rPr>
                <w:rFonts w:ascii="Arial" w:hAnsi="Arial" w:eastAsia="Arial" w:cs="Arial"/>
                <w:color w:val="222222"/>
                <w:sz w:val="20"/>
                <w:szCs w:val="20"/>
              </w:rPr>
              <w:t>有人在网络平台匿名发布了清化精工近三年环保自查数据，与官方年检结论严重不符。</w:t>
            </w:r>
          </w:p>
        </w:tc>
        <w:tc>
          <w:tcPr>
            <w:tcW w:w="163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93E08E6">
            <w:pPr>
              <w:spacing w:before="36" w:after="36"/>
              <w:jc w:val="left"/>
            </w:pPr>
            <w:r>
              <w:rPr>
                <w:rFonts w:ascii="Arial" w:hAnsi="Arial" w:eastAsia="Arial" w:cs="Arial"/>
                <w:color w:val="222222"/>
                <w:sz w:val="20"/>
                <w:szCs w:val="20"/>
              </w:rPr>
              <w:t>ARC（清河县）-10，舆情+20，清河县委书记面临紧急危机管理选择卡</w:t>
            </w:r>
          </w:p>
        </w:tc>
      </w:tr>
      <w:tr w14:paraId="6731D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7D61700">
            <w:pPr>
              <w:spacing w:before="36" w:after="36"/>
              <w:jc w:val="left"/>
            </w:pPr>
            <w:r>
              <w:rPr>
                <w:rFonts w:ascii="Arial" w:hAnsi="Arial" w:eastAsia="Arial" w:cs="Arial"/>
                <w:color w:val="222222"/>
                <w:sz w:val="20"/>
                <w:szCs w:val="20"/>
              </w:rPr>
              <w:t>省级飞行督察启动</w:t>
            </w:r>
          </w:p>
        </w:tc>
        <w:tc>
          <w:tcPr>
            <w:tcW w:w="672"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5003B89">
            <w:pPr>
              <w:spacing w:before="36" w:after="36"/>
              <w:jc w:val="left"/>
            </w:pPr>
            <w:r>
              <w:rPr>
                <w:rFonts w:ascii="Arial" w:hAnsi="Arial" w:eastAsia="Arial" w:cs="Arial"/>
                <w:color w:val="222222"/>
                <w:sz w:val="20"/>
                <w:szCs w:val="20"/>
              </w:rPr>
              <w:t>条件触发</w:t>
            </w:r>
          </w:p>
        </w:tc>
        <w:tc>
          <w:tcPr>
            <w:tcW w:w="1567"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15F7157">
            <w:pPr>
              <w:spacing w:before="36" w:after="36"/>
              <w:jc w:val="left"/>
            </w:pPr>
            <w:r>
              <w:rPr>
                <w:rFonts w:ascii="Arial" w:hAnsi="Arial" w:eastAsia="Arial" w:cs="Arial"/>
                <w:color w:val="222222"/>
                <w:sz w:val="20"/>
                <w:szCs w:val="20"/>
              </w:rPr>
              <w:t>阶段5前，若督察倒计时归零</w:t>
            </w:r>
          </w:p>
        </w:tc>
        <w:tc>
          <w:tcPr>
            <w:tcW w:w="134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4E0AE87">
            <w:pPr>
              <w:spacing w:before="36" w:after="36"/>
              <w:jc w:val="left"/>
            </w:pPr>
            <w:r>
              <w:rPr>
                <w:rFonts w:ascii="Arial" w:hAnsi="Arial" w:eastAsia="Arial" w:cs="Arial"/>
                <w:color w:val="222222"/>
                <w:sz w:val="20"/>
                <w:szCs w:val="20"/>
              </w:rPr>
              <w:t>全体角色（公开频道）</w:t>
            </w:r>
          </w:p>
        </w:tc>
        <w:tc>
          <w:tcPr>
            <w:tcW w:w="2799"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F88FD9C">
            <w:pPr>
              <w:spacing w:before="36" w:after="36"/>
              <w:jc w:val="left"/>
            </w:pPr>
            <w:r>
              <w:rPr>
                <w:rFonts w:ascii="Arial" w:hAnsi="Arial" w:eastAsia="Arial" w:cs="Arial"/>
                <w:color w:val="222222"/>
                <w:sz w:val="20"/>
                <w:szCs w:val="20"/>
              </w:rPr>
              <w:t>省生态环境厅宣布对该跨界事件启动飞行督察，组成联合督察组，将在三天内进驻两县。</w:t>
            </w:r>
          </w:p>
        </w:tc>
        <w:tc>
          <w:tcPr>
            <w:tcW w:w="1634"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8CB8972">
            <w:pPr>
              <w:spacing w:before="36" w:after="36"/>
              <w:jc w:val="left"/>
            </w:pPr>
            <w:r>
              <w:rPr>
                <w:rFonts w:ascii="Arial" w:hAnsi="Arial" w:eastAsia="Arial" w:cs="Arial"/>
                <w:color w:val="222222"/>
                <w:sz w:val="20"/>
                <w:szCs w:val="20"/>
              </w:rPr>
              <w:t>accountability_pressure强制提升至9，进入运动式治理模式，所有角色CLR权重×1.5</w:t>
            </w:r>
          </w:p>
        </w:tc>
      </w:tr>
      <w:tr w14:paraId="2ACB4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wAfter w:w="2362" w:type="dxa"/>
        </w:trPr>
        <w:tc>
          <w:tcPr>
            <w:tcW w:w="134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E3A6539">
            <w:pPr>
              <w:spacing w:before="36" w:after="36"/>
              <w:jc w:val="left"/>
            </w:pPr>
            <w:r>
              <w:rPr>
                <w:rFonts w:ascii="Arial" w:hAnsi="Arial" w:eastAsia="Arial" w:cs="Arial"/>
                <w:color w:val="222222"/>
                <w:sz w:val="20"/>
                <w:szCs w:val="20"/>
              </w:rPr>
              <w:t>企业主动认责</w:t>
            </w:r>
          </w:p>
        </w:tc>
        <w:tc>
          <w:tcPr>
            <w:tcW w:w="672"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CB08731">
            <w:pPr>
              <w:spacing w:before="36" w:after="36"/>
              <w:jc w:val="left"/>
            </w:pPr>
            <w:r>
              <w:rPr>
                <w:rFonts w:ascii="Arial" w:hAnsi="Arial" w:eastAsia="Arial" w:cs="Arial"/>
                <w:color w:val="222222"/>
                <w:sz w:val="20"/>
                <w:szCs w:val="20"/>
              </w:rPr>
              <w:t>随机（概率20%，仅当清河书记已施压企业且accountability_pressure&gt;7）</w:t>
            </w:r>
          </w:p>
        </w:tc>
        <w:tc>
          <w:tcPr>
            <w:tcW w:w="1567"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09FA124">
            <w:pPr>
              <w:spacing w:before="36" w:after="36"/>
              <w:jc w:val="left"/>
            </w:pPr>
            <w:r>
              <w:rPr>
                <w:rFonts w:ascii="Arial" w:hAnsi="Arial" w:eastAsia="Arial" w:cs="Arial"/>
                <w:color w:val="222222"/>
                <w:sz w:val="20"/>
                <w:szCs w:val="20"/>
              </w:rPr>
              <w:t>清化精工法人代表（AI NPC）向全体角色（公开频道）</w:t>
            </w:r>
          </w:p>
        </w:tc>
        <w:tc>
          <w:tcPr>
            <w:tcW w:w="1344"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8845C0D">
            <w:pPr>
              <w:spacing w:before="36" w:after="36"/>
              <w:jc w:val="left"/>
            </w:pPr>
            <w:r>
              <w:rPr>
                <w:rFonts w:ascii="Arial" w:hAnsi="Arial" w:eastAsia="Arial" w:cs="Arial"/>
                <w:color w:val="222222"/>
                <w:sz w:val="20"/>
                <w:szCs w:val="20"/>
              </w:rPr>
              <w:t>清化精工法人代表发表声明，承认部分排污数据不准确，表示将配合调查，并承诺资金先行赔付水源县受影响居民。</w:t>
            </w:r>
          </w:p>
        </w:tc>
        <w:tc>
          <w:tcPr>
            <w:tcW w:w="2799"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D823A59">
            <w:pPr>
              <w:spacing w:before="36" w:after="36"/>
              <w:jc w:val="left"/>
            </w:pPr>
            <w:r>
              <w:rPr>
                <w:rFonts w:ascii="Arial" w:hAnsi="Arial" w:eastAsia="Arial" w:cs="Arial"/>
                <w:color w:val="222222"/>
                <w:sz w:val="20"/>
                <w:szCs w:val="20"/>
              </w:rPr>
              <w:t>PSR+5，STS+3，ARC（清河县）+2，企业主动认责降低了其被重罚的风险（游戏规则中已编码）</w:t>
            </w:r>
          </w:p>
        </w:tc>
      </w:tr>
    </w:tbl>
    <w:p w14:paraId="1A7C0B43">
      <w:pPr>
        <w:spacing w:before="120" w:after="120"/>
      </w:pPr>
    </w:p>
    <w:p w14:paraId="075A4DA1">
      <w:pPr>
        <w:pStyle w:val="3"/>
        <w:spacing w:before="320" w:after="140"/>
      </w:pPr>
      <w:r>
        <w:rPr>
          <w:rFonts w:ascii="Arial" w:hAnsi="Arial" w:eastAsia="Arial" w:cs="Arial"/>
          <w:b/>
          <w:bCs/>
          <w:color w:val="174A7E"/>
          <w:sz w:val="25"/>
          <w:szCs w:val="25"/>
        </w:rPr>
        <w:t>10.7 清河记的「清河记专属知识库」（L2标注）</w:t>
      </w:r>
    </w:p>
    <w:p w14:paraId="080226D5">
      <w:pPr>
        <w:spacing w:before="80" w:after="80"/>
        <w:jc w:val="both"/>
      </w:pPr>
      <w:r>
        <w:rPr>
          <w:rFonts w:ascii="Arial" w:hAnsi="Arial" w:eastAsia="Arial" w:cs="Arial"/>
          <w:b w:val="0"/>
          <w:bCs w:val="0"/>
          <w:color w:val="111111"/>
          <w:sz w:val="22"/>
          <w:szCs w:val="22"/>
        </w:rPr>
        <w:t>为清河记场景预先在百晓生L2专题库中标注的核心文献集，共涵盖8个主题方向，每个方向10—15篇精选文献，总计约100篇。以下列出每个方向的代表性文献及其在推演中的主要激活决策节点，供场景设计参考。</w:t>
      </w:r>
    </w:p>
    <w:p w14:paraId="720D9B9D">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500"/>
        <w:gridCol w:w="4060"/>
      </w:tblGrid>
      <w:tr w14:paraId="2DC61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326545A0">
            <w:pPr>
              <w:spacing w:before="36" w:after="36"/>
              <w:jc w:val="center"/>
            </w:pPr>
            <w:r>
              <w:rPr>
                <w:rFonts w:ascii="Arial" w:hAnsi="Arial" w:eastAsia="Arial" w:cs="Arial"/>
                <w:b/>
                <w:bCs/>
                <w:color w:val="FFFFFF"/>
                <w:sz w:val="19"/>
                <w:szCs w:val="19"/>
              </w:rPr>
              <w:t>知识主题</w:t>
            </w:r>
          </w:p>
        </w:tc>
        <w:tc>
          <w:tcPr>
            <w:tcW w:w="35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66A0C00">
            <w:pPr>
              <w:spacing w:before="36" w:after="36"/>
              <w:jc w:val="center"/>
            </w:pPr>
            <w:r>
              <w:rPr>
                <w:rFonts w:ascii="Arial" w:hAnsi="Arial" w:eastAsia="Arial" w:cs="Arial"/>
                <w:b/>
                <w:bCs/>
                <w:color w:val="FFFFFF"/>
                <w:sz w:val="19"/>
                <w:szCs w:val="19"/>
              </w:rPr>
              <w:t>代表性文献（作者/年/期刊）</w:t>
            </w:r>
          </w:p>
        </w:tc>
        <w:tc>
          <w:tcPr>
            <w:tcW w:w="40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168347C">
            <w:pPr>
              <w:spacing w:before="36" w:after="36"/>
              <w:jc w:val="center"/>
            </w:pPr>
            <w:r>
              <w:rPr>
                <w:rFonts w:ascii="Arial" w:hAnsi="Arial" w:eastAsia="Arial" w:cs="Arial"/>
                <w:b/>
                <w:bCs/>
                <w:color w:val="FFFFFF"/>
                <w:sz w:val="19"/>
                <w:szCs w:val="19"/>
              </w:rPr>
              <w:t>主要激活的决策节点</w:t>
            </w:r>
          </w:p>
        </w:tc>
      </w:tr>
      <w:tr w14:paraId="3634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A8859C6">
            <w:pPr>
              <w:spacing w:before="36" w:after="36"/>
              <w:jc w:val="left"/>
            </w:pPr>
            <w:r>
              <w:rPr>
                <w:rFonts w:ascii="Arial" w:hAnsi="Arial" w:eastAsia="Arial" w:cs="Arial"/>
                <w:color w:val="222222"/>
                <w:sz w:val="20"/>
                <w:szCs w:val="20"/>
              </w:rPr>
              <w:t>跨域环境治理与集体行动</w:t>
            </w:r>
          </w:p>
        </w:tc>
        <w:tc>
          <w:tcPr>
            <w:tcW w:w="3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1AF4CBE">
            <w:pPr>
              <w:spacing w:before="36" w:after="36"/>
              <w:jc w:val="left"/>
            </w:pPr>
            <w:r>
              <w:rPr>
                <w:rFonts w:ascii="Arial" w:hAnsi="Arial" w:eastAsia="Arial" w:cs="Arial"/>
                <w:color w:val="222222"/>
                <w:sz w:val="20"/>
                <w:szCs w:val="20"/>
              </w:rPr>
              <w:t>Ansell &amp; Gash(2008)JPART；Feiock(2013)PSJ；马剑银(2015)中国行政管理</w:t>
            </w:r>
          </w:p>
        </w:tc>
        <w:tc>
          <w:tcPr>
            <w:tcW w:w="40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E7BDA58">
            <w:pPr>
              <w:spacing w:before="36" w:after="36"/>
              <w:jc w:val="left"/>
            </w:pPr>
            <w:r>
              <w:rPr>
                <w:rFonts w:ascii="Arial" w:hAnsi="Arial" w:eastAsia="Arial" w:cs="Arial"/>
                <w:color w:val="222222"/>
                <w:sz w:val="20"/>
                <w:szCs w:val="20"/>
              </w:rPr>
              <w:t>D2.2独立评估、D3.2联署报告、D4.1责任界定</w:t>
            </w:r>
          </w:p>
        </w:tc>
      </w:tr>
      <w:tr w14:paraId="4C9F2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071BDD7">
            <w:pPr>
              <w:spacing w:before="36" w:after="36"/>
              <w:jc w:val="left"/>
            </w:pPr>
            <w:r>
              <w:rPr>
                <w:rFonts w:ascii="Arial" w:hAnsi="Arial" w:eastAsia="Arial" w:cs="Arial"/>
                <w:color w:val="222222"/>
                <w:sz w:val="20"/>
                <w:szCs w:val="20"/>
              </w:rPr>
              <w:t>信息透明度与政府公信力</w:t>
            </w:r>
          </w:p>
        </w:tc>
        <w:tc>
          <w:tcPr>
            <w:tcW w:w="3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61ADD9E">
            <w:pPr>
              <w:spacing w:before="36" w:after="36"/>
              <w:jc w:val="left"/>
            </w:pPr>
            <w:r>
              <w:rPr>
                <w:rFonts w:ascii="Arial" w:hAnsi="Arial" w:eastAsia="Arial" w:cs="Arial"/>
                <w:color w:val="222222"/>
                <w:sz w:val="20"/>
                <w:szCs w:val="20"/>
              </w:rPr>
              <w:t>King,Pan&amp;Roberts(2013)APSR；孔繁斌(2014)政治学研究；王绍光(2011)比较</w:t>
            </w:r>
          </w:p>
        </w:tc>
        <w:tc>
          <w:tcPr>
            <w:tcW w:w="40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C554433">
            <w:pPr>
              <w:spacing w:before="36" w:after="36"/>
              <w:jc w:val="left"/>
            </w:pPr>
            <w:r>
              <w:rPr>
                <w:rFonts w:ascii="Arial" w:hAnsi="Arial" w:eastAsia="Arial" w:cs="Arial"/>
                <w:color w:val="222222"/>
                <w:sz w:val="20"/>
                <w:szCs w:val="20"/>
              </w:rPr>
              <w:t>D1.2数据公开、D2.4向督察汇报、D3.3通报会</w:t>
            </w:r>
          </w:p>
        </w:tc>
      </w:tr>
      <w:tr w14:paraId="166D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79B5592">
            <w:pPr>
              <w:spacing w:before="36" w:after="36"/>
              <w:jc w:val="left"/>
            </w:pPr>
            <w:r>
              <w:rPr>
                <w:rFonts w:ascii="Arial" w:hAnsi="Arial" w:eastAsia="Arial" w:cs="Arial"/>
                <w:color w:val="222222"/>
                <w:sz w:val="20"/>
                <w:szCs w:val="20"/>
              </w:rPr>
              <w:t>晋升锦标赛与官员激励</w:t>
            </w:r>
          </w:p>
        </w:tc>
        <w:tc>
          <w:tcPr>
            <w:tcW w:w="3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D705FA7">
            <w:pPr>
              <w:spacing w:before="36" w:after="36"/>
              <w:jc w:val="left"/>
            </w:pPr>
            <w:r>
              <w:rPr>
                <w:rFonts w:ascii="Arial" w:hAnsi="Arial" w:eastAsia="Arial" w:cs="Arial"/>
                <w:color w:val="222222"/>
                <w:sz w:val="20"/>
                <w:szCs w:val="20"/>
              </w:rPr>
              <w:t>周黎安(2007)经济研究；徐现祥等(2007)经济研究</w:t>
            </w:r>
          </w:p>
        </w:tc>
        <w:tc>
          <w:tcPr>
            <w:tcW w:w="40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12F43AB">
            <w:pPr>
              <w:spacing w:before="36" w:after="36"/>
              <w:jc w:val="left"/>
            </w:pPr>
            <w:r>
              <w:rPr>
                <w:rFonts w:ascii="Arial" w:hAnsi="Arial" w:eastAsia="Arial" w:cs="Arial"/>
                <w:color w:val="222222"/>
                <w:sz w:val="20"/>
                <w:szCs w:val="20"/>
              </w:rPr>
              <w:t>D1.1向书记汇报、D3.2联署决策、D4.2接受立案</w:t>
            </w:r>
          </w:p>
        </w:tc>
      </w:tr>
      <w:tr w14:paraId="5F76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B47F358">
            <w:pPr>
              <w:spacing w:before="36" w:after="36"/>
              <w:jc w:val="left"/>
            </w:pPr>
            <w:r>
              <w:rPr>
                <w:rFonts w:ascii="Arial" w:hAnsi="Arial" w:eastAsia="Arial" w:cs="Arial"/>
                <w:color w:val="222222"/>
                <w:sz w:val="20"/>
                <w:szCs w:val="20"/>
              </w:rPr>
              <w:t>运动式治理与应急执法</w:t>
            </w:r>
          </w:p>
        </w:tc>
        <w:tc>
          <w:tcPr>
            <w:tcW w:w="3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1F25605">
            <w:pPr>
              <w:spacing w:before="36" w:after="36"/>
              <w:jc w:val="left"/>
            </w:pPr>
            <w:r>
              <w:rPr>
                <w:rFonts w:ascii="Arial" w:hAnsi="Arial" w:eastAsia="Arial" w:cs="Arial"/>
                <w:color w:val="222222"/>
                <w:sz w:val="20"/>
                <w:szCs w:val="20"/>
              </w:rPr>
              <w:t>冯仕政(2011)社会学研究；杨雪冬(2012)公共管理学报</w:t>
            </w:r>
          </w:p>
        </w:tc>
        <w:tc>
          <w:tcPr>
            <w:tcW w:w="40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54F6F61">
            <w:pPr>
              <w:spacing w:before="36" w:after="36"/>
              <w:jc w:val="left"/>
            </w:pPr>
            <w:r>
              <w:rPr>
                <w:rFonts w:ascii="Arial" w:hAnsi="Arial" w:eastAsia="Arial" w:cs="Arial"/>
                <w:color w:val="222222"/>
                <w:sz w:val="20"/>
                <w:szCs w:val="20"/>
              </w:rPr>
              <w:t>省级飞行督察触发后的所有决策节点</w:t>
            </w:r>
          </w:p>
        </w:tc>
      </w:tr>
      <w:tr w14:paraId="53A0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D9D66AF">
            <w:pPr>
              <w:spacing w:before="36" w:after="36"/>
              <w:jc w:val="left"/>
            </w:pPr>
            <w:r>
              <w:rPr>
                <w:rFonts w:ascii="Arial" w:hAnsi="Arial" w:eastAsia="Arial" w:cs="Arial"/>
                <w:color w:val="222222"/>
                <w:sz w:val="20"/>
                <w:szCs w:val="20"/>
              </w:rPr>
              <w:t>选择性执法与基层裁量</w:t>
            </w:r>
          </w:p>
        </w:tc>
        <w:tc>
          <w:tcPr>
            <w:tcW w:w="3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6CE5509">
            <w:pPr>
              <w:spacing w:before="36" w:after="36"/>
              <w:jc w:val="left"/>
            </w:pPr>
            <w:r>
              <w:rPr>
                <w:rFonts w:ascii="Arial" w:hAnsi="Arial" w:eastAsia="Arial" w:cs="Arial"/>
                <w:color w:val="222222"/>
                <w:sz w:val="20"/>
                <w:szCs w:val="20"/>
              </w:rPr>
              <w:t>O'Brien&amp;Li(1999)JD；Lipsky(1980)街头官僚；Maynard-Moody(2003)</w:t>
            </w:r>
          </w:p>
        </w:tc>
        <w:tc>
          <w:tcPr>
            <w:tcW w:w="40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7CCB424">
            <w:pPr>
              <w:spacing w:before="36" w:after="36"/>
              <w:jc w:val="left"/>
            </w:pPr>
            <w:r>
              <w:rPr>
                <w:rFonts w:ascii="Arial" w:hAnsi="Arial" w:eastAsia="Arial" w:cs="Arial"/>
                <w:color w:val="222222"/>
                <w:sz w:val="20"/>
                <w:szCs w:val="20"/>
              </w:rPr>
              <w:t>D2.3清河局长历史造假决策、D4.2立案决策</w:t>
            </w:r>
          </w:p>
        </w:tc>
      </w:tr>
      <w:tr w14:paraId="793F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EFC7A30">
            <w:pPr>
              <w:spacing w:before="36" w:after="36"/>
              <w:jc w:val="left"/>
            </w:pPr>
            <w:r>
              <w:rPr>
                <w:rFonts w:ascii="Arial" w:hAnsi="Arial" w:eastAsia="Arial" w:cs="Arial"/>
                <w:color w:val="222222"/>
                <w:sz w:val="20"/>
                <w:szCs w:val="20"/>
              </w:rPr>
              <w:t>问责机制与责任归属</w:t>
            </w:r>
          </w:p>
        </w:tc>
        <w:tc>
          <w:tcPr>
            <w:tcW w:w="3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282E0FF">
            <w:pPr>
              <w:spacing w:before="36" w:after="36"/>
              <w:jc w:val="left"/>
            </w:pPr>
            <w:r>
              <w:rPr>
                <w:rFonts w:ascii="Arial" w:hAnsi="Arial" w:eastAsia="Arial" w:cs="Arial"/>
                <w:color w:val="222222"/>
                <w:sz w:val="20"/>
                <w:szCs w:val="20"/>
              </w:rPr>
              <w:t>周雪光(2013)社会；Bovens(2007)问责理论</w:t>
            </w:r>
          </w:p>
        </w:tc>
        <w:tc>
          <w:tcPr>
            <w:tcW w:w="40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8ADEF99">
            <w:pPr>
              <w:spacing w:before="36" w:after="36"/>
              <w:jc w:val="left"/>
            </w:pPr>
            <w:r>
              <w:rPr>
                <w:rFonts w:ascii="Arial" w:hAnsi="Arial" w:eastAsia="Arial" w:cs="Arial"/>
                <w:color w:val="222222"/>
                <w:sz w:val="20"/>
                <w:szCs w:val="20"/>
              </w:rPr>
              <w:t>D4.1责任界定、D4.2立案决策、D5.1制度化方案</w:t>
            </w:r>
          </w:p>
        </w:tc>
      </w:tr>
      <w:tr w14:paraId="079E8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09FE572">
            <w:pPr>
              <w:spacing w:before="36" w:after="36"/>
              <w:jc w:val="left"/>
            </w:pPr>
            <w:r>
              <w:rPr>
                <w:rFonts w:ascii="Arial" w:hAnsi="Arial" w:eastAsia="Arial" w:cs="Arial"/>
                <w:color w:val="222222"/>
                <w:sz w:val="20"/>
                <w:szCs w:val="20"/>
              </w:rPr>
              <w:t>政社关系与NGO行动空间</w:t>
            </w:r>
          </w:p>
        </w:tc>
        <w:tc>
          <w:tcPr>
            <w:tcW w:w="3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4F5D3FA">
            <w:pPr>
              <w:spacing w:before="36" w:after="36"/>
              <w:jc w:val="left"/>
            </w:pPr>
            <w:r>
              <w:rPr>
                <w:rFonts w:ascii="Arial" w:hAnsi="Arial" w:eastAsia="Arial" w:cs="Arial"/>
                <w:color w:val="222222"/>
                <w:sz w:val="20"/>
                <w:szCs w:val="20"/>
              </w:rPr>
              <w:t>Spires(2011)AJS；Wang&amp;Minzner(2015)CQ</w:t>
            </w:r>
          </w:p>
        </w:tc>
        <w:tc>
          <w:tcPr>
            <w:tcW w:w="40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56A93A1">
            <w:pPr>
              <w:spacing w:before="36" w:after="36"/>
              <w:jc w:val="left"/>
            </w:pPr>
            <w:r>
              <w:rPr>
                <w:rFonts w:ascii="Arial" w:hAnsi="Arial" w:eastAsia="Arial" w:cs="Arial"/>
                <w:color w:val="222222"/>
                <w:sz w:val="20"/>
                <w:szCs w:val="20"/>
              </w:rPr>
              <w:t>D1.4 NGO数据提交、NGO公开报告事件触发后</w:t>
            </w:r>
          </w:p>
        </w:tc>
      </w:tr>
      <w:tr w14:paraId="553DE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E100B14">
            <w:pPr>
              <w:spacing w:before="36" w:after="36"/>
              <w:jc w:val="left"/>
            </w:pPr>
            <w:r>
              <w:rPr>
                <w:rFonts w:ascii="Arial" w:hAnsi="Arial" w:eastAsia="Arial" w:cs="Arial"/>
                <w:color w:val="222222"/>
                <w:sz w:val="20"/>
                <w:szCs w:val="20"/>
              </w:rPr>
              <w:t>媒体政治与舆论管理</w:t>
            </w:r>
          </w:p>
        </w:tc>
        <w:tc>
          <w:tcPr>
            <w:tcW w:w="3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2C8567B">
            <w:pPr>
              <w:spacing w:before="36" w:after="36"/>
              <w:jc w:val="left"/>
            </w:pPr>
            <w:r>
              <w:rPr>
                <w:rFonts w:ascii="Arial" w:hAnsi="Arial" w:eastAsia="Arial" w:cs="Arial"/>
                <w:color w:val="222222"/>
                <w:sz w:val="20"/>
                <w:szCs w:val="20"/>
              </w:rPr>
              <w:t>Bennett(2016)新闻政治学；展江(2010)新闻大学</w:t>
            </w:r>
          </w:p>
        </w:tc>
        <w:tc>
          <w:tcPr>
            <w:tcW w:w="40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D0C32A9">
            <w:pPr>
              <w:spacing w:before="36" w:after="36"/>
              <w:jc w:val="left"/>
            </w:pPr>
            <w:r>
              <w:rPr>
                <w:rFonts w:ascii="Arial" w:hAnsi="Arial" w:eastAsia="Arial" w:cs="Arial"/>
                <w:color w:val="222222"/>
                <w:sz w:val="20"/>
                <w:szCs w:val="20"/>
              </w:rPr>
              <w:t>媒体爆料事件触发后所有角色的信息管控决策</w:t>
            </w:r>
          </w:p>
        </w:tc>
      </w:tr>
    </w:tbl>
    <w:p w14:paraId="1A93037A">
      <w:pPr>
        <w:spacing w:before="120" w:after="120"/>
      </w:pPr>
    </w:p>
    <w:p w14:paraId="35403703">
      <w:pPr>
        <w:pStyle w:val="3"/>
        <w:spacing w:before="320" w:after="140"/>
      </w:pPr>
      <w:r>
        <w:rPr>
          <w:rFonts w:ascii="Arial" w:hAnsi="Arial" w:eastAsia="Arial" w:cs="Arial"/>
          <w:b/>
          <w:bCs/>
          <w:color w:val="174A7E"/>
          <w:sz w:val="25"/>
          <w:szCs w:val="25"/>
        </w:rPr>
        <w:t>10.8 清河记推荐参数配置</w:t>
      </w:r>
    </w:p>
    <w:p w14:paraId="2873D8CB">
      <w:pPr>
        <w:spacing w:before="80" w:after="80"/>
        <w:jc w:val="both"/>
      </w:pPr>
      <w:r>
        <w:rPr>
          <w:rFonts w:ascii="Arial" w:hAnsi="Arial" w:eastAsia="Arial" w:cs="Arial"/>
          <w:b w:val="0"/>
          <w:bCs w:val="0"/>
          <w:color w:val="111111"/>
          <w:sz w:val="22"/>
          <w:szCs w:val="22"/>
        </w:rPr>
        <w:t>以下是教学和研究两种使用目的下清河记的建议参数配置，供教师和研究者参考。所有参数均可在9步配置工作流中独立调整，以下仅是起点建议，不是强制要求。</w:t>
      </w:r>
    </w:p>
    <w:p w14:paraId="073DE3AF">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2"/>
        <w:gridCol w:w="1920"/>
        <w:gridCol w:w="2436"/>
        <w:gridCol w:w="2642"/>
      </w:tblGrid>
      <w:tr w14:paraId="5218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29914E8">
            <w:pPr>
              <w:spacing w:before="36" w:after="36"/>
              <w:jc w:val="center"/>
            </w:pPr>
            <w:r>
              <w:rPr>
                <w:rFonts w:ascii="Arial" w:hAnsi="Arial" w:eastAsia="Arial" w:cs="Arial"/>
                <w:b/>
                <w:bCs/>
                <w:color w:val="FFFFFF"/>
                <w:sz w:val="19"/>
                <w:szCs w:val="19"/>
              </w:rPr>
              <w:t>参数名称</w:t>
            </w:r>
          </w:p>
        </w:tc>
        <w:tc>
          <w:tcPr>
            <w:tcW w:w="2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F39FBB2">
            <w:pPr>
              <w:spacing w:before="36" w:after="36"/>
              <w:jc w:val="center"/>
            </w:pPr>
            <w:r>
              <w:rPr>
                <w:rFonts w:ascii="Arial" w:hAnsi="Arial" w:eastAsia="Arial" w:cs="Arial"/>
                <w:b/>
                <w:bCs/>
                <w:color w:val="FFFFFF"/>
                <w:sz w:val="19"/>
                <w:szCs w:val="19"/>
              </w:rPr>
              <w:t>教学版建议值</w:t>
            </w:r>
          </w:p>
        </w:tc>
        <w:tc>
          <w:tcPr>
            <w:tcW w:w="25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4B8A1B2">
            <w:pPr>
              <w:spacing w:before="36" w:after="36"/>
              <w:jc w:val="center"/>
            </w:pPr>
            <w:r>
              <w:rPr>
                <w:rFonts w:ascii="Arial" w:hAnsi="Arial" w:eastAsia="Arial" w:cs="Arial"/>
                <w:b/>
                <w:bCs/>
                <w:color w:val="FFFFFF"/>
                <w:sz w:val="19"/>
                <w:szCs w:val="19"/>
              </w:rPr>
              <w:t>研究版建议值（研究问责效应）</w:t>
            </w:r>
          </w:p>
        </w:tc>
        <w:tc>
          <w:tcPr>
            <w:tcW w:w="2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508E7D5">
            <w:pPr>
              <w:spacing w:before="36" w:after="36"/>
              <w:jc w:val="center"/>
            </w:pPr>
            <w:r>
              <w:rPr>
                <w:rFonts w:ascii="Arial" w:hAnsi="Arial" w:eastAsia="Arial" w:cs="Arial"/>
                <w:b/>
                <w:bCs/>
                <w:color w:val="FFFFFF"/>
                <w:sz w:val="19"/>
                <w:szCs w:val="19"/>
              </w:rPr>
              <w:t>研究版建议值（研究合作机制）</w:t>
            </w:r>
          </w:p>
        </w:tc>
      </w:tr>
      <w:tr w14:paraId="5E41C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1EB6BDB">
            <w:pPr>
              <w:spacing w:before="36" w:after="36"/>
              <w:jc w:val="left"/>
            </w:pPr>
            <w:r>
              <w:rPr>
                <w:rFonts w:ascii="Arial" w:hAnsi="Arial" w:eastAsia="Arial" w:cs="Arial"/>
                <w:color w:val="222222"/>
                <w:sz w:val="20"/>
                <w:szCs w:val="20"/>
              </w:rPr>
              <w:t>total_stages</w:t>
            </w:r>
          </w:p>
        </w:tc>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83369B7">
            <w:pPr>
              <w:spacing w:before="36" w:after="36"/>
              <w:jc w:val="left"/>
            </w:pPr>
            <w:r>
              <w:rPr>
                <w:rFonts w:ascii="Arial" w:hAnsi="Arial" w:eastAsia="Arial" w:cs="Arial"/>
                <w:color w:val="222222"/>
                <w:sz w:val="20"/>
                <w:szCs w:val="20"/>
              </w:rPr>
              <w:t>5（标准）</w:t>
            </w:r>
          </w:p>
        </w:tc>
        <w:tc>
          <w:tcPr>
            <w:tcW w:w="2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8D72B27">
            <w:pPr>
              <w:spacing w:before="36" w:after="36"/>
              <w:jc w:val="left"/>
            </w:pPr>
            <w:r>
              <w:rPr>
                <w:rFonts w:ascii="Arial" w:hAnsi="Arial" w:eastAsia="Arial" w:cs="Arial"/>
                <w:color w:val="222222"/>
                <w:sz w:val="20"/>
                <w:szCs w:val="20"/>
              </w:rPr>
              <w:t>5</w:t>
            </w:r>
          </w:p>
        </w:tc>
        <w:tc>
          <w:tcPr>
            <w:tcW w:w="2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1871AA3">
            <w:pPr>
              <w:spacing w:before="36" w:after="36"/>
              <w:jc w:val="left"/>
            </w:pPr>
            <w:r>
              <w:rPr>
                <w:rFonts w:ascii="Arial" w:hAnsi="Arial" w:eastAsia="Arial" w:cs="Arial"/>
                <w:color w:val="222222"/>
                <w:sz w:val="20"/>
                <w:szCs w:val="20"/>
              </w:rPr>
              <w:t>5</w:t>
            </w:r>
          </w:p>
        </w:tc>
      </w:tr>
      <w:tr w14:paraId="37BD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786E632">
            <w:pPr>
              <w:spacing w:before="36" w:after="36"/>
              <w:jc w:val="left"/>
            </w:pPr>
            <w:r>
              <w:rPr>
                <w:rFonts w:ascii="Arial" w:hAnsi="Arial" w:eastAsia="Arial" w:cs="Arial"/>
                <w:color w:val="222222"/>
                <w:sz w:val="20"/>
                <w:szCs w:val="20"/>
              </w:rPr>
              <w:t>decision_timeout_min</w:t>
            </w:r>
          </w:p>
        </w:tc>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B78899C">
            <w:pPr>
              <w:spacing w:before="36" w:after="36"/>
              <w:jc w:val="left"/>
            </w:pPr>
            <w:r>
              <w:rPr>
                <w:rFonts w:ascii="Arial" w:hAnsi="Arial" w:eastAsia="Arial" w:cs="Arial"/>
                <w:color w:val="222222"/>
                <w:sz w:val="20"/>
                <w:szCs w:val="20"/>
              </w:rPr>
              <w:t>8（给学员充分思考时间）</w:t>
            </w:r>
          </w:p>
        </w:tc>
        <w:tc>
          <w:tcPr>
            <w:tcW w:w="25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F67A3DF">
            <w:pPr>
              <w:spacing w:before="36" w:after="36"/>
              <w:jc w:val="left"/>
            </w:pPr>
            <w:r>
              <w:rPr>
                <w:rFonts w:ascii="Arial" w:hAnsi="Arial" w:eastAsia="Arial" w:cs="Arial"/>
                <w:color w:val="222222"/>
                <w:sz w:val="20"/>
                <w:szCs w:val="20"/>
              </w:rPr>
              <w:t>6（保持一定压力，更接近真实）</w:t>
            </w:r>
          </w:p>
        </w:tc>
        <w:tc>
          <w:tcPr>
            <w:tcW w:w="2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80F690B">
            <w:pPr>
              <w:spacing w:before="36" w:after="36"/>
              <w:jc w:val="left"/>
            </w:pPr>
            <w:r>
              <w:rPr>
                <w:rFonts w:ascii="Arial" w:hAnsi="Arial" w:eastAsia="Arial" w:cs="Arial"/>
                <w:color w:val="222222"/>
                <w:sz w:val="20"/>
                <w:szCs w:val="20"/>
              </w:rPr>
              <w:t>10（更充分的博弈空间）</w:t>
            </w:r>
          </w:p>
        </w:tc>
      </w:tr>
      <w:tr w14:paraId="533A2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B40227E">
            <w:pPr>
              <w:spacing w:before="36" w:after="36"/>
              <w:jc w:val="left"/>
            </w:pPr>
            <w:r>
              <w:rPr>
                <w:rFonts w:ascii="Arial" w:hAnsi="Arial" w:eastAsia="Arial" w:cs="Arial"/>
                <w:color w:val="222222"/>
                <w:sz w:val="20"/>
                <w:szCs w:val="20"/>
              </w:rPr>
              <w:t>institutional_rigidity</w:t>
            </w:r>
          </w:p>
        </w:tc>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06B8DA3">
            <w:pPr>
              <w:spacing w:before="36" w:after="36"/>
              <w:jc w:val="left"/>
            </w:pPr>
            <w:r>
              <w:rPr>
                <w:rFonts w:ascii="Arial" w:hAnsi="Arial" w:eastAsia="Arial" w:cs="Arial"/>
                <w:color w:val="222222"/>
                <w:sz w:val="20"/>
                <w:szCs w:val="20"/>
              </w:rPr>
              <w:t>6（中等，保留一些变通空间）</w:t>
            </w:r>
          </w:p>
        </w:tc>
        <w:tc>
          <w:tcPr>
            <w:tcW w:w="2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1E0BF73">
            <w:pPr>
              <w:spacing w:before="36" w:after="36"/>
              <w:jc w:val="left"/>
            </w:pPr>
            <w:r>
              <w:rPr>
                <w:rFonts w:ascii="Arial" w:hAnsi="Arial" w:eastAsia="Arial" w:cs="Arial"/>
                <w:color w:val="222222"/>
                <w:sz w:val="20"/>
                <w:szCs w:val="20"/>
              </w:rPr>
              <w:t>8（研究高刚性制度下的行为）</w:t>
            </w:r>
          </w:p>
        </w:tc>
        <w:tc>
          <w:tcPr>
            <w:tcW w:w="2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1B7D375">
            <w:pPr>
              <w:spacing w:before="36" w:after="36"/>
              <w:jc w:val="left"/>
            </w:pPr>
            <w:r>
              <w:rPr>
                <w:rFonts w:ascii="Arial" w:hAnsi="Arial" w:eastAsia="Arial" w:cs="Arial"/>
                <w:color w:val="222222"/>
                <w:sz w:val="20"/>
                <w:szCs w:val="20"/>
              </w:rPr>
              <w:t>5（相对弹性，便于观察合作动机）</w:t>
            </w:r>
          </w:p>
        </w:tc>
      </w:tr>
      <w:tr w14:paraId="73EE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7924018">
            <w:pPr>
              <w:spacing w:before="36" w:after="36"/>
              <w:jc w:val="left"/>
            </w:pPr>
            <w:r>
              <w:rPr>
                <w:rFonts w:ascii="Arial" w:hAnsi="Arial" w:eastAsia="Arial" w:cs="Arial"/>
                <w:color w:val="222222"/>
                <w:sz w:val="20"/>
                <w:szCs w:val="20"/>
              </w:rPr>
              <w:t>accountability_pressure</w:t>
            </w:r>
          </w:p>
        </w:tc>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AF686A8">
            <w:pPr>
              <w:spacing w:before="36" w:after="36"/>
              <w:jc w:val="left"/>
            </w:pPr>
            <w:r>
              <w:rPr>
                <w:rFonts w:ascii="Arial" w:hAnsi="Arial" w:eastAsia="Arial" w:cs="Arial"/>
                <w:color w:val="222222"/>
                <w:sz w:val="20"/>
                <w:szCs w:val="20"/>
              </w:rPr>
              <w:t>5（让学员感受中等压力）</w:t>
            </w:r>
          </w:p>
        </w:tc>
        <w:tc>
          <w:tcPr>
            <w:tcW w:w="25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E7FA137">
            <w:pPr>
              <w:spacing w:before="36" w:after="36"/>
              <w:jc w:val="left"/>
            </w:pPr>
            <w:r>
              <w:rPr>
                <w:rFonts w:ascii="Arial" w:hAnsi="Arial" w:eastAsia="Arial" w:cs="Arial"/>
                <w:color w:val="222222"/>
                <w:sz w:val="20"/>
                <w:szCs w:val="20"/>
              </w:rPr>
              <w:t>8（实验组高问责）或3（对照组低问责）</w:t>
            </w:r>
          </w:p>
        </w:tc>
        <w:tc>
          <w:tcPr>
            <w:tcW w:w="2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E005170">
            <w:pPr>
              <w:spacing w:before="36" w:after="36"/>
              <w:jc w:val="left"/>
            </w:pPr>
            <w:r>
              <w:rPr>
                <w:rFonts w:ascii="Arial" w:hAnsi="Arial" w:eastAsia="Arial" w:cs="Arial"/>
                <w:color w:val="222222"/>
                <w:sz w:val="20"/>
                <w:szCs w:val="20"/>
              </w:rPr>
              <w:t>4（降低追责干扰，聚焦合作博弈）</w:t>
            </w:r>
          </w:p>
        </w:tc>
      </w:tr>
      <w:tr w14:paraId="539D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B06BD33">
            <w:pPr>
              <w:spacing w:before="36" w:after="36"/>
              <w:jc w:val="left"/>
            </w:pPr>
            <w:r>
              <w:rPr>
                <w:rFonts w:ascii="Arial" w:hAnsi="Arial" w:eastAsia="Arial" w:cs="Arial"/>
                <w:color w:val="222222"/>
                <w:sz w:val="20"/>
                <w:szCs w:val="20"/>
              </w:rPr>
              <w:t>info_asymmetry</w:t>
            </w:r>
          </w:p>
        </w:tc>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1C1C3BC">
            <w:pPr>
              <w:spacing w:before="36" w:after="36"/>
              <w:jc w:val="left"/>
            </w:pPr>
            <w:r>
              <w:rPr>
                <w:rFonts w:ascii="Arial" w:hAnsi="Arial" w:eastAsia="Arial" w:cs="Arial"/>
                <w:color w:val="222222"/>
                <w:sz w:val="20"/>
                <w:szCs w:val="20"/>
              </w:rPr>
              <w:t>7（高不对称，增加博弈性）</w:t>
            </w:r>
          </w:p>
        </w:tc>
        <w:tc>
          <w:tcPr>
            <w:tcW w:w="2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CFA4371">
            <w:pPr>
              <w:spacing w:before="36" w:after="36"/>
              <w:jc w:val="left"/>
            </w:pPr>
            <w:r>
              <w:rPr>
                <w:rFonts w:ascii="Arial" w:hAnsi="Arial" w:eastAsia="Arial" w:cs="Arial"/>
                <w:color w:val="222222"/>
                <w:sz w:val="20"/>
                <w:szCs w:val="20"/>
              </w:rPr>
              <w:t>7（维持现实感）</w:t>
            </w:r>
          </w:p>
        </w:tc>
        <w:tc>
          <w:tcPr>
            <w:tcW w:w="2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B3D9917">
            <w:pPr>
              <w:spacing w:before="36" w:after="36"/>
              <w:jc w:val="left"/>
            </w:pPr>
            <w:r>
              <w:rPr>
                <w:rFonts w:ascii="Arial" w:hAnsi="Arial" w:eastAsia="Arial" w:cs="Arial"/>
                <w:color w:val="222222"/>
                <w:sz w:val="20"/>
                <w:szCs w:val="20"/>
              </w:rPr>
              <w:t>7（维持现实感）</w:t>
            </w:r>
          </w:p>
        </w:tc>
      </w:tr>
      <w:tr w14:paraId="193F8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6D091E3">
            <w:pPr>
              <w:spacing w:before="36" w:after="36"/>
              <w:jc w:val="left"/>
            </w:pPr>
            <w:r>
              <w:rPr>
                <w:rFonts w:ascii="Arial" w:hAnsi="Arial" w:eastAsia="Arial" w:cs="Arial"/>
                <w:color w:val="222222"/>
                <w:sz w:val="20"/>
                <w:szCs w:val="20"/>
              </w:rPr>
              <w:t>media_openness</w:t>
            </w:r>
          </w:p>
        </w:tc>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1FD801E">
            <w:pPr>
              <w:spacing w:before="36" w:after="36"/>
              <w:jc w:val="left"/>
            </w:pPr>
            <w:r>
              <w:rPr>
                <w:rFonts w:ascii="Arial" w:hAnsi="Arial" w:eastAsia="Arial" w:cs="Arial"/>
                <w:color w:val="222222"/>
                <w:sz w:val="20"/>
                <w:szCs w:val="20"/>
              </w:rPr>
              <w:t>6（媒体有一定影响力）</w:t>
            </w:r>
          </w:p>
        </w:tc>
        <w:tc>
          <w:tcPr>
            <w:tcW w:w="25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AA371F5">
            <w:pPr>
              <w:spacing w:before="36" w:after="36"/>
              <w:jc w:val="left"/>
            </w:pPr>
            <w:r>
              <w:rPr>
                <w:rFonts w:ascii="Arial" w:hAnsi="Arial" w:eastAsia="Arial" w:cs="Arial"/>
                <w:color w:val="222222"/>
                <w:sz w:val="20"/>
                <w:szCs w:val="20"/>
              </w:rPr>
              <w:t>5</w:t>
            </w:r>
          </w:p>
        </w:tc>
        <w:tc>
          <w:tcPr>
            <w:tcW w:w="2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3F45502">
            <w:pPr>
              <w:spacing w:before="36" w:after="36"/>
              <w:jc w:val="left"/>
            </w:pPr>
            <w:r>
              <w:rPr>
                <w:rFonts w:ascii="Arial" w:hAnsi="Arial" w:eastAsia="Arial" w:cs="Arial"/>
                <w:color w:val="222222"/>
                <w:sz w:val="20"/>
                <w:szCs w:val="20"/>
              </w:rPr>
              <w:t>5</w:t>
            </w:r>
          </w:p>
        </w:tc>
      </w:tr>
      <w:tr w14:paraId="523A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E7EC3E8">
            <w:pPr>
              <w:spacing w:before="36" w:after="36"/>
              <w:jc w:val="left"/>
            </w:pPr>
            <w:r>
              <w:rPr>
                <w:rFonts w:ascii="Arial" w:hAnsi="Arial" w:eastAsia="Arial" w:cs="Arial"/>
                <w:color w:val="222222"/>
                <w:sz w:val="20"/>
                <w:szCs w:val="20"/>
              </w:rPr>
              <w:t>social_monitor</w:t>
            </w:r>
          </w:p>
        </w:tc>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B46C41E">
            <w:pPr>
              <w:spacing w:before="36" w:after="36"/>
              <w:jc w:val="left"/>
            </w:pPr>
            <w:r>
              <w:rPr>
                <w:rFonts w:ascii="Arial" w:hAnsi="Arial" w:eastAsia="Arial" w:cs="Arial"/>
                <w:color w:val="222222"/>
                <w:sz w:val="20"/>
                <w:szCs w:val="20"/>
              </w:rPr>
              <w:t>5（NGO有行动空间）</w:t>
            </w:r>
          </w:p>
        </w:tc>
        <w:tc>
          <w:tcPr>
            <w:tcW w:w="2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417ED92">
            <w:pPr>
              <w:spacing w:before="36" w:after="36"/>
              <w:jc w:val="left"/>
            </w:pPr>
            <w:r>
              <w:rPr>
                <w:rFonts w:ascii="Arial" w:hAnsi="Arial" w:eastAsia="Arial" w:cs="Arial"/>
                <w:color w:val="222222"/>
                <w:sz w:val="20"/>
                <w:szCs w:val="20"/>
              </w:rPr>
              <w:t>4</w:t>
            </w:r>
          </w:p>
        </w:tc>
        <w:tc>
          <w:tcPr>
            <w:tcW w:w="2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E787C3E">
            <w:pPr>
              <w:spacing w:before="36" w:after="36"/>
              <w:jc w:val="left"/>
            </w:pPr>
            <w:r>
              <w:rPr>
                <w:rFonts w:ascii="Arial" w:hAnsi="Arial" w:eastAsia="Arial" w:cs="Arial"/>
                <w:color w:val="222222"/>
                <w:sz w:val="20"/>
                <w:szCs w:val="20"/>
              </w:rPr>
              <w:t>6（提高社会力量，研究政社互动）</w:t>
            </w:r>
          </w:p>
        </w:tc>
      </w:tr>
      <w:tr w14:paraId="3CEBE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190DC17">
            <w:pPr>
              <w:spacing w:before="36" w:after="36"/>
              <w:jc w:val="left"/>
            </w:pPr>
            <w:r>
              <w:rPr>
                <w:rFonts w:ascii="Arial" w:hAnsi="Arial" w:eastAsia="Arial" w:cs="Arial"/>
                <w:color w:val="222222"/>
                <w:sz w:val="20"/>
                <w:szCs w:val="20"/>
              </w:rPr>
              <w:t>cooperation_incentive</w:t>
            </w:r>
          </w:p>
        </w:tc>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0C002A6">
            <w:pPr>
              <w:spacing w:before="36" w:after="36"/>
              <w:jc w:val="left"/>
            </w:pPr>
            <w:r>
              <w:rPr>
                <w:rFonts w:ascii="Arial" w:hAnsi="Arial" w:eastAsia="Arial" w:cs="Arial"/>
                <w:color w:val="222222"/>
                <w:sz w:val="20"/>
                <w:szCs w:val="20"/>
              </w:rPr>
              <w:t>1.0（标准）</w:t>
            </w:r>
          </w:p>
        </w:tc>
        <w:tc>
          <w:tcPr>
            <w:tcW w:w="25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EE199A9">
            <w:pPr>
              <w:spacing w:before="36" w:after="36"/>
              <w:jc w:val="left"/>
            </w:pPr>
            <w:r>
              <w:rPr>
                <w:rFonts w:ascii="Arial" w:hAnsi="Arial" w:eastAsia="Arial" w:cs="Arial"/>
                <w:color w:val="222222"/>
                <w:sz w:val="20"/>
                <w:szCs w:val="20"/>
              </w:rPr>
              <w:t>1.0</w:t>
            </w:r>
          </w:p>
        </w:tc>
        <w:tc>
          <w:tcPr>
            <w:tcW w:w="2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6620F83">
            <w:pPr>
              <w:spacing w:before="36" w:after="36"/>
              <w:jc w:val="left"/>
            </w:pPr>
            <w:r>
              <w:rPr>
                <w:rFonts w:ascii="Arial" w:hAnsi="Arial" w:eastAsia="Arial" w:cs="Arial"/>
                <w:color w:val="222222"/>
                <w:sz w:val="20"/>
                <w:szCs w:val="20"/>
              </w:rPr>
              <w:t>1.5（增加合作奖励，观察合作诱因）</w:t>
            </w:r>
          </w:p>
        </w:tc>
      </w:tr>
      <w:tr w14:paraId="19BB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673EB5F">
            <w:pPr>
              <w:spacing w:before="36" w:after="36"/>
              <w:jc w:val="left"/>
            </w:pPr>
            <w:r>
              <w:rPr>
                <w:rFonts w:ascii="Arial" w:hAnsi="Arial" w:eastAsia="Arial" w:cs="Arial"/>
                <w:color w:val="222222"/>
                <w:sz w:val="20"/>
                <w:szCs w:val="20"/>
              </w:rPr>
              <w:t>rag_enable</w:t>
            </w:r>
          </w:p>
        </w:tc>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A57C341">
            <w:pPr>
              <w:spacing w:before="36" w:after="36"/>
              <w:jc w:val="left"/>
            </w:pPr>
            <w:r>
              <w:rPr>
                <w:rFonts w:ascii="Arial" w:hAnsi="Arial" w:eastAsia="Arial" w:cs="Arial"/>
                <w:color w:val="222222"/>
                <w:sz w:val="20"/>
                <w:szCs w:val="20"/>
              </w:rPr>
              <w:t>true</w:t>
            </w:r>
          </w:p>
        </w:tc>
        <w:tc>
          <w:tcPr>
            <w:tcW w:w="25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33EB859">
            <w:pPr>
              <w:spacing w:before="36" w:after="36"/>
              <w:jc w:val="left"/>
            </w:pPr>
            <w:r>
              <w:rPr>
                <w:rFonts w:ascii="Arial" w:hAnsi="Arial" w:eastAsia="Arial" w:cs="Arial"/>
                <w:color w:val="222222"/>
                <w:sz w:val="20"/>
                <w:szCs w:val="20"/>
              </w:rPr>
              <w:t>true（实验组）/ false（对照组）</w:t>
            </w:r>
          </w:p>
        </w:tc>
        <w:tc>
          <w:tcPr>
            <w:tcW w:w="2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79C57A8">
            <w:pPr>
              <w:spacing w:before="36" w:after="36"/>
              <w:jc w:val="left"/>
            </w:pPr>
            <w:r>
              <w:rPr>
                <w:rFonts w:ascii="Arial" w:hAnsi="Arial" w:eastAsia="Arial" w:cs="Arial"/>
                <w:color w:val="222222"/>
                <w:sz w:val="20"/>
                <w:szCs w:val="20"/>
              </w:rPr>
              <w:t>true</w:t>
            </w:r>
          </w:p>
        </w:tc>
      </w:tr>
      <w:tr w14:paraId="61D4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BBE958E">
            <w:pPr>
              <w:spacing w:before="36" w:after="36"/>
              <w:jc w:val="left"/>
            </w:pPr>
            <w:r>
              <w:rPr>
                <w:rFonts w:ascii="Arial" w:hAnsi="Arial" w:eastAsia="Arial" w:cs="Arial"/>
                <w:color w:val="222222"/>
                <w:sz w:val="20"/>
                <w:szCs w:val="20"/>
              </w:rPr>
              <w:t>literature_display</w:t>
            </w:r>
          </w:p>
        </w:tc>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542E576">
            <w:pPr>
              <w:spacing w:before="36" w:after="36"/>
              <w:jc w:val="left"/>
            </w:pPr>
            <w:r>
              <w:rPr>
                <w:rFonts w:ascii="Arial" w:hAnsi="Arial" w:eastAsia="Arial" w:cs="Arial"/>
                <w:color w:val="222222"/>
                <w:sz w:val="20"/>
                <w:szCs w:val="20"/>
              </w:rPr>
              <w:t>1（玩家主动点击查阅）</w:t>
            </w:r>
          </w:p>
        </w:tc>
        <w:tc>
          <w:tcPr>
            <w:tcW w:w="25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C378E8F">
            <w:pPr>
              <w:spacing w:before="36" w:after="36"/>
              <w:jc w:val="left"/>
            </w:pPr>
            <w:r>
              <w:rPr>
                <w:rFonts w:ascii="Arial" w:hAnsi="Arial" w:eastAsia="Arial" w:cs="Arial"/>
                <w:color w:val="222222"/>
                <w:sz w:val="20"/>
                <w:szCs w:val="20"/>
              </w:rPr>
              <w:t>0（不展示）/ 2（强制展示）—RCT</w:t>
            </w:r>
          </w:p>
        </w:tc>
        <w:tc>
          <w:tcPr>
            <w:tcW w:w="2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D4019D3">
            <w:pPr>
              <w:spacing w:before="36" w:after="36"/>
              <w:jc w:val="left"/>
            </w:pPr>
            <w:r>
              <w:rPr>
                <w:rFonts w:ascii="Arial" w:hAnsi="Arial" w:eastAsia="Arial" w:cs="Arial"/>
                <w:color w:val="222222"/>
                <w:sz w:val="20"/>
                <w:szCs w:val="20"/>
              </w:rPr>
              <w:t>1</w:t>
            </w:r>
          </w:p>
        </w:tc>
      </w:tr>
    </w:tbl>
    <w:p w14:paraId="2B35C09D">
      <w:pPr>
        <w:spacing w:before="120" w:after="120"/>
      </w:pPr>
    </w:p>
    <w:p w14:paraId="6990BC27">
      <w:r>
        <w:br w:type="page"/>
      </w:r>
    </w:p>
    <w:p w14:paraId="530ECF79">
      <w:pPr>
        <w:pStyle w:val="2"/>
        <w:pBdr>
          <w:bottom w:val="single" w:color="1A3A5C" w:sz="8" w:space="2"/>
        </w:pBdr>
        <w:spacing w:before="440" w:after="200"/>
      </w:pPr>
      <w:r>
        <w:rPr>
          <w:rFonts w:ascii="Arial" w:hAnsi="Arial" w:eastAsia="Arial" w:cs="Arial"/>
          <w:b/>
          <w:bCs/>
          <w:color w:val="1A3A5C"/>
          <w:sz w:val="30"/>
          <w:szCs w:val="30"/>
        </w:rPr>
        <w:t>十一、场景模板库与用户自定义场景体系</w:t>
      </w:r>
    </w:p>
    <w:p w14:paraId="71D80775">
      <w:pPr>
        <w:spacing w:before="80" w:after="80"/>
        <w:jc w:val="both"/>
      </w:pPr>
      <w:r>
        <w:rPr>
          <w:rFonts w:ascii="Arial" w:hAnsi="Arial" w:eastAsia="Arial" w:cs="Arial"/>
          <w:b w:val="0"/>
          <w:bCs w:val="0"/>
          <w:color w:val="111111"/>
          <w:sz w:val="22"/>
          <w:szCs w:val="22"/>
        </w:rPr>
        <w:t>清河记是平台提供的旗舰示范场景，但平台的核心定位始终是「引擎」而非「剧本」。本节系统描述平台的场景供给体系：平台提供什么（可供用户直接使用或改编的模板），以及用户如何从零开始设计自己的场景。两种路径都完整支持，用户可以完全不使用任何预设模板，也可以在模板基础上只改动一两个参数。</w:t>
      </w:r>
    </w:p>
    <w:p w14:paraId="398D2B46">
      <w:pPr>
        <w:spacing w:before="120" w:after="120"/>
      </w:pPr>
    </w:p>
    <w:p w14:paraId="7356F728">
      <w:pPr>
        <w:pStyle w:val="3"/>
        <w:spacing w:before="320" w:after="140"/>
      </w:pPr>
      <w:r>
        <w:rPr>
          <w:rFonts w:ascii="Arial" w:hAnsi="Arial" w:eastAsia="Arial" w:cs="Arial"/>
          <w:b/>
          <w:bCs/>
          <w:color w:val="174A7E"/>
          <w:sz w:val="25"/>
          <w:szCs w:val="25"/>
        </w:rPr>
        <w:t>11.1 场景模板库的设计原则</w:t>
      </w:r>
    </w:p>
    <w:p w14:paraId="06506F97">
      <w:pPr>
        <w:spacing w:before="80" w:after="80"/>
        <w:jc w:val="both"/>
      </w:pPr>
      <w:r>
        <w:rPr>
          <w:rFonts w:ascii="Arial" w:hAnsi="Arial" w:eastAsia="Arial" w:cs="Arial"/>
          <w:b w:val="0"/>
          <w:bCs w:val="0"/>
          <w:color w:val="111111"/>
          <w:sz w:val="22"/>
          <w:szCs w:val="22"/>
        </w:rPr>
        <w:t>平台的场景模板库遵循三条设计原则。第一，制度覆盖优先：八个种子场景共同覆盖六大制度模块的全部主要工作机制，确保教师和研究者在不同制度领域都有高质量起点可用，不必从零构建制度背景知识。第二，场景可分解性：每个种子场景都被设计为可以「只用一部分」——教师可以只取前三个阶段用于单次课堂，也可以只用角色体系搭配自己设计的事件卡，组件之间彼此独立，不存在必须整包使用的强制绑定。第三，参数透明与可追踪：每个种子场景的默认参数配置附有明确的「设计意图说明」，告知用户为什么建议这个参数值，方便用户在调整时理解自己改变的是什么。</w:t>
      </w:r>
    </w:p>
    <w:p w14:paraId="683EB663">
      <w:pPr>
        <w:spacing w:before="120" w:after="120"/>
      </w:pPr>
    </w:p>
    <w:p w14:paraId="423D2CEF">
      <w:pPr>
        <w:pStyle w:val="3"/>
        <w:spacing w:before="320" w:after="140"/>
      </w:pPr>
      <w:r>
        <w:rPr>
          <w:rFonts w:ascii="Arial" w:hAnsi="Arial" w:eastAsia="Arial" w:cs="Arial"/>
          <w:b/>
          <w:bCs/>
          <w:color w:val="174A7E"/>
          <w:sz w:val="25"/>
          <w:szCs w:val="25"/>
        </w:rPr>
        <w:t>11.2 八个种子场景概要</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1500"/>
        <w:gridCol w:w="1000"/>
        <w:gridCol w:w="2860"/>
      </w:tblGrid>
      <w:tr w14:paraId="76165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3AB4C46">
            <w:pPr>
              <w:spacing w:before="36" w:after="36"/>
              <w:jc w:val="center"/>
            </w:pPr>
            <w:r>
              <w:rPr>
                <w:rFonts w:ascii="Arial" w:hAnsi="Arial" w:eastAsia="Arial" w:cs="Arial"/>
                <w:b/>
                <w:bCs/>
                <w:color w:val="FFFFFF"/>
                <w:sz w:val="19"/>
                <w:szCs w:val="19"/>
              </w:rPr>
              <w:t>场景名称</w:t>
            </w:r>
          </w:p>
        </w:tc>
        <w:tc>
          <w:tcPr>
            <w:tcW w:w="25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1941319">
            <w:pPr>
              <w:spacing w:before="36" w:after="36"/>
              <w:jc w:val="center"/>
            </w:pPr>
            <w:r>
              <w:rPr>
                <w:rFonts w:ascii="Arial" w:hAnsi="Arial" w:eastAsia="Arial" w:cs="Arial"/>
                <w:b/>
                <w:bCs/>
                <w:color w:val="FFFFFF"/>
                <w:sz w:val="19"/>
                <w:szCs w:val="19"/>
              </w:rPr>
              <w:t>核心治理议题</w:t>
            </w:r>
          </w:p>
        </w:tc>
        <w:tc>
          <w:tcPr>
            <w:tcW w:w="15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60A116B">
            <w:pPr>
              <w:spacing w:before="36" w:after="36"/>
              <w:jc w:val="center"/>
            </w:pPr>
            <w:r>
              <w:rPr>
                <w:rFonts w:ascii="Arial" w:hAnsi="Arial" w:eastAsia="Arial" w:cs="Arial"/>
                <w:b/>
                <w:bCs/>
                <w:color w:val="FFFFFF"/>
                <w:sz w:val="19"/>
                <w:szCs w:val="19"/>
              </w:rPr>
              <w:t>主要激活制度模块</w:t>
            </w:r>
          </w:p>
        </w:tc>
        <w:tc>
          <w:tcPr>
            <w:tcW w:w="1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504C6F4">
            <w:pPr>
              <w:spacing w:before="36" w:after="36"/>
              <w:jc w:val="center"/>
            </w:pPr>
            <w:r>
              <w:rPr>
                <w:rFonts w:ascii="Arial" w:hAnsi="Arial" w:eastAsia="Arial" w:cs="Arial"/>
                <w:b/>
                <w:bCs/>
                <w:color w:val="FFFFFF"/>
                <w:sz w:val="19"/>
                <w:szCs w:val="19"/>
              </w:rPr>
              <w:t>推荐规模</w:t>
            </w:r>
          </w:p>
        </w:tc>
        <w:tc>
          <w:tcPr>
            <w:tcW w:w="28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B166A9E">
            <w:pPr>
              <w:spacing w:before="36" w:after="36"/>
              <w:jc w:val="center"/>
            </w:pPr>
            <w:r>
              <w:rPr>
                <w:rFonts w:ascii="Arial" w:hAnsi="Arial" w:eastAsia="Arial" w:cs="Arial"/>
                <w:b/>
                <w:bCs/>
                <w:color w:val="FFFFFF"/>
                <w:sz w:val="19"/>
                <w:szCs w:val="19"/>
              </w:rPr>
              <w:t>教学/研究适用</w:t>
            </w:r>
          </w:p>
        </w:tc>
      </w:tr>
      <w:tr w14:paraId="32D2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33527CB">
            <w:pPr>
              <w:spacing w:before="36" w:after="36"/>
              <w:jc w:val="left"/>
            </w:pPr>
            <w:r>
              <w:rPr>
                <w:rFonts w:ascii="Arial" w:hAnsi="Arial" w:eastAsia="Arial" w:cs="Arial"/>
                <w:color w:val="222222"/>
                <w:sz w:val="20"/>
                <w:szCs w:val="20"/>
              </w:rPr>
              <w:t>清河记（旗舰）</w:t>
            </w:r>
          </w:p>
        </w:tc>
        <w:tc>
          <w:tcPr>
            <w:tcW w:w="2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02AF93A">
            <w:pPr>
              <w:spacing w:before="36" w:after="36"/>
              <w:jc w:val="left"/>
            </w:pPr>
            <w:r>
              <w:rPr>
                <w:rFonts w:ascii="Arial" w:hAnsi="Arial" w:eastAsia="Arial" w:cs="Arial"/>
                <w:color w:val="222222"/>
                <w:sz w:val="20"/>
                <w:szCs w:val="20"/>
              </w:rPr>
              <w:t>跨县界突发水污染：府际责任博弈与应急协调</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C872E79">
            <w:pPr>
              <w:spacing w:before="36" w:after="36"/>
              <w:jc w:val="left"/>
            </w:pPr>
            <w:r>
              <w:rPr>
                <w:rFonts w:ascii="Arial" w:hAnsi="Arial" w:eastAsia="Arial" w:cs="Arial"/>
                <w:color w:val="222222"/>
                <w:sz w:val="20"/>
                <w:szCs w:val="20"/>
              </w:rPr>
              <w:t>M1 M3 M4 M5</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ACDA7CE">
            <w:pPr>
              <w:spacing w:before="36" w:after="36"/>
              <w:jc w:val="left"/>
            </w:pPr>
            <w:r>
              <w:rPr>
                <w:rFonts w:ascii="Arial" w:hAnsi="Arial" w:eastAsia="Arial" w:cs="Arial"/>
                <w:color w:val="222222"/>
                <w:sz w:val="20"/>
                <w:szCs w:val="20"/>
              </w:rPr>
              <w:t>6—14人</w:t>
            </w:r>
          </w:p>
        </w:tc>
        <w:tc>
          <w:tcPr>
            <w:tcW w:w="28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8F504FC">
            <w:pPr>
              <w:spacing w:before="36" w:after="36"/>
              <w:jc w:val="left"/>
            </w:pPr>
            <w:r>
              <w:rPr>
                <w:rFonts w:ascii="Arial" w:hAnsi="Arial" w:eastAsia="Arial" w:cs="Arial"/>
                <w:color w:val="222222"/>
                <w:sz w:val="20"/>
                <w:szCs w:val="20"/>
              </w:rPr>
              <w:t>教学/研究两用（已在第十节完整设计）</w:t>
            </w:r>
          </w:p>
        </w:tc>
      </w:tr>
      <w:tr w14:paraId="6679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1412D15">
            <w:pPr>
              <w:spacing w:before="36" w:after="36"/>
              <w:jc w:val="left"/>
            </w:pPr>
            <w:r>
              <w:rPr>
                <w:rFonts w:ascii="Arial" w:hAnsi="Arial" w:eastAsia="Arial" w:cs="Arial"/>
                <w:color w:val="222222"/>
                <w:sz w:val="20"/>
                <w:szCs w:val="20"/>
              </w:rPr>
              <w:t>预算之争</w:t>
            </w:r>
          </w:p>
        </w:tc>
        <w:tc>
          <w:tcPr>
            <w:tcW w:w="2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B6E3CC1">
            <w:pPr>
              <w:spacing w:before="36" w:after="36"/>
              <w:jc w:val="left"/>
            </w:pPr>
            <w:r>
              <w:rPr>
                <w:rFonts w:ascii="Arial" w:hAnsi="Arial" w:eastAsia="Arial" w:cs="Arial"/>
                <w:color w:val="222222"/>
                <w:sz w:val="20"/>
                <w:szCs w:val="20"/>
              </w:rPr>
              <w:t>年度部门预算博弈：资源稀缺条件下的官僚竞争与联盟建构</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071A894">
            <w:pPr>
              <w:spacing w:before="36" w:after="36"/>
              <w:jc w:val="left"/>
            </w:pPr>
            <w:r>
              <w:rPr>
                <w:rFonts w:ascii="Arial" w:hAnsi="Arial" w:eastAsia="Arial" w:cs="Arial"/>
                <w:color w:val="222222"/>
                <w:sz w:val="20"/>
                <w:szCs w:val="20"/>
              </w:rPr>
              <w:t>M1 M4 M3</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CAC6CBC">
            <w:pPr>
              <w:spacing w:before="36" w:after="36"/>
              <w:jc w:val="left"/>
            </w:pPr>
            <w:r>
              <w:rPr>
                <w:rFonts w:ascii="Arial" w:hAnsi="Arial" w:eastAsia="Arial" w:cs="Arial"/>
                <w:color w:val="222222"/>
                <w:sz w:val="20"/>
                <w:szCs w:val="20"/>
              </w:rPr>
              <w:t>8—12人</w:t>
            </w:r>
          </w:p>
        </w:tc>
        <w:tc>
          <w:tcPr>
            <w:tcW w:w="28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F6EC12F">
            <w:pPr>
              <w:spacing w:before="36" w:after="36"/>
              <w:jc w:val="left"/>
            </w:pPr>
            <w:r>
              <w:rPr>
                <w:rFonts w:ascii="Arial" w:hAnsi="Arial" w:eastAsia="Arial" w:cs="Arial"/>
                <w:color w:val="222222"/>
                <w:sz w:val="20"/>
                <w:szCs w:val="20"/>
              </w:rPr>
              <w:t>教学侧重：委托代理、资源分配政治</w:t>
            </w:r>
          </w:p>
        </w:tc>
      </w:tr>
      <w:tr w14:paraId="6083D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13A3ED0">
            <w:pPr>
              <w:spacing w:before="36" w:after="36"/>
              <w:jc w:val="left"/>
            </w:pPr>
            <w:r>
              <w:rPr>
                <w:rFonts w:ascii="Arial" w:hAnsi="Arial" w:eastAsia="Arial" w:cs="Arial"/>
                <w:color w:val="222222"/>
                <w:sz w:val="20"/>
                <w:szCs w:val="20"/>
              </w:rPr>
              <w:t>信访困境</w:t>
            </w:r>
          </w:p>
        </w:tc>
        <w:tc>
          <w:tcPr>
            <w:tcW w:w="2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03D0261">
            <w:pPr>
              <w:spacing w:before="36" w:after="36"/>
              <w:jc w:val="left"/>
            </w:pPr>
            <w:r>
              <w:rPr>
                <w:rFonts w:ascii="Arial" w:hAnsi="Arial" w:eastAsia="Arial" w:cs="Arial"/>
                <w:color w:val="222222"/>
                <w:sz w:val="20"/>
                <w:szCs w:val="20"/>
              </w:rPr>
              <w:t>基层信访事件处置：维稳逻辑、正当诉求与官员裁量空间</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55E5802">
            <w:pPr>
              <w:spacing w:before="36" w:after="36"/>
              <w:jc w:val="left"/>
            </w:pPr>
            <w:r>
              <w:rPr>
                <w:rFonts w:ascii="Arial" w:hAnsi="Arial" w:eastAsia="Arial" w:cs="Arial"/>
                <w:color w:val="222222"/>
                <w:sz w:val="20"/>
                <w:szCs w:val="20"/>
              </w:rPr>
              <w:t>M1 M4 M5 M6</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3F301DF">
            <w:pPr>
              <w:spacing w:before="36" w:after="36"/>
              <w:jc w:val="left"/>
            </w:pPr>
            <w:r>
              <w:rPr>
                <w:rFonts w:ascii="Arial" w:hAnsi="Arial" w:eastAsia="Arial" w:cs="Arial"/>
                <w:color w:val="222222"/>
                <w:sz w:val="20"/>
                <w:szCs w:val="20"/>
              </w:rPr>
              <w:t>6—10人</w:t>
            </w:r>
          </w:p>
        </w:tc>
        <w:tc>
          <w:tcPr>
            <w:tcW w:w="28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5DBE567">
            <w:pPr>
              <w:spacing w:before="36" w:after="36"/>
              <w:jc w:val="left"/>
            </w:pPr>
            <w:r>
              <w:rPr>
                <w:rFonts w:ascii="Arial" w:hAnsi="Arial" w:eastAsia="Arial" w:cs="Arial"/>
                <w:color w:val="222222"/>
                <w:sz w:val="20"/>
                <w:szCs w:val="20"/>
              </w:rPr>
              <w:t>教学侧重：街头官僚裁量、政社关系；研究：信访处置策略</w:t>
            </w:r>
          </w:p>
        </w:tc>
      </w:tr>
      <w:tr w14:paraId="644C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F56BF89">
            <w:pPr>
              <w:spacing w:before="36" w:after="36"/>
              <w:jc w:val="left"/>
            </w:pPr>
            <w:r>
              <w:rPr>
                <w:rFonts w:ascii="Arial" w:hAnsi="Arial" w:eastAsia="Arial" w:cs="Arial"/>
                <w:color w:val="222222"/>
                <w:sz w:val="20"/>
                <w:szCs w:val="20"/>
              </w:rPr>
              <w:t>政策落地</w:t>
            </w:r>
          </w:p>
        </w:tc>
        <w:tc>
          <w:tcPr>
            <w:tcW w:w="2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ADF825F">
            <w:pPr>
              <w:spacing w:before="36" w:after="36"/>
              <w:jc w:val="left"/>
            </w:pPr>
            <w:r>
              <w:rPr>
                <w:rFonts w:ascii="Arial" w:hAnsi="Arial" w:eastAsia="Arial" w:cs="Arial"/>
                <w:color w:val="222222"/>
                <w:sz w:val="20"/>
                <w:szCs w:val="20"/>
              </w:rPr>
              <w:t>中央政策地方化执行：选择性执行与执行偏差的形成机制</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0354AD9">
            <w:pPr>
              <w:spacing w:before="36" w:after="36"/>
              <w:jc w:val="left"/>
            </w:pPr>
            <w:r>
              <w:rPr>
                <w:rFonts w:ascii="Arial" w:hAnsi="Arial" w:eastAsia="Arial" w:cs="Arial"/>
                <w:color w:val="222222"/>
                <w:sz w:val="20"/>
                <w:szCs w:val="20"/>
              </w:rPr>
              <w:t>M1 M2 M4 M5</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0BA8639">
            <w:pPr>
              <w:spacing w:before="36" w:after="36"/>
              <w:jc w:val="left"/>
            </w:pPr>
            <w:r>
              <w:rPr>
                <w:rFonts w:ascii="Arial" w:hAnsi="Arial" w:eastAsia="Arial" w:cs="Arial"/>
                <w:color w:val="222222"/>
                <w:sz w:val="20"/>
                <w:szCs w:val="20"/>
              </w:rPr>
              <w:t>8—16人</w:t>
            </w:r>
          </w:p>
        </w:tc>
        <w:tc>
          <w:tcPr>
            <w:tcW w:w="28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1FDAE89">
            <w:pPr>
              <w:spacing w:before="36" w:after="36"/>
              <w:jc w:val="left"/>
            </w:pPr>
            <w:r>
              <w:rPr>
                <w:rFonts w:ascii="Arial" w:hAnsi="Arial" w:eastAsia="Arial" w:cs="Arial"/>
                <w:color w:val="222222"/>
                <w:sz w:val="20"/>
                <w:szCs w:val="20"/>
              </w:rPr>
              <w:t>研究侧重：央地博弈中的信息传递与政策变形</w:t>
            </w:r>
          </w:p>
        </w:tc>
      </w:tr>
      <w:tr w14:paraId="31098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841AC93">
            <w:pPr>
              <w:spacing w:before="36" w:after="36"/>
              <w:jc w:val="left"/>
            </w:pPr>
            <w:r>
              <w:rPr>
                <w:rFonts w:ascii="Arial" w:hAnsi="Arial" w:eastAsia="Arial" w:cs="Arial"/>
                <w:color w:val="222222"/>
                <w:sz w:val="20"/>
                <w:szCs w:val="20"/>
              </w:rPr>
              <w:t>公私合作</w:t>
            </w:r>
          </w:p>
        </w:tc>
        <w:tc>
          <w:tcPr>
            <w:tcW w:w="2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C784E02">
            <w:pPr>
              <w:spacing w:before="36" w:after="36"/>
              <w:jc w:val="left"/>
            </w:pPr>
            <w:r>
              <w:rPr>
                <w:rFonts w:ascii="Arial" w:hAnsi="Arial" w:eastAsia="Arial" w:cs="Arial"/>
                <w:color w:val="222222"/>
                <w:sz w:val="20"/>
                <w:szCs w:val="20"/>
              </w:rPr>
              <w:t>地方PPP项目谈判：政府与私人资本的利益分配博弈</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23FA8BC">
            <w:pPr>
              <w:spacing w:before="36" w:after="36"/>
              <w:jc w:val="left"/>
            </w:pPr>
            <w:r>
              <w:rPr>
                <w:rFonts w:ascii="Arial" w:hAnsi="Arial" w:eastAsia="Arial" w:cs="Arial"/>
                <w:color w:val="222222"/>
                <w:sz w:val="20"/>
                <w:szCs w:val="20"/>
              </w:rPr>
              <w:t>M1 M3 M4</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F51FFE2">
            <w:pPr>
              <w:spacing w:before="36" w:after="36"/>
              <w:jc w:val="left"/>
            </w:pPr>
            <w:r>
              <w:rPr>
                <w:rFonts w:ascii="Arial" w:hAnsi="Arial" w:eastAsia="Arial" w:cs="Arial"/>
                <w:color w:val="222222"/>
                <w:sz w:val="20"/>
                <w:szCs w:val="20"/>
              </w:rPr>
              <w:t>6—10人</w:t>
            </w:r>
          </w:p>
        </w:tc>
        <w:tc>
          <w:tcPr>
            <w:tcW w:w="28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9E3DAEB">
            <w:pPr>
              <w:spacing w:before="36" w:after="36"/>
              <w:jc w:val="left"/>
            </w:pPr>
            <w:r>
              <w:rPr>
                <w:rFonts w:ascii="Arial" w:hAnsi="Arial" w:eastAsia="Arial" w:cs="Arial"/>
                <w:color w:val="222222"/>
                <w:sz w:val="20"/>
                <w:szCs w:val="20"/>
              </w:rPr>
              <w:t>教学侧重：合同不完全性、机会主义行为</w:t>
            </w:r>
          </w:p>
        </w:tc>
      </w:tr>
      <w:tr w14:paraId="64E38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18FA3CE">
            <w:pPr>
              <w:spacing w:before="36" w:after="36"/>
              <w:jc w:val="left"/>
            </w:pPr>
            <w:r>
              <w:rPr>
                <w:rFonts w:ascii="Arial" w:hAnsi="Arial" w:eastAsia="Arial" w:cs="Arial"/>
                <w:color w:val="222222"/>
                <w:sz w:val="20"/>
                <w:szCs w:val="20"/>
              </w:rPr>
              <w:t>专项督察</w:t>
            </w:r>
          </w:p>
        </w:tc>
        <w:tc>
          <w:tcPr>
            <w:tcW w:w="2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9A390C0">
            <w:pPr>
              <w:spacing w:before="36" w:after="36"/>
              <w:jc w:val="left"/>
            </w:pPr>
            <w:r>
              <w:rPr>
                <w:rFonts w:ascii="Arial" w:hAnsi="Arial" w:eastAsia="Arial" w:cs="Arial"/>
                <w:color w:val="222222"/>
                <w:sz w:val="20"/>
                <w:szCs w:val="20"/>
              </w:rPr>
              <w:t>中央环保督察情境：被督察地方政府的应对策略与表演性合规</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EA38CF2">
            <w:pPr>
              <w:spacing w:before="36" w:after="36"/>
              <w:jc w:val="left"/>
            </w:pPr>
            <w:r>
              <w:rPr>
                <w:rFonts w:ascii="Arial" w:hAnsi="Arial" w:eastAsia="Arial" w:cs="Arial"/>
                <w:color w:val="222222"/>
                <w:sz w:val="20"/>
                <w:szCs w:val="20"/>
              </w:rPr>
              <w:t>M1 M2 M5 M3</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149D446">
            <w:pPr>
              <w:spacing w:before="36" w:after="36"/>
              <w:jc w:val="left"/>
            </w:pPr>
            <w:r>
              <w:rPr>
                <w:rFonts w:ascii="Arial" w:hAnsi="Arial" w:eastAsia="Arial" w:cs="Arial"/>
                <w:color w:val="222222"/>
                <w:sz w:val="20"/>
                <w:szCs w:val="20"/>
              </w:rPr>
              <w:t>8—14人</w:t>
            </w:r>
          </w:p>
        </w:tc>
        <w:tc>
          <w:tcPr>
            <w:tcW w:w="28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2E6902F">
            <w:pPr>
              <w:spacing w:before="36" w:after="36"/>
              <w:jc w:val="left"/>
            </w:pPr>
            <w:r>
              <w:rPr>
                <w:rFonts w:ascii="Arial" w:hAnsi="Arial" w:eastAsia="Arial" w:cs="Arial"/>
                <w:color w:val="222222"/>
                <w:sz w:val="20"/>
                <w:szCs w:val="20"/>
              </w:rPr>
              <w:t>研究侧重：督察机制有效性、官僚回应行为</w:t>
            </w:r>
          </w:p>
        </w:tc>
      </w:tr>
      <w:tr w14:paraId="6489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BD8E7DA">
            <w:pPr>
              <w:spacing w:before="36" w:after="36"/>
              <w:jc w:val="left"/>
            </w:pPr>
            <w:r>
              <w:rPr>
                <w:rFonts w:ascii="Arial" w:hAnsi="Arial" w:eastAsia="Arial" w:cs="Arial"/>
                <w:color w:val="222222"/>
                <w:sz w:val="20"/>
                <w:szCs w:val="20"/>
              </w:rPr>
              <w:t>危机舆情</w:t>
            </w:r>
          </w:p>
        </w:tc>
        <w:tc>
          <w:tcPr>
            <w:tcW w:w="2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1729616">
            <w:pPr>
              <w:spacing w:before="36" w:after="36"/>
              <w:jc w:val="left"/>
            </w:pPr>
            <w:r>
              <w:rPr>
                <w:rFonts w:ascii="Arial" w:hAnsi="Arial" w:eastAsia="Arial" w:cs="Arial"/>
                <w:color w:val="222222"/>
                <w:sz w:val="20"/>
                <w:szCs w:val="20"/>
              </w:rPr>
              <w:t>突发公共卫生事件信息管理：信息透明与社会稳定的张力</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DE9A5C1">
            <w:pPr>
              <w:spacing w:before="36" w:after="36"/>
              <w:jc w:val="left"/>
            </w:pPr>
            <w:r>
              <w:rPr>
                <w:rFonts w:ascii="Arial" w:hAnsi="Arial" w:eastAsia="Arial" w:cs="Arial"/>
                <w:color w:val="222222"/>
                <w:sz w:val="20"/>
                <w:szCs w:val="20"/>
              </w:rPr>
              <w:t>M1 M4 M5 M6</w:t>
            </w:r>
          </w:p>
        </w:tc>
        <w:tc>
          <w:tcPr>
            <w:tcW w:w="1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624B658">
            <w:pPr>
              <w:spacing w:before="36" w:after="36"/>
              <w:jc w:val="left"/>
            </w:pPr>
            <w:r>
              <w:rPr>
                <w:rFonts w:ascii="Arial" w:hAnsi="Arial" w:eastAsia="Arial" w:cs="Arial"/>
                <w:color w:val="222222"/>
                <w:sz w:val="20"/>
                <w:szCs w:val="20"/>
              </w:rPr>
              <w:t>8—12人</w:t>
            </w:r>
          </w:p>
        </w:tc>
        <w:tc>
          <w:tcPr>
            <w:tcW w:w="28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9E41ED4">
            <w:pPr>
              <w:spacing w:before="36" w:after="36"/>
              <w:jc w:val="left"/>
            </w:pPr>
            <w:r>
              <w:rPr>
                <w:rFonts w:ascii="Arial" w:hAnsi="Arial" w:eastAsia="Arial" w:cs="Arial"/>
                <w:color w:val="222222"/>
                <w:sz w:val="20"/>
                <w:szCs w:val="20"/>
              </w:rPr>
              <w:t>教学/研究：风险沟通、媒体政治、政府公信力</w:t>
            </w:r>
          </w:p>
        </w:tc>
      </w:tr>
      <w:tr w14:paraId="41A5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FC18290">
            <w:pPr>
              <w:spacing w:before="36" w:after="36"/>
              <w:jc w:val="left"/>
            </w:pPr>
            <w:r>
              <w:rPr>
                <w:rFonts w:ascii="Arial" w:hAnsi="Arial" w:eastAsia="Arial" w:cs="Arial"/>
                <w:color w:val="222222"/>
                <w:sz w:val="20"/>
                <w:szCs w:val="20"/>
              </w:rPr>
              <w:t>选举竞争</w:t>
            </w:r>
          </w:p>
        </w:tc>
        <w:tc>
          <w:tcPr>
            <w:tcW w:w="2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19AB66D">
            <w:pPr>
              <w:spacing w:before="36" w:after="36"/>
              <w:jc w:val="left"/>
            </w:pPr>
            <w:r>
              <w:rPr>
                <w:rFonts w:ascii="Arial" w:hAnsi="Arial" w:eastAsia="Arial" w:cs="Arial"/>
                <w:color w:val="222222"/>
                <w:sz w:val="20"/>
                <w:szCs w:val="20"/>
              </w:rPr>
              <w:t>乡镇人大代表候选人竞选：基层民主的程序性与实质性张力</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6DC4BF0">
            <w:pPr>
              <w:spacing w:before="36" w:after="36"/>
              <w:jc w:val="left"/>
            </w:pPr>
            <w:r>
              <w:rPr>
                <w:rFonts w:ascii="Arial" w:hAnsi="Arial" w:eastAsia="Arial" w:cs="Arial"/>
                <w:color w:val="222222"/>
                <w:sz w:val="20"/>
                <w:szCs w:val="20"/>
              </w:rPr>
              <w:t>M1 M6 M4</w:t>
            </w:r>
          </w:p>
        </w:tc>
        <w:tc>
          <w:tcPr>
            <w:tcW w:w="1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658CE7B">
            <w:pPr>
              <w:spacing w:before="36" w:after="36"/>
              <w:jc w:val="left"/>
            </w:pPr>
            <w:r>
              <w:rPr>
                <w:rFonts w:ascii="Arial" w:hAnsi="Arial" w:eastAsia="Arial" w:cs="Arial"/>
                <w:color w:val="222222"/>
                <w:sz w:val="20"/>
                <w:szCs w:val="20"/>
              </w:rPr>
              <w:t>6—10人</w:t>
            </w:r>
          </w:p>
        </w:tc>
        <w:tc>
          <w:tcPr>
            <w:tcW w:w="28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7566B5B">
            <w:pPr>
              <w:spacing w:before="36" w:after="36"/>
              <w:jc w:val="left"/>
            </w:pPr>
            <w:r>
              <w:rPr>
                <w:rFonts w:ascii="Arial" w:hAnsi="Arial" w:eastAsia="Arial" w:cs="Arial"/>
                <w:color w:val="222222"/>
                <w:sz w:val="20"/>
                <w:szCs w:val="20"/>
              </w:rPr>
              <w:t>研究侧重：选举行为、代表性与问责的关系</w:t>
            </w:r>
          </w:p>
        </w:tc>
      </w:tr>
    </w:tbl>
    <w:p w14:paraId="4CA5F587">
      <w:pPr>
        <w:spacing w:before="120" w:after="120"/>
      </w:pPr>
    </w:p>
    <w:p w14:paraId="7D322698">
      <w:pPr>
        <w:pStyle w:val="3"/>
        <w:spacing w:before="320" w:after="140"/>
      </w:pPr>
      <w:r>
        <w:rPr>
          <w:rFonts w:ascii="Arial" w:hAnsi="Arial" w:eastAsia="Arial" w:cs="Arial"/>
          <w:b/>
          <w:bCs/>
          <w:color w:val="174A7E"/>
          <w:sz w:val="25"/>
          <w:szCs w:val="25"/>
        </w:rPr>
        <w:t>11.3 完全自定义场景的设计流程</w:t>
      </w:r>
    </w:p>
    <w:p w14:paraId="146FD309">
      <w:pPr>
        <w:spacing w:before="80" w:after="80"/>
        <w:jc w:val="both"/>
      </w:pPr>
      <w:r>
        <w:rPr>
          <w:rFonts w:ascii="Arial" w:hAnsi="Arial" w:eastAsia="Arial" w:cs="Arial"/>
          <w:b w:val="0"/>
          <w:bCs w:val="0"/>
          <w:color w:val="111111"/>
          <w:sz w:val="22"/>
          <w:szCs w:val="22"/>
        </w:rPr>
        <w:t>对于希望完全自定义场景的用户，平台提供「空白模板」起点，用户从一个最小化的空场景开始，逐步填充所有必要元素。以下描述完整的自定义设计流程，包括在每个步骤中用户必须决定什么、平台提供什么辅助工具、以及常见的设计失误与规避建议。</w:t>
      </w:r>
    </w:p>
    <w:p w14:paraId="7F8B9012">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26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3339D490">
            <w:pPr>
              <w:spacing w:before="60" w:after="100"/>
            </w:pPr>
            <w:r>
              <w:rPr>
                <w:rFonts w:ascii="Arial" w:hAnsi="Arial" w:eastAsia="Arial" w:cs="Arial"/>
                <w:b/>
                <w:bCs/>
                <w:color w:val="1A3A5C"/>
                <w:sz w:val="21"/>
                <w:szCs w:val="21"/>
              </w:rPr>
              <w:t>▌ 完全自定义场景七步设计流程</w:t>
            </w:r>
          </w:p>
          <w:p w14:paraId="63635FD2">
            <w:pPr>
              <w:spacing w:before="16" w:after="16"/>
            </w:pPr>
            <w:r>
              <w:rPr>
                <w:rFonts w:ascii="Courier New" w:hAnsi="Courier New" w:eastAsia="Courier New" w:cs="Courier New"/>
                <w:color w:val="1A2233"/>
                <w:sz w:val="19"/>
                <w:szCs w:val="19"/>
              </w:rPr>
              <w:t xml:space="preserve">  用户自定义场景设计流程</w:t>
            </w:r>
          </w:p>
          <w:p w14:paraId="0B36F4A5">
            <w:pPr>
              <w:spacing w:before="16" w:after="16"/>
            </w:pPr>
            <w:r>
              <w:rPr>
                <w:rFonts w:ascii="Courier New" w:hAnsi="Courier New" w:eastAsia="Courier New" w:cs="Courier New"/>
                <w:color w:val="1A2233"/>
                <w:sz w:val="19"/>
                <w:szCs w:val="19"/>
              </w:rPr>
              <w:t xml:space="preserve">  ════════════════════════════════════════════════════════════════</w:t>
            </w:r>
          </w:p>
          <w:p w14:paraId="61DBC3A8">
            <w:pPr>
              <w:spacing w:before="16" w:after="16"/>
            </w:pPr>
          </w:p>
          <w:p w14:paraId="196E378E">
            <w:pPr>
              <w:spacing w:before="16" w:after="16"/>
            </w:pPr>
            <w:r>
              <w:rPr>
                <w:rFonts w:ascii="Courier New" w:hAnsi="Courier New" w:eastAsia="Courier New" w:cs="Courier New"/>
                <w:color w:val="1A2233"/>
                <w:sz w:val="19"/>
                <w:szCs w:val="19"/>
              </w:rPr>
              <w:t xml:space="preserve">  步骤1：确定治理议题与问题情境</w:t>
            </w:r>
          </w:p>
          <w:p w14:paraId="0ED1A390">
            <w:pPr>
              <w:spacing w:before="16" w:after="16"/>
            </w:pPr>
            <w:r>
              <w:rPr>
                <w:rFonts w:ascii="Courier New" w:hAnsi="Courier New" w:eastAsia="Courier New" w:cs="Courier New"/>
                <w:color w:val="1A2233"/>
                <w:sz w:val="19"/>
                <w:szCs w:val="19"/>
              </w:rPr>
              <w:t xml:space="preserve">  ──────────────────────────────────────────────────────────────</w:t>
            </w:r>
          </w:p>
          <w:p w14:paraId="5C1094AB">
            <w:pPr>
              <w:spacing w:before="16" w:after="16"/>
            </w:pPr>
            <w:r>
              <w:rPr>
                <w:rFonts w:ascii="Courier New" w:hAnsi="Courier New" w:eastAsia="Courier New" w:cs="Courier New"/>
                <w:color w:val="1A2233"/>
                <w:sz w:val="19"/>
                <w:szCs w:val="19"/>
              </w:rPr>
              <w:t xml:space="preserve">  用户需要确定：①核心治理问题（一句话描述）</w:t>
            </w:r>
          </w:p>
          <w:p w14:paraId="734A8571">
            <w:pPr>
              <w:spacing w:before="16" w:after="16"/>
            </w:pPr>
            <w:r>
              <w:rPr>
                <w:rFonts w:ascii="Courier New" w:hAnsi="Courier New" w:eastAsia="Courier New" w:cs="Courier New"/>
                <w:color w:val="1A2233"/>
                <w:sz w:val="19"/>
                <w:szCs w:val="19"/>
              </w:rPr>
              <w:t xml:space="preserve">               ②涉及的行政层级和部门范围</w:t>
            </w:r>
          </w:p>
          <w:p w14:paraId="1D94E1CC">
            <w:pPr>
              <w:spacing w:before="16" w:after="16"/>
            </w:pPr>
            <w:r>
              <w:rPr>
                <w:rFonts w:ascii="Courier New" w:hAnsi="Courier New" w:eastAsia="Courier New" w:cs="Courier New"/>
                <w:color w:val="1A2233"/>
                <w:sz w:val="19"/>
                <w:szCs w:val="19"/>
              </w:rPr>
              <w:t xml:space="preserve">               ③问题的时间压力特征（突发性/渐进性/周期性）</w:t>
            </w:r>
          </w:p>
          <w:p w14:paraId="4EC62A72">
            <w:pPr>
              <w:spacing w:before="16" w:after="16"/>
            </w:pPr>
            <w:r>
              <w:rPr>
                <w:rFonts w:ascii="Courier New" w:hAnsi="Courier New" w:eastAsia="Courier New" w:cs="Courier New"/>
                <w:color w:val="1A2233"/>
                <w:sz w:val="19"/>
                <w:szCs w:val="19"/>
              </w:rPr>
              <w:t xml:space="preserve">  平台提供：「议题-制度模块匹配建议工具」（基于关键词推荐应激活哪些制度模块）</w:t>
            </w:r>
          </w:p>
          <w:p w14:paraId="29E2F711">
            <w:pPr>
              <w:spacing w:before="16" w:after="16"/>
            </w:pPr>
            <w:r>
              <w:rPr>
                <w:rFonts w:ascii="Courier New" w:hAnsi="Courier New" w:eastAsia="Courier New" w:cs="Courier New"/>
                <w:color w:val="1A2233"/>
                <w:sz w:val="19"/>
                <w:szCs w:val="19"/>
              </w:rPr>
              <w:t xml:space="preserve">  常见失误：问题太宏观（如「整个国家治理体系」），建议聚焦到具体一级或两级政府</w:t>
            </w:r>
          </w:p>
          <w:p w14:paraId="6283DD6A">
            <w:pPr>
              <w:spacing w:before="16" w:after="16"/>
            </w:pPr>
          </w:p>
          <w:p w14:paraId="19425449">
            <w:pPr>
              <w:spacing w:before="16" w:after="16"/>
            </w:pPr>
            <w:r>
              <w:rPr>
                <w:rFonts w:ascii="Courier New" w:hAnsi="Courier New" w:eastAsia="Courier New" w:cs="Courier New"/>
                <w:color w:val="1A2233"/>
                <w:sz w:val="19"/>
                <w:szCs w:val="19"/>
              </w:rPr>
              <w:t xml:space="preserve">  步骤2：设计角色体系</w:t>
            </w:r>
          </w:p>
          <w:p w14:paraId="5A5E668E">
            <w:pPr>
              <w:spacing w:before="16" w:after="16"/>
            </w:pPr>
            <w:r>
              <w:rPr>
                <w:rFonts w:ascii="Courier New" w:hAnsi="Courier New" w:eastAsia="Courier New" w:cs="Courier New"/>
                <w:color w:val="1A2233"/>
                <w:sz w:val="19"/>
                <w:szCs w:val="19"/>
              </w:rPr>
              <w:t xml:space="preserve">  ──────────────────────────────────────────────────────────────</w:t>
            </w:r>
          </w:p>
          <w:p w14:paraId="5EB50FDD">
            <w:pPr>
              <w:spacing w:before="16" w:after="16"/>
            </w:pPr>
            <w:r>
              <w:rPr>
                <w:rFonts w:ascii="Courier New" w:hAnsi="Courier New" w:eastAsia="Courier New" w:cs="Courier New"/>
                <w:color w:val="1A2233"/>
                <w:sz w:val="19"/>
                <w:szCs w:val="19"/>
              </w:rPr>
              <w:t xml:space="preserve">  用户需要确定：①角色总数（4—16个）</w:t>
            </w:r>
          </w:p>
          <w:p w14:paraId="3D861034">
            <w:pPr>
              <w:spacing w:before="16" w:after="16"/>
            </w:pPr>
            <w:r>
              <w:rPr>
                <w:rFonts w:ascii="Courier New" w:hAnsi="Courier New" w:eastAsia="Courier New" w:cs="Courier New"/>
                <w:color w:val="1A2233"/>
                <w:sz w:val="19"/>
                <w:szCs w:val="19"/>
              </w:rPr>
              <w:t xml:space="preserve">               ②每个角色的正式职位（须符合真实行政体制设置）</w:t>
            </w:r>
          </w:p>
          <w:p w14:paraId="000B58C4">
            <w:pPr>
              <w:spacing w:before="16" w:after="16"/>
            </w:pPr>
            <w:r>
              <w:rPr>
                <w:rFonts w:ascii="Courier New" w:hAnsi="Courier New" w:eastAsia="Courier New" w:cs="Courier New"/>
                <w:color w:val="1A2233"/>
                <w:sz w:val="19"/>
                <w:szCs w:val="19"/>
              </w:rPr>
              <w:t xml:space="preserve">               ③每个角色的KPI权重分配（五维，总和=100%）</w:t>
            </w:r>
          </w:p>
          <w:p w14:paraId="643138FA">
            <w:pPr>
              <w:spacing w:before="16" w:after="16"/>
            </w:pPr>
            <w:r>
              <w:rPr>
                <w:rFonts w:ascii="Courier New" w:hAnsi="Courier New" w:eastAsia="Courier New" w:cs="Courier New"/>
                <w:color w:val="1A2233"/>
                <w:sz w:val="19"/>
                <w:szCs w:val="19"/>
              </w:rPr>
              <w:t xml:space="preserve">               ④每个角色持有的独占信息</w:t>
            </w:r>
          </w:p>
          <w:p w14:paraId="60151958">
            <w:pPr>
              <w:spacing w:before="16" w:after="16"/>
            </w:pPr>
            <w:r>
              <w:rPr>
                <w:rFonts w:ascii="Courier New" w:hAnsi="Courier New" w:eastAsia="Courier New" w:cs="Courier New"/>
                <w:color w:val="1A2233"/>
                <w:sz w:val="19"/>
                <w:szCs w:val="19"/>
              </w:rPr>
              <w:t xml:space="preserve">  平台提供：「角色-职位合规检验工具」（验证职位是否在真实行政体制中存在）</w:t>
            </w:r>
          </w:p>
          <w:p w14:paraId="297B18DB">
            <w:pPr>
              <w:spacing w:before="16" w:after="16"/>
            </w:pPr>
            <w:r>
              <w:rPr>
                <w:rFonts w:ascii="Courier New" w:hAnsi="Courier New" w:eastAsia="Courier New" w:cs="Courier New"/>
                <w:color w:val="1A2233"/>
                <w:sz w:val="19"/>
                <w:szCs w:val="19"/>
              </w:rPr>
              <w:t xml:space="preserve">            「角色权限矩阵自动生成工具」（基于职位自动推荐可用行动类型）</w:t>
            </w:r>
          </w:p>
          <w:p w14:paraId="0B343A4C">
            <w:pPr>
              <w:spacing w:before="16" w:after="16"/>
            </w:pPr>
            <w:r>
              <w:rPr>
                <w:rFonts w:ascii="Courier New" w:hAnsi="Courier New" w:eastAsia="Courier New" w:cs="Courier New"/>
                <w:color w:val="1A2233"/>
                <w:sz w:val="19"/>
                <w:szCs w:val="19"/>
              </w:rPr>
              <w:t xml:space="preserve">  常见失误：KPI权重与角色职位不匹配（如环保局长STS权重过高）</w:t>
            </w:r>
          </w:p>
          <w:p w14:paraId="2A6FDB39">
            <w:pPr>
              <w:spacing w:before="16" w:after="16"/>
            </w:pPr>
            <w:r>
              <w:rPr>
                <w:rFonts w:ascii="Courier New" w:hAnsi="Courier New" w:eastAsia="Courier New" w:cs="Courier New"/>
                <w:color w:val="1A2233"/>
                <w:sz w:val="19"/>
                <w:szCs w:val="19"/>
              </w:rPr>
              <w:t xml:space="preserve">            独占信息过于雷同（各角色掌握信息差异不足，博弈性下降）</w:t>
            </w:r>
          </w:p>
          <w:p w14:paraId="3624F3D6">
            <w:pPr>
              <w:spacing w:before="16" w:after="16"/>
            </w:pPr>
          </w:p>
          <w:p w14:paraId="1FE1EBE8">
            <w:pPr>
              <w:spacing w:before="16" w:after="16"/>
            </w:pPr>
            <w:r>
              <w:rPr>
                <w:rFonts w:ascii="Courier New" w:hAnsi="Courier New" w:eastAsia="Courier New" w:cs="Courier New"/>
                <w:color w:val="1A2233"/>
                <w:sz w:val="19"/>
                <w:szCs w:val="19"/>
              </w:rPr>
              <w:t xml:space="preserve">  步骤3：设置24个参数</w:t>
            </w:r>
          </w:p>
          <w:p w14:paraId="5E327B5E">
            <w:pPr>
              <w:spacing w:before="16" w:after="16"/>
            </w:pPr>
            <w:r>
              <w:rPr>
                <w:rFonts w:ascii="Courier New" w:hAnsi="Courier New" w:eastAsia="Courier New" w:cs="Courier New"/>
                <w:color w:val="1A2233"/>
                <w:sz w:val="19"/>
                <w:szCs w:val="19"/>
              </w:rPr>
              <w:t xml:space="preserve">  ──────────────────────────────────────────────────────────────</w:t>
            </w:r>
          </w:p>
          <w:p w14:paraId="3A0A6331">
            <w:pPr>
              <w:spacing w:before="16" w:after="16"/>
            </w:pPr>
            <w:r>
              <w:rPr>
                <w:rFonts w:ascii="Courier New" w:hAnsi="Courier New" w:eastAsia="Courier New" w:cs="Courier New"/>
                <w:color w:val="1A2233"/>
                <w:sz w:val="19"/>
                <w:szCs w:val="19"/>
              </w:rPr>
              <w:t xml:space="preserve">  用户需要确定：四组共24个参数的具体取值</w:t>
            </w:r>
          </w:p>
          <w:p w14:paraId="35FC22F8">
            <w:pPr>
              <w:spacing w:before="16" w:after="16"/>
            </w:pPr>
            <w:r>
              <w:rPr>
                <w:rFonts w:ascii="Courier New" w:hAnsi="Courier New" w:eastAsia="Courier New" w:cs="Courier New"/>
                <w:color w:val="1A2233"/>
                <w:sz w:val="19"/>
                <w:szCs w:val="19"/>
              </w:rPr>
              <w:t xml:space="preserve">  平台提供：「参数冲突检测工具」（自动识别逻辑矛盾的参数组合）</w:t>
            </w:r>
          </w:p>
          <w:p w14:paraId="3019E051">
            <w:pPr>
              <w:spacing w:before="16" w:after="16"/>
            </w:pPr>
            <w:r>
              <w:rPr>
                <w:rFonts w:ascii="Courier New" w:hAnsi="Courier New" w:eastAsia="Courier New" w:cs="Courier New"/>
                <w:color w:val="1A2233"/>
                <w:sz w:val="19"/>
                <w:szCs w:val="19"/>
              </w:rPr>
              <w:t xml:space="preserve">            「参数效果预览工具」（输入参数值，预览其对推演动态的预期影响）</w:t>
            </w:r>
          </w:p>
          <w:p w14:paraId="4CB0F2D4">
            <w:pPr>
              <w:spacing w:before="16" w:after="16"/>
            </w:pPr>
            <w:r>
              <w:rPr>
                <w:rFonts w:ascii="Courier New" w:hAnsi="Courier New" w:eastAsia="Courier New" w:cs="Courier New"/>
                <w:color w:val="1A2233"/>
                <w:sz w:val="19"/>
                <w:szCs w:val="19"/>
              </w:rPr>
              <w:t xml:space="preserve">            「对照场景生成工具」（一键生成仅某一参数不同的对照场景，用于RCT）</w:t>
            </w:r>
          </w:p>
          <w:p w14:paraId="22D14408">
            <w:pPr>
              <w:spacing w:before="16" w:after="16"/>
            </w:pPr>
            <w:r>
              <w:rPr>
                <w:rFonts w:ascii="Courier New" w:hAnsi="Courier New" w:eastAsia="Courier New" w:cs="Courier New"/>
                <w:color w:val="1A2233"/>
                <w:sz w:val="19"/>
                <w:szCs w:val="19"/>
              </w:rPr>
              <w:t xml:space="preserve">  常见失误：参数过于极端（全部设为最大值），导致推演失去弹性空间</w:t>
            </w:r>
          </w:p>
          <w:p w14:paraId="53715553">
            <w:pPr>
              <w:spacing w:before="16" w:after="16"/>
            </w:pPr>
          </w:p>
          <w:p w14:paraId="0F87638D">
            <w:pPr>
              <w:spacing w:before="16" w:after="16"/>
            </w:pPr>
            <w:r>
              <w:rPr>
                <w:rFonts w:ascii="Courier New" w:hAnsi="Courier New" w:eastAsia="Courier New" w:cs="Courier New"/>
                <w:color w:val="1A2233"/>
                <w:sz w:val="19"/>
                <w:szCs w:val="19"/>
              </w:rPr>
              <w:t xml:space="preserve">  步骤4：设计阶段脚本与决策节点</w:t>
            </w:r>
          </w:p>
          <w:p w14:paraId="662856E0">
            <w:pPr>
              <w:spacing w:before="16" w:after="16"/>
            </w:pPr>
            <w:r>
              <w:rPr>
                <w:rFonts w:ascii="Courier New" w:hAnsi="Courier New" w:eastAsia="Courier New" w:cs="Courier New"/>
                <w:color w:val="1A2233"/>
                <w:sz w:val="19"/>
                <w:szCs w:val="19"/>
              </w:rPr>
              <w:t xml:space="preserve">  ──────────────────────────────────────────────────────────────</w:t>
            </w:r>
          </w:p>
          <w:p w14:paraId="084FFC46">
            <w:pPr>
              <w:spacing w:before="16" w:after="16"/>
            </w:pPr>
            <w:r>
              <w:rPr>
                <w:rFonts w:ascii="Courier New" w:hAnsi="Courier New" w:eastAsia="Courier New" w:cs="Courier New"/>
                <w:color w:val="1A2233"/>
                <w:sz w:val="19"/>
                <w:szCs w:val="19"/>
              </w:rPr>
              <w:t xml:space="preserve">  用户需要确定：①推演共几个阶段，每个阶段的核心情境</w:t>
            </w:r>
          </w:p>
          <w:p w14:paraId="20DD8A94">
            <w:pPr>
              <w:spacing w:before="16" w:after="16"/>
            </w:pPr>
            <w:r>
              <w:rPr>
                <w:rFonts w:ascii="Courier New" w:hAnsi="Courier New" w:eastAsia="Courier New" w:cs="Courier New"/>
                <w:color w:val="1A2233"/>
                <w:sz w:val="19"/>
                <w:szCs w:val="19"/>
              </w:rPr>
              <w:t xml:space="preserve">               ②每个阶段的主要决策节点（建议每阶段2—3个）</w:t>
            </w:r>
          </w:p>
          <w:p w14:paraId="0958966C">
            <w:pPr>
              <w:spacing w:before="16" w:after="16"/>
            </w:pPr>
            <w:r>
              <w:rPr>
                <w:rFonts w:ascii="Courier New" w:hAnsi="Courier New" w:eastAsia="Courier New" w:cs="Courier New"/>
                <w:color w:val="1A2233"/>
                <w:sz w:val="19"/>
                <w:szCs w:val="19"/>
              </w:rPr>
              <w:t xml:space="preserve">               ③各决策节点的行动选项（可全部由RAG自动生成，也可手动预设）</w:t>
            </w:r>
          </w:p>
          <w:p w14:paraId="78D50291">
            <w:pPr>
              <w:spacing w:before="16" w:after="16"/>
            </w:pPr>
            <w:r>
              <w:rPr>
                <w:rFonts w:ascii="Courier New" w:hAnsi="Courier New" w:eastAsia="Courier New" w:cs="Courier New"/>
                <w:color w:val="1A2233"/>
                <w:sz w:val="19"/>
                <w:szCs w:val="19"/>
              </w:rPr>
              <w:t xml:space="preserve">  平台提供：「阶段脚本模板库」（可调用种子场景的阶段设计作为参考）</w:t>
            </w:r>
          </w:p>
          <w:p w14:paraId="7C9E3185">
            <w:pPr>
              <w:spacing w:before="16" w:after="16"/>
            </w:pPr>
            <w:r>
              <w:rPr>
                <w:rFonts w:ascii="Courier New" w:hAnsi="Courier New" w:eastAsia="Courier New" w:cs="Courier New"/>
                <w:color w:val="1A2233"/>
                <w:sz w:val="19"/>
                <w:szCs w:val="19"/>
              </w:rPr>
              <w:t xml:space="preserve">            「决策节点预览工具」（模拟当前知识库配置下RAG会生成哪些选项）</w:t>
            </w:r>
          </w:p>
          <w:p w14:paraId="3E8B62B4">
            <w:pPr>
              <w:spacing w:before="16" w:after="16"/>
            </w:pPr>
          </w:p>
          <w:p w14:paraId="3AC8CD0F">
            <w:pPr>
              <w:spacing w:before="16" w:after="16"/>
            </w:pPr>
            <w:r>
              <w:rPr>
                <w:rFonts w:ascii="Courier New" w:hAnsi="Courier New" w:eastAsia="Courier New" w:cs="Courier New"/>
                <w:color w:val="1A2233"/>
                <w:sz w:val="19"/>
                <w:szCs w:val="19"/>
              </w:rPr>
              <w:t xml:space="preserve">  步骤5：配置事件卡</w:t>
            </w:r>
          </w:p>
          <w:p w14:paraId="66143172">
            <w:pPr>
              <w:spacing w:before="16" w:after="16"/>
            </w:pPr>
            <w:r>
              <w:rPr>
                <w:rFonts w:ascii="Courier New" w:hAnsi="Courier New" w:eastAsia="Courier New" w:cs="Courier New"/>
                <w:color w:val="1A2233"/>
                <w:sz w:val="19"/>
                <w:szCs w:val="19"/>
              </w:rPr>
              <w:t xml:space="preserve">  ──────────────────────────────────────────────────────────────</w:t>
            </w:r>
          </w:p>
          <w:p w14:paraId="1D947E81">
            <w:pPr>
              <w:spacing w:before="16" w:after="16"/>
            </w:pPr>
            <w:r>
              <w:rPr>
                <w:rFonts w:ascii="Courier New" w:hAnsi="Courier New" w:eastAsia="Courier New" w:cs="Courier New"/>
                <w:color w:val="1A2233"/>
                <w:sz w:val="19"/>
                <w:szCs w:val="19"/>
              </w:rPr>
              <w:t xml:space="preserve">  用户需要确定：事件卡总数量、类型（必发/随机）、触发条件、内容</w:t>
            </w:r>
          </w:p>
          <w:p w14:paraId="617DE50C">
            <w:pPr>
              <w:spacing w:before="16" w:after="16"/>
            </w:pPr>
            <w:r>
              <w:rPr>
                <w:rFonts w:ascii="Courier New" w:hAnsi="Courier New" w:eastAsia="Courier New" w:cs="Courier New"/>
                <w:color w:val="1A2233"/>
                <w:sz w:val="19"/>
                <w:szCs w:val="19"/>
              </w:rPr>
              <w:t xml:space="preserve">  平台提供：「事件卡生成助手」（AI辅助根据场景主题自动生成事件卡草稿）</w:t>
            </w:r>
          </w:p>
          <w:p w14:paraId="1367909A">
            <w:pPr>
              <w:spacing w:before="16" w:after="16"/>
            </w:pPr>
            <w:r>
              <w:rPr>
                <w:rFonts w:ascii="Courier New" w:hAnsi="Courier New" w:eastAsia="Courier New" w:cs="Courier New"/>
                <w:color w:val="1A2233"/>
                <w:sz w:val="19"/>
                <w:szCs w:val="19"/>
              </w:rPr>
              <w:t xml:space="preserve">            「触发条件合法性验证」（检查触发条件是否在推演参数空间中可达）</w:t>
            </w:r>
          </w:p>
          <w:p w14:paraId="1344C775">
            <w:pPr>
              <w:spacing w:before="16" w:after="16"/>
            </w:pPr>
          </w:p>
          <w:p w14:paraId="21C560EC">
            <w:pPr>
              <w:spacing w:before="16" w:after="16"/>
            </w:pPr>
            <w:r>
              <w:rPr>
                <w:rFonts w:ascii="Courier New" w:hAnsi="Courier New" w:eastAsia="Courier New" w:cs="Courier New"/>
                <w:color w:val="1A2233"/>
                <w:sz w:val="19"/>
                <w:szCs w:val="19"/>
              </w:rPr>
              <w:t xml:space="preserve">  步骤6：关联知识库</w:t>
            </w:r>
          </w:p>
          <w:p w14:paraId="50A154EB">
            <w:pPr>
              <w:spacing w:before="16" w:after="16"/>
            </w:pPr>
            <w:r>
              <w:rPr>
                <w:rFonts w:ascii="Courier New" w:hAnsi="Courier New" w:eastAsia="Courier New" w:cs="Courier New"/>
                <w:color w:val="1A2233"/>
                <w:sz w:val="19"/>
                <w:szCs w:val="19"/>
              </w:rPr>
              <w:t xml:space="preserve">  ──────────────────────────────────────────────────────────────</w:t>
            </w:r>
          </w:p>
          <w:p w14:paraId="4B68872E">
            <w:pPr>
              <w:spacing w:before="16" w:after="16"/>
            </w:pPr>
            <w:r>
              <w:rPr>
                <w:rFonts w:ascii="Courier New" w:hAnsi="Courier New" w:eastAsia="Courier New" w:cs="Courier New"/>
                <w:color w:val="1A2233"/>
                <w:sz w:val="19"/>
                <w:szCs w:val="19"/>
              </w:rPr>
              <w:t xml:space="preserve">  用户需要确定：使用哪些L2主题专库，是否上传私有L3材料</w:t>
            </w:r>
          </w:p>
          <w:p w14:paraId="1E9B37C2">
            <w:pPr>
              <w:spacing w:before="16" w:after="16"/>
            </w:pPr>
            <w:r>
              <w:rPr>
                <w:rFonts w:ascii="Courier New" w:hAnsi="Courier New" w:eastAsia="Courier New" w:cs="Courier New"/>
                <w:color w:val="1A2233"/>
                <w:sz w:val="19"/>
                <w:szCs w:val="19"/>
              </w:rPr>
              <w:t xml:space="preserve">  平台提供：「知识库覆盖热力图」（预览当前知识库对各决策节点的文献覆盖情况）</w:t>
            </w:r>
          </w:p>
          <w:p w14:paraId="45F893AE">
            <w:pPr>
              <w:spacing w:before="16" w:after="16"/>
            </w:pPr>
          </w:p>
          <w:p w14:paraId="56AE1B19">
            <w:pPr>
              <w:spacing w:before="16" w:after="16"/>
            </w:pPr>
            <w:r>
              <w:rPr>
                <w:rFonts w:ascii="Courier New" w:hAnsi="Courier New" w:eastAsia="Courier New" w:cs="Courier New"/>
                <w:color w:val="1A2233"/>
                <w:sz w:val="19"/>
                <w:szCs w:val="19"/>
              </w:rPr>
              <w:t xml:space="preserve">  步骤7：配置验证与沙盒预演</w:t>
            </w:r>
          </w:p>
          <w:p w14:paraId="7C77E94C">
            <w:pPr>
              <w:spacing w:before="16" w:after="16"/>
            </w:pPr>
            <w:r>
              <w:rPr>
                <w:rFonts w:ascii="Courier New" w:hAnsi="Courier New" w:eastAsia="Courier New" w:cs="Courier New"/>
                <w:color w:val="1A2233"/>
                <w:sz w:val="19"/>
                <w:szCs w:val="19"/>
              </w:rPr>
              <w:t xml:space="preserve">  ──────────────────────────────────────────────────────────────</w:t>
            </w:r>
          </w:p>
          <w:p w14:paraId="2A23166F">
            <w:pPr>
              <w:spacing w:before="16" w:after="16"/>
            </w:pPr>
            <w:r>
              <w:rPr>
                <w:rFonts w:ascii="Courier New" w:hAnsi="Courier New" w:eastAsia="Courier New" w:cs="Courier New"/>
                <w:color w:val="1A2233"/>
                <w:sz w:val="19"/>
                <w:szCs w:val="19"/>
              </w:rPr>
              <w:t xml:space="preserve">  平台自动检查：角色权限逻辑 / 参数冲突 / 事件触发可达性 / 知识库覆盖充分性</w:t>
            </w:r>
          </w:p>
          <w:p w14:paraId="358D4630">
            <w:pPr>
              <w:spacing w:before="16" w:after="16"/>
            </w:pPr>
            <w:r>
              <w:rPr>
                <w:rFonts w:ascii="Courier New" w:hAnsi="Courier New" w:eastAsia="Courier New" w:cs="Courier New"/>
                <w:color w:val="1A2233"/>
                <w:sz w:val="19"/>
                <w:szCs w:val="19"/>
              </w:rPr>
              <w:t xml:space="preserve">  用户可进入「教师沙盒模式」预演完整推演，验证设计是否符合预期</w:t>
            </w:r>
          </w:p>
        </w:tc>
      </w:tr>
    </w:tbl>
    <w:p w14:paraId="402F08D7">
      <w:pPr>
        <w:spacing w:before="120" w:after="120"/>
      </w:pPr>
    </w:p>
    <w:p w14:paraId="364CF162">
      <w:pPr>
        <w:pStyle w:val="3"/>
        <w:spacing w:before="320" w:after="140"/>
      </w:pPr>
      <w:r>
        <w:rPr>
          <w:rFonts w:ascii="Arial" w:hAnsi="Arial" w:eastAsia="Arial" w:cs="Arial"/>
          <w:b/>
          <w:bCs/>
          <w:color w:val="174A7E"/>
          <w:sz w:val="25"/>
          <w:szCs w:val="25"/>
        </w:rPr>
        <w:t>11.4 场景组件的可复用性设计</w:t>
      </w:r>
    </w:p>
    <w:p w14:paraId="137F9891">
      <w:pPr>
        <w:spacing w:before="80" w:after="80"/>
        <w:jc w:val="both"/>
      </w:pPr>
      <w:r>
        <w:rPr>
          <w:rFonts w:ascii="Arial" w:hAnsi="Arial" w:eastAsia="Arial" w:cs="Arial"/>
          <w:b w:val="0"/>
          <w:bCs w:val="0"/>
          <w:color w:val="111111"/>
          <w:sz w:val="22"/>
          <w:szCs w:val="22"/>
        </w:rPr>
        <w:t>平台的每个场景组件（角色、事件卡、决策节点、参数配置）都被设计为独立可复用的「积木块」。用户可以将清河记的角色体系移植到完全不同的议题场景中，也可以使用预算之争的参数配置搭配自己设计的角色，还可以将多个种子场景的事件卡混合拼装成新场景。平台提供「场景组件库」，用户可以将自己设计的优质组件上传分享，其他用户可以搜索和引用。这种设计与Scratch的积木式编程逻辑类似：平台提供构件，创造力在用户那里。</w:t>
      </w:r>
    </w:p>
    <w:p w14:paraId="2FCD2D00">
      <w:pPr>
        <w:spacing w:before="80" w:after="80"/>
        <w:jc w:val="both"/>
      </w:pPr>
      <w:r>
        <w:rPr>
          <w:rFonts w:ascii="Arial" w:hAnsi="Arial" w:eastAsia="Arial" w:cs="Arial"/>
          <w:b w:val="0"/>
          <w:bCs w:val="0"/>
          <w:color w:val="111111"/>
          <w:sz w:val="22"/>
          <w:szCs w:val="22"/>
        </w:rPr>
        <w:t>场景组件的版本管理也是重要功能。当教师或研究者修改了某个组件（比如调整了清河记的某个事件卡），平台自动保存修改历史，允许回滚到任意历史版本，并可以将不同版本的场景作为「处理组差异」用于实验设计。</w:t>
      </w:r>
    </w:p>
    <w:p w14:paraId="63C3AA3C">
      <w:pPr>
        <w:spacing w:before="120" w:after="120"/>
      </w:pPr>
    </w:p>
    <w:p w14:paraId="3939A599">
      <w:r>
        <w:br w:type="page"/>
      </w:r>
    </w:p>
    <w:p w14:paraId="4469B2C9">
      <w:pPr>
        <w:pStyle w:val="2"/>
        <w:pBdr>
          <w:bottom w:val="single" w:color="1A3A5C" w:sz="8" w:space="2"/>
        </w:pBdr>
        <w:spacing w:before="440" w:after="200"/>
      </w:pPr>
      <w:r>
        <w:rPr>
          <w:rFonts w:ascii="Arial" w:hAnsi="Arial" w:eastAsia="Arial" w:cs="Arial"/>
          <w:b/>
          <w:bCs/>
          <w:color w:val="1A3A5C"/>
          <w:sz w:val="30"/>
          <w:szCs w:val="30"/>
        </w:rPr>
        <w:t>十二、竞品分析：政通推演坊在方法论谱系中的定位</w:t>
      </w:r>
    </w:p>
    <w:p w14:paraId="11C686B6">
      <w:pPr>
        <w:spacing w:before="80" w:after="80"/>
        <w:jc w:val="both"/>
      </w:pPr>
      <w:r>
        <w:rPr>
          <w:rFonts w:ascii="Arial" w:hAnsi="Arial" w:eastAsia="Arial" w:cs="Arial"/>
          <w:b w:val="0"/>
          <w:bCs w:val="0"/>
          <w:color w:val="111111"/>
          <w:sz w:val="22"/>
          <w:szCs w:val="22"/>
        </w:rPr>
        <w:t>政通推演坊所处的竞争格局跨越了三个领域：公共管理严肃游戏领域、政策仿真平台领域以及行为实验工具领域。全面理解这三个领域的现有工具，有助于准确定位政通推演坊的差异化价值，也有助于评审委员会评估本项目的方法论创新点。</w:t>
      </w:r>
    </w:p>
    <w:p w14:paraId="1681DD97">
      <w:pPr>
        <w:spacing w:before="120" w:after="120"/>
      </w:pPr>
    </w:p>
    <w:p w14:paraId="420DEE7C">
      <w:pPr>
        <w:pStyle w:val="3"/>
        <w:spacing w:before="320" w:after="140"/>
      </w:pPr>
      <w:r>
        <w:rPr>
          <w:rFonts w:ascii="Arial" w:hAnsi="Arial" w:eastAsia="Arial" w:cs="Arial"/>
          <w:b/>
          <w:bCs/>
          <w:color w:val="174A7E"/>
          <w:sz w:val="25"/>
          <w:szCs w:val="25"/>
        </w:rPr>
        <w:t>12.1 公共管理严肃游戏领域</w:t>
      </w:r>
    </w:p>
    <w:p w14:paraId="6E83B264">
      <w:pPr>
        <w:spacing w:before="80" w:after="80"/>
        <w:jc w:val="both"/>
      </w:pPr>
      <w:r>
        <w:rPr>
          <w:rFonts w:ascii="Arial" w:hAnsi="Arial" w:eastAsia="Arial" w:cs="Arial"/>
          <w:b w:val="0"/>
          <w:bCs w:val="0"/>
          <w:color w:val="111111"/>
          <w:sz w:val="22"/>
          <w:szCs w:val="22"/>
        </w:rPr>
        <w:t>严肃游戏在政策与管理培训领域的应用已有三十余年历史（Duke &amp; Geurts, 2004），但在国内，专门面向中国国家治理情境的严肃游戏平台几乎是空白。现有国际产品主要包括以下几类。</w:t>
      </w:r>
    </w:p>
    <w:p w14:paraId="480D8C5C">
      <w:pPr>
        <w:spacing w:before="80" w:after="80"/>
        <w:jc w:val="both"/>
      </w:pPr>
      <w:r>
        <w:rPr>
          <w:rFonts w:ascii="Arial" w:hAnsi="Arial" w:eastAsia="Arial" w:cs="Arial"/>
          <w:b w:val="0"/>
          <w:bCs w:val="0"/>
          <w:color w:val="111111"/>
          <w:sz w:val="22"/>
          <w:szCs w:val="22"/>
        </w:rPr>
        <w:t>一是政策谈判桌游系列，如In the Know（RAND公司）、Policy Game for Health（荷兰TNO研究院），这类产品优点是制作精良、有完整的主持人手册，缺点是高度依赖线下面对面互动，场景固定、数据收集能力几乎为零，且完全基于西方政治制度情境，无法迁移到中国行政体制场景。二是基于角色扮演的国内培训游戏，如国内部分地方党校开发的「情景模拟」课程，通常以视频+讨论的形式呈现，有简单的角色扮演，但没有量化的反馈机制、没有知识库支撑、不产出任何结构化行为数据，更接近「课堂讨论活动」而非可重复使用的研究工具。三是灾害应急仿真游戏，如城市管理模拟系列，关注技术性的资源调配决策，不涉及政治博弈、信息不对称和制度约束下的策略选择，与本项目的核心研究场景几乎没有交叉。</w:t>
      </w:r>
    </w:p>
    <w:p w14:paraId="24792852">
      <w:pPr>
        <w:spacing w:before="120" w:after="120"/>
      </w:pPr>
    </w:p>
    <w:p w14:paraId="18B03884">
      <w:pPr>
        <w:pStyle w:val="3"/>
        <w:spacing w:before="320" w:after="140"/>
      </w:pPr>
      <w:r>
        <w:rPr>
          <w:rFonts w:ascii="Arial" w:hAnsi="Arial" w:eastAsia="Arial" w:cs="Arial"/>
          <w:b/>
          <w:bCs/>
          <w:color w:val="174A7E"/>
          <w:sz w:val="25"/>
          <w:szCs w:val="25"/>
        </w:rPr>
        <w:t>12.2 政策仿真平台领域</w:t>
      </w:r>
    </w:p>
    <w:p w14:paraId="4AB8CCEA">
      <w:pPr>
        <w:spacing w:before="80" w:after="80"/>
        <w:jc w:val="both"/>
      </w:pPr>
      <w:r>
        <w:rPr>
          <w:rFonts w:ascii="Arial" w:hAnsi="Arial" w:eastAsia="Arial" w:cs="Arial"/>
          <w:b w:val="0"/>
          <w:bCs w:val="0"/>
          <w:color w:val="111111"/>
          <w:sz w:val="22"/>
          <w:szCs w:val="22"/>
        </w:rPr>
        <w:t>政策仿真工具近年来因AI技术成熟而快速发展，但主流产品全部采用「AI替代真人」的路线，与本项目的「真人博弈+知识库辅助」路线存在根本性的方法论差异。</w:t>
      </w:r>
    </w:p>
    <w:p w14:paraId="10AF1719">
      <w:pPr>
        <w:spacing w:before="80" w:after="80"/>
        <w:jc w:val="both"/>
      </w:pPr>
      <w:r>
        <w:rPr>
          <w:rFonts w:ascii="Arial" w:hAnsi="Arial" w:eastAsia="Arial" w:cs="Arial"/>
          <w:b w:val="0"/>
          <w:bCs w:val="0"/>
          <w:color w:val="111111"/>
          <w:sz w:val="22"/>
          <w:szCs w:val="22"/>
        </w:rPr>
        <w:t>Generative Agents（Park et al., 2023, UIST）是其中最具代表性的工作：在该系统中，25个AI代理在一个虚拟小镇中生活、互动，展现出令人信服的社会涌现行为。但该系统完全没有真实人类参与，研究者无法用它产出真实人类的决策行为数据，其研究价值在于「AI行为模拟」而非「人类行为观察」。S-Politics、POLIS等平台同样采用AI代理替代人类决策者的路线。</w:t>
      </w:r>
    </w:p>
    <w:p w14:paraId="4FB8306E">
      <w:pPr>
        <w:spacing w:before="80" w:after="80"/>
        <w:jc w:val="both"/>
      </w:pPr>
      <w:r>
        <w:rPr>
          <w:rFonts w:ascii="Arial" w:hAnsi="Arial" w:eastAsia="Arial" w:cs="Arial"/>
          <w:b w:val="0"/>
          <w:bCs w:val="0"/>
          <w:color w:val="111111"/>
          <w:sz w:val="22"/>
          <w:szCs w:val="22"/>
        </w:rPr>
        <w:t>这一路线的核心局限在于：AI模拟的代理人决策基于统计规律（LLM训练数据），而真实官员在制度约束、激励压力和政治风险下的决策行为包含大量「文化特异性」和「情境特异性」，这些特征无法被通用LLM准确复现。Argyle等（2023, Political Analysis）的实证研究表明LLM在模拟非主流人群（包括特定制度情境下的行政官员）时偏差系统性地偏大；Bisbee等（2024）进一步发现LLM替代真人样本存在不可预测的系统偏差。</w:t>
      </w:r>
    </w:p>
    <w:p w14:paraId="6BE724DF">
      <w:pPr>
        <w:spacing w:before="120" w:after="120"/>
      </w:pPr>
    </w:p>
    <w:p w14:paraId="58633738">
      <w:pPr>
        <w:pStyle w:val="3"/>
        <w:spacing w:before="320" w:after="140"/>
      </w:pPr>
      <w:r>
        <w:rPr>
          <w:rFonts w:ascii="Arial" w:hAnsi="Arial" w:eastAsia="Arial" w:cs="Arial"/>
          <w:b/>
          <w:bCs/>
          <w:color w:val="174A7E"/>
          <w:sz w:val="25"/>
          <w:szCs w:val="25"/>
        </w:rPr>
        <w:t>12.3 行为实验工具领域</w:t>
      </w:r>
    </w:p>
    <w:p w14:paraId="775A0AD7">
      <w:pPr>
        <w:spacing w:before="80" w:after="80"/>
        <w:jc w:val="both"/>
      </w:pPr>
      <w:r>
        <w:rPr>
          <w:rFonts w:ascii="Arial" w:hAnsi="Arial" w:eastAsia="Arial" w:cs="Arial"/>
          <w:b w:val="0"/>
          <w:bCs w:val="0"/>
          <w:color w:val="111111"/>
          <w:sz w:val="22"/>
          <w:szCs w:val="22"/>
        </w:rPr>
        <w:t>从研究方法论角度，政通推演坊更接近于「实验方法工具」，竞争者是各类行为实验和问卷实验平台。oTree（Chen et al., 2016）是目前经济学和政治科学行为实验的主流工具，支持多人博弈和复杂实验设计，优点是极度灵活、开源，缺点是需要较高编程能力才能部署，且不内置任何与政策场景或制度情境相关的知识库，每次使用都要从零开始构建场景。调查实验平台（如Qualtrics）支持大规模vignette实验，但缺乏真实时间压力和多方博弈互动，方法论上被认为在预测真实决策行为方面效度有限（Hainmueller et al., 2015, POQ；Quidt et al., 2018, AER）。</w:t>
      </w:r>
    </w:p>
    <w:p w14:paraId="679C7BE5">
      <w:pPr>
        <w:spacing w:before="120" w:after="120"/>
      </w:pPr>
    </w:p>
    <w:p w14:paraId="678B5FF8">
      <w:pPr>
        <w:pStyle w:val="3"/>
        <w:spacing w:before="320" w:after="140"/>
      </w:pPr>
      <w:r>
        <w:rPr>
          <w:rFonts w:ascii="Arial" w:hAnsi="Arial" w:eastAsia="Arial" w:cs="Arial"/>
          <w:b/>
          <w:bCs/>
          <w:color w:val="174A7E"/>
          <w:sz w:val="25"/>
          <w:szCs w:val="25"/>
        </w:rPr>
        <w:t>12.4 综合比较矩阵</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500"/>
        <w:gridCol w:w="1200"/>
        <w:gridCol w:w="1600"/>
        <w:gridCol w:w="1260"/>
      </w:tblGrid>
      <w:tr w14:paraId="07328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7F026FC">
            <w:pPr>
              <w:spacing w:before="36" w:after="36"/>
              <w:jc w:val="center"/>
            </w:pPr>
            <w:r>
              <w:rPr>
                <w:rFonts w:ascii="Arial" w:hAnsi="Arial" w:eastAsia="Arial" w:cs="Arial"/>
                <w:b/>
                <w:bCs/>
                <w:color w:val="FFFFFF"/>
                <w:sz w:val="19"/>
                <w:szCs w:val="19"/>
              </w:rPr>
              <w:t>对比维度</w:t>
            </w:r>
          </w:p>
        </w:tc>
        <w:tc>
          <w:tcPr>
            <w:tcW w:w="1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F6001F5">
            <w:pPr>
              <w:spacing w:before="36" w:after="36"/>
              <w:jc w:val="center"/>
            </w:pPr>
            <w:r>
              <w:rPr>
                <w:rFonts w:ascii="Arial" w:hAnsi="Arial" w:eastAsia="Arial" w:cs="Arial"/>
                <w:b/>
                <w:bCs/>
                <w:color w:val="FFFFFF"/>
                <w:sz w:val="19"/>
                <w:szCs w:val="19"/>
              </w:rPr>
              <w:t>政通推演坊</w:t>
            </w:r>
          </w:p>
        </w:tc>
        <w:tc>
          <w:tcPr>
            <w:tcW w:w="15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43987AC">
            <w:pPr>
              <w:spacing w:before="36" w:after="36"/>
              <w:jc w:val="center"/>
            </w:pPr>
            <w:r>
              <w:rPr>
                <w:rFonts w:ascii="Arial" w:hAnsi="Arial" w:eastAsia="Arial" w:cs="Arial"/>
                <w:b/>
                <w:bCs/>
                <w:color w:val="FFFFFF"/>
                <w:sz w:val="19"/>
                <w:szCs w:val="19"/>
              </w:rPr>
              <w:t>Generative Agents类</w:t>
            </w:r>
          </w:p>
        </w:tc>
        <w:tc>
          <w:tcPr>
            <w:tcW w:w="12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3F8839E">
            <w:pPr>
              <w:spacing w:before="36" w:after="36"/>
              <w:jc w:val="center"/>
            </w:pPr>
            <w:r>
              <w:rPr>
                <w:rFonts w:ascii="Arial" w:hAnsi="Arial" w:eastAsia="Arial" w:cs="Arial"/>
                <w:b/>
                <w:bCs/>
                <w:color w:val="FFFFFF"/>
                <w:sz w:val="19"/>
                <w:szCs w:val="19"/>
              </w:rPr>
              <w:t>oTree</w:t>
            </w:r>
          </w:p>
        </w:tc>
        <w:tc>
          <w:tcPr>
            <w:tcW w:w="16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9478DE5">
            <w:pPr>
              <w:spacing w:before="36" w:after="36"/>
              <w:jc w:val="center"/>
            </w:pPr>
            <w:r>
              <w:rPr>
                <w:rFonts w:ascii="Arial" w:hAnsi="Arial" w:eastAsia="Arial" w:cs="Arial"/>
                <w:b/>
                <w:bCs/>
                <w:color w:val="FFFFFF"/>
                <w:sz w:val="19"/>
                <w:szCs w:val="19"/>
              </w:rPr>
              <w:t>国内党校情景模拟</w:t>
            </w:r>
          </w:p>
        </w:tc>
        <w:tc>
          <w:tcPr>
            <w:tcW w:w="12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8659617">
            <w:pPr>
              <w:spacing w:before="36" w:after="36"/>
              <w:jc w:val="center"/>
            </w:pPr>
            <w:r>
              <w:rPr>
                <w:rFonts w:ascii="Arial" w:hAnsi="Arial" w:eastAsia="Arial" w:cs="Arial"/>
                <w:b/>
                <w:bCs/>
                <w:color w:val="FFFFFF"/>
                <w:sz w:val="19"/>
                <w:szCs w:val="19"/>
              </w:rPr>
              <w:t>传统调查实验</w:t>
            </w:r>
          </w:p>
        </w:tc>
      </w:tr>
      <w:tr w14:paraId="3A5F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60FFB2C">
            <w:pPr>
              <w:spacing w:before="36" w:after="36"/>
              <w:jc w:val="left"/>
            </w:pPr>
            <w:r>
              <w:rPr>
                <w:rFonts w:ascii="Arial" w:hAnsi="Arial" w:eastAsia="Arial" w:cs="Arial"/>
                <w:color w:val="222222"/>
                <w:sz w:val="20"/>
                <w:szCs w:val="20"/>
              </w:rPr>
              <w:t>有真实人类决策者</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50E028C">
            <w:pPr>
              <w:spacing w:before="36" w:after="36"/>
              <w:jc w:val="left"/>
            </w:pPr>
            <w:r>
              <w:rPr>
                <w:rFonts w:ascii="Arial" w:hAnsi="Arial" w:eastAsia="Arial" w:cs="Arial"/>
                <w:color w:val="222222"/>
                <w:sz w:val="20"/>
                <w:szCs w:val="20"/>
              </w:rPr>
              <w:t>✓ 全程真人（NPC仅补位）</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4455042">
            <w:pPr>
              <w:spacing w:before="36" w:after="36"/>
              <w:jc w:val="left"/>
            </w:pPr>
            <w:r>
              <w:rPr>
                <w:rFonts w:ascii="Arial" w:hAnsi="Arial" w:eastAsia="Arial" w:cs="Arial"/>
                <w:color w:val="222222"/>
                <w:sz w:val="20"/>
                <w:szCs w:val="20"/>
              </w:rPr>
              <w:t>✗ 全部AI代理</w:t>
            </w:r>
          </w:p>
        </w:tc>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B762B58">
            <w:pPr>
              <w:spacing w:before="36" w:after="36"/>
              <w:jc w:val="left"/>
            </w:pPr>
            <w:r>
              <w:rPr>
                <w:rFonts w:ascii="Arial" w:hAnsi="Arial" w:eastAsia="Arial" w:cs="Arial"/>
                <w:color w:val="222222"/>
                <w:sz w:val="20"/>
                <w:szCs w:val="20"/>
              </w:rPr>
              <w:t>✓ 真人</w:t>
            </w:r>
          </w:p>
        </w:tc>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0A2F960">
            <w:pPr>
              <w:spacing w:before="36" w:after="36"/>
              <w:jc w:val="left"/>
            </w:pPr>
            <w:r>
              <w:rPr>
                <w:rFonts w:ascii="Arial" w:hAnsi="Arial" w:eastAsia="Arial" w:cs="Arial"/>
                <w:color w:val="222222"/>
                <w:sz w:val="20"/>
                <w:szCs w:val="20"/>
              </w:rPr>
              <w:t>✓ 真人</w:t>
            </w:r>
          </w:p>
        </w:tc>
        <w:tc>
          <w:tcPr>
            <w:tcW w:w="12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5C0A11C">
            <w:pPr>
              <w:spacing w:before="36" w:after="36"/>
              <w:jc w:val="left"/>
            </w:pPr>
            <w:r>
              <w:rPr>
                <w:rFonts w:ascii="Arial" w:hAnsi="Arial" w:eastAsia="Arial" w:cs="Arial"/>
                <w:color w:val="222222"/>
                <w:sz w:val="20"/>
                <w:szCs w:val="20"/>
              </w:rPr>
              <w:t>✓ 真人</w:t>
            </w:r>
          </w:p>
        </w:tc>
      </w:tr>
      <w:tr w14:paraId="0A79C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FFBD220">
            <w:pPr>
              <w:spacing w:before="36" w:after="36"/>
              <w:jc w:val="left"/>
            </w:pPr>
            <w:r>
              <w:rPr>
                <w:rFonts w:ascii="Arial" w:hAnsi="Arial" w:eastAsia="Arial" w:cs="Arial"/>
                <w:color w:val="222222"/>
                <w:sz w:val="20"/>
                <w:szCs w:val="20"/>
              </w:rPr>
              <w:t>中国制度情境真实性</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9CFC436">
            <w:pPr>
              <w:spacing w:before="36" w:after="36"/>
              <w:jc w:val="left"/>
            </w:pPr>
            <w:r>
              <w:rPr>
                <w:rFonts w:ascii="Arial" w:hAnsi="Arial" w:eastAsia="Arial" w:cs="Arial"/>
                <w:color w:val="222222"/>
                <w:sz w:val="20"/>
                <w:szCs w:val="20"/>
              </w:rPr>
              <w:t>✓✓ 六大制度模块硬编码</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EB7DE52">
            <w:pPr>
              <w:spacing w:before="36" w:after="36"/>
              <w:jc w:val="left"/>
            </w:pPr>
            <w:r>
              <w:rPr>
                <w:rFonts w:ascii="Arial" w:hAnsi="Arial" w:eastAsia="Arial" w:cs="Arial"/>
                <w:color w:val="222222"/>
                <w:sz w:val="20"/>
                <w:szCs w:val="20"/>
              </w:rPr>
              <w:t>△ 依赖提示词设计</w:t>
            </w:r>
          </w:p>
        </w:tc>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050E93C">
            <w:pPr>
              <w:spacing w:before="36" w:after="36"/>
              <w:jc w:val="left"/>
            </w:pPr>
            <w:r>
              <w:rPr>
                <w:rFonts w:ascii="Arial" w:hAnsi="Arial" w:eastAsia="Arial" w:cs="Arial"/>
                <w:color w:val="222222"/>
                <w:sz w:val="20"/>
                <w:szCs w:val="20"/>
              </w:rPr>
              <w:t>✗ 无</w:t>
            </w:r>
          </w:p>
        </w:tc>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3804409">
            <w:pPr>
              <w:spacing w:before="36" w:after="36"/>
              <w:jc w:val="left"/>
            </w:pPr>
            <w:r>
              <w:rPr>
                <w:rFonts w:ascii="Arial" w:hAnsi="Arial" w:eastAsia="Arial" w:cs="Arial"/>
                <w:color w:val="222222"/>
                <w:sz w:val="20"/>
                <w:szCs w:val="20"/>
              </w:rPr>
              <w:t>△ 有但不系统</w:t>
            </w:r>
          </w:p>
        </w:tc>
        <w:tc>
          <w:tcPr>
            <w:tcW w:w="12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620E4AA">
            <w:pPr>
              <w:spacing w:before="36" w:after="36"/>
              <w:jc w:val="left"/>
            </w:pPr>
            <w:r>
              <w:rPr>
                <w:rFonts w:ascii="Arial" w:hAnsi="Arial" w:eastAsia="Arial" w:cs="Arial"/>
                <w:color w:val="222222"/>
                <w:sz w:val="20"/>
                <w:szCs w:val="20"/>
              </w:rPr>
              <w:t>✗ 无</w:t>
            </w:r>
          </w:p>
        </w:tc>
      </w:tr>
      <w:tr w14:paraId="6A239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A28F571">
            <w:pPr>
              <w:spacing w:before="36" w:after="36"/>
              <w:jc w:val="left"/>
            </w:pPr>
            <w:r>
              <w:rPr>
                <w:rFonts w:ascii="Arial" w:hAnsi="Arial" w:eastAsia="Arial" w:cs="Arial"/>
                <w:color w:val="222222"/>
                <w:sz w:val="20"/>
                <w:szCs w:val="20"/>
              </w:rPr>
              <w:t>知识库循证决策支撑</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10C8859">
            <w:pPr>
              <w:spacing w:before="36" w:after="36"/>
              <w:jc w:val="left"/>
            </w:pPr>
            <w:r>
              <w:rPr>
                <w:rFonts w:ascii="Arial" w:hAnsi="Arial" w:eastAsia="Arial" w:cs="Arial"/>
                <w:color w:val="222222"/>
                <w:sz w:val="20"/>
                <w:szCs w:val="20"/>
              </w:rPr>
              <w:t>✓✓ RAG动态提炼+文献来源</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6759D8D">
            <w:pPr>
              <w:spacing w:before="36" w:after="36"/>
              <w:jc w:val="left"/>
            </w:pPr>
            <w:r>
              <w:rPr>
                <w:rFonts w:ascii="Arial" w:hAnsi="Arial" w:eastAsia="Arial" w:cs="Arial"/>
                <w:color w:val="222222"/>
                <w:sz w:val="20"/>
                <w:szCs w:val="20"/>
              </w:rPr>
              <w:t>✗ 无</w:t>
            </w:r>
          </w:p>
        </w:tc>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DA3993A">
            <w:pPr>
              <w:spacing w:before="36" w:after="36"/>
              <w:jc w:val="left"/>
            </w:pPr>
            <w:r>
              <w:rPr>
                <w:rFonts w:ascii="Arial" w:hAnsi="Arial" w:eastAsia="Arial" w:cs="Arial"/>
                <w:color w:val="222222"/>
                <w:sz w:val="20"/>
                <w:szCs w:val="20"/>
              </w:rPr>
              <w:t>✗ 无</w:t>
            </w:r>
          </w:p>
        </w:tc>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2690F23">
            <w:pPr>
              <w:spacing w:before="36" w:after="36"/>
              <w:jc w:val="left"/>
            </w:pPr>
            <w:r>
              <w:rPr>
                <w:rFonts w:ascii="Arial" w:hAnsi="Arial" w:eastAsia="Arial" w:cs="Arial"/>
                <w:color w:val="222222"/>
                <w:sz w:val="20"/>
                <w:szCs w:val="20"/>
              </w:rPr>
              <w:t>✗ 无</w:t>
            </w:r>
          </w:p>
        </w:tc>
        <w:tc>
          <w:tcPr>
            <w:tcW w:w="12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CD3F0A3">
            <w:pPr>
              <w:spacing w:before="36" w:after="36"/>
              <w:jc w:val="left"/>
            </w:pPr>
            <w:r>
              <w:rPr>
                <w:rFonts w:ascii="Arial" w:hAnsi="Arial" w:eastAsia="Arial" w:cs="Arial"/>
                <w:color w:val="222222"/>
                <w:sz w:val="20"/>
                <w:szCs w:val="20"/>
              </w:rPr>
              <w:t>✗ 无</w:t>
            </w:r>
          </w:p>
        </w:tc>
      </w:tr>
      <w:tr w14:paraId="279AD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1EF5C01">
            <w:pPr>
              <w:spacing w:before="36" w:after="36"/>
              <w:jc w:val="left"/>
            </w:pPr>
            <w:r>
              <w:rPr>
                <w:rFonts w:ascii="Arial" w:hAnsi="Arial" w:eastAsia="Arial" w:cs="Arial"/>
                <w:color w:val="222222"/>
                <w:sz w:val="20"/>
                <w:szCs w:val="20"/>
              </w:rPr>
              <w:t>用户场景自定义能力</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B4D579A">
            <w:pPr>
              <w:spacing w:before="36" w:after="36"/>
              <w:jc w:val="left"/>
            </w:pPr>
            <w:r>
              <w:rPr>
                <w:rFonts w:ascii="Arial" w:hAnsi="Arial" w:eastAsia="Arial" w:cs="Arial"/>
                <w:color w:val="222222"/>
                <w:sz w:val="20"/>
                <w:szCs w:val="20"/>
              </w:rPr>
              <w:t>✓✓ 24参数全开放+无限场景</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193D2DC">
            <w:pPr>
              <w:spacing w:before="36" w:after="36"/>
              <w:jc w:val="left"/>
            </w:pPr>
            <w:r>
              <w:rPr>
                <w:rFonts w:ascii="Arial" w:hAnsi="Arial" w:eastAsia="Arial" w:cs="Arial"/>
                <w:color w:val="222222"/>
                <w:sz w:val="20"/>
                <w:szCs w:val="20"/>
              </w:rPr>
              <w:t>△ 需要技术背景</w:t>
            </w:r>
          </w:p>
        </w:tc>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3597276">
            <w:pPr>
              <w:spacing w:before="36" w:after="36"/>
              <w:jc w:val="left"/>
            </w:pPr>
            <w:r>
              <w:rPr>
                <w:rFonts w:ascii="Arial" w:hAnsi="Arial" w:eastAsia="Arial" w:cs="Arial"/>
                <w:color w:val="222222"/>
                <w:sz w:val="20"/>
                <w:szCs w:val="20"/>
              </w:rPr>
              <w:t>✓ 高（需编程）</w:t>
            </w:r>
          </w:p>
        </w:tc>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73A3C03">
            <w:pPr>
              <w:spacing w:before="36" w:after="36"/>
              <w:jc w:val="left"/>
            </w:pPr>
            <w:r>
              <w:rPr>
                <w:rFonts w:ascii="Arial" w:hAnsi="Arial" w:eastAsia="Arial" w:cs="Arial"/>
                <w:color w:val="222222"/>
                <w:sz w:val="20"/>
                <w:szCs w:val="20"/>
              </w:rPr>
              <w:t>✗ 固定剧本</w:t>
            </w:r>
          </w:p>
        </w:tc>
        <w:tc>
          <w:tcPr>
            <w:tcW w:w="12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043255B">
            <w:pPr>
              <w:spacing w:before="36" w:after="36"/>
              <w:jc w:val="left"/>
            </w:pPr>
            <w:r>
              <w:rPr>
                <w:rFonts w:ascii="Arial" w:hAnsi="Arial" w:eastAsia="Arial" w:cs="Arial"/>
                <w:color w:val="222222"/>
                <w:sz w:val="20"/>
                <w:szCs w:val="20"/>
              </w:rPr>
              <w:t>✓ 问卷可改</w:t>
            </w:r>
          </w:p>
        </w:tc>
      </w:tr>
      <w:tr w14:paraId="5665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3F94B27">
            <w:pPr>
              <w:spacing w:before="36" w:after="36"/>
              <w:jc w:val="left"/>
            </w:pPr>
            <w:r>
              <w:rPr>
                <w:rFonts w:ascii="Arial" w:hAnsi="Arial" w:eastAsia="Arial" w:cs="Arial"/>
                <w:color w:val="222222"/>
                <w:sz w:val="20"/>
                <w:szCs w:val="20"/>
              </w:rPr>
              <w:t>多方博弈与实时互动</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6550A9C">
            <w:pPr>
              <w:spacing w:before="36" w:after="36"/>
              <w:jc w:val="left"/>
            </w:pPr>
            <w:r>
              <w:rPr>
                <w:rFonts w:ascii="Arial" w:hAnsi="Arial" w:eastAsia="Arial" w:cs="Arial"/>
                <w:color w:val="222222"/>
                <w:sz w:val="20"/>
                <w:szCs w:val="20"/>
              </w:rPr>
              <w:t>✓✓ 完整博弈+通信+联署</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E96E562">
            <w:pPr>
              <w:spacing w:before="36" w:after="36"/>
              <w:jc w:val="left"/>
            </w:pPr>
            <w:r>
              <w:rPr>
                <w:rFonts w:ascii="Arial" w:hAnsi="Arial" w:eastAsia="Arial" w:cs="Arial"/>
                <w:color w:val="222222"/>
                <w:sz w:val="20"/>
                <w:szCs w:val="20"/>
              </w:rPr>
              <w:t>✓ AI间互动</w:t>
            </w:r>
          </w:p>
        </w:tc>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D43EE20">
            <w:pPr>
              <w:spacing w:before="36" w:after="36"/>
              <w:jc w:val="left"/>
            </w:pPr>
            <w:r>
              <w:rPr>
                <w:rFonts w:ascii="Arial" w:hAnsi="Arial" w:eastAsia="Arial" w:cs="Arial"/>
                <w:color w:val="222222"/>
                <w:sz w:val="20"/>
                <w:szCs w:val="20"/>
              </w:rPr>
              <w:t>✓ 支持</w:t>
            </w:r>
          </w:p>
        </w:tc>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F31EC2E">
            <w:pPr>
              <w:spacing w:before="36" w:after="36"/>
              <w:jc w:val="left"/>
            </w:pPr>
            <w:r>
              <w:rPr>
                <w:rFonts w:ascii="Arial" w:hAnsi="Arial" w:eastAsia="Arial" w:cs="Arial"/>
                <w:color w:val="222222"/>
                <w:sz w:val="20"/>
                <w:szCs w:val="20"/>
              </w:rPr>
              <w:t>△ 有限互动</w:t>
            </w:r>
          </w:p>
        </w:tc>
        <w:tc>
          <w:tcPr>
            <w:tcW w:w="12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C3DF34D">
            <w:pPr>
              <w:spacing w:before="36" w:after="36"/>
              <w:jc w:val="left"/>
            </w:pPr>
            <w:r>
              <w:rPr>
                <w:rFonts w:ascii="Arial" w:hAnsi="Arial" w:eastAsia="Arial" w:cs="Arial"/>
                <w:color w:val="222222"/>
                <w:sz w:val="20"/>
                <w:szCs w:val="20"/>
              </w:rPr>
              <w:t>✗ 无互动</w:t>
            </w:r>
          </w:p>
        </w:tc>
      </w:tr>
      <w:tr w14:paraId="44B2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BE2A1D6">
            <w:pPr>
              <w:spacing w:before="36" w:after="36"/>
              <w:jc w:val="left"/>
            </w:pPr>
            <w:r>
              <w:rPr>
                <w:rFonts w:ascii="Arial" w:hAnsi="Arial" w:eastAsia="Arial" w:cs="Arial"/>
                <w:color w:val="222222"/>
                <w:sz w:val="20"/>
                <w:szCs w:val="20"/>
              </w:rPr>
              <w:t>结构化行为数据产出</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49586C5">
            <w:pPr>
              <w:spacing w:before="36" w:after="36"/>
              <w:jc w:val="left"/>
            </w:pPr>
            <w:r>
              <w:rPr>
                <w:rFonts w:ascii="Arial" w:hAnsi="Arial" w:eastAsia="Arial" w:cs="Arial"/>
                <w:color w:val="222222"/>
                <w:sz w:val="20"/>
                <w:szCs w:val="20"/>
              </w:rPr>
              <w:t>✓✓ 七类数据流</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D39110E">
            <w:pPr>
              <w:spacing w:before="36" w:after="36"/>
              <w:jc w:val="left"/>
            </w:pPr>
            <w:r>
              <w:rPr>
                <w:rFonts w:ascii="Arial" w:hAnsi="Arial" w:eastAsia="Arial" w:cs="Arial"/>
                <w:color w:val="222222"/>
                <w:sz w:val="20"/>
                <w:szCs w:val="20"/>
              </w:rPr>
              <w:t>△ 日志文本</w:t>
            </w:r>
          </w:p>
        </w:tc>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7990A45">
            <w:pPr>
              <w:spacing w:before="36" w:after="36"/>
              <w:jc w:val="left"/>
            </w:pPr>
            <w:r>
              <w:rPr>
                <w:rFonts w:ascii="Arial" w:hAnsi="Arial" w:eastAsia="Arial" w:cs="Arial"/>
                <w:color w:val="222222"/>
                <w:sz w:val="20"/>
                <w:szCs w:val="20"/>
              </w:rPr>
              <w:t>✓ 良好</w:t>
            </w:r>
          </w:p>
        </w:tc>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D3E60B7">
            <w:pPr>
              <w:spacing w:before="36" w:after="36"/>
              <w:jc w:val="left"/>
            </w:pPr>
            <w:r>
              <w:rPr>
                <w:rFonts w:ascii="Arial" w:hAnsi="Arial" w:eastAsia="Arial" w:cs="Arial"/>
                <w:color w:val="222222"/>
                <w:sz w:val="20"/>
                <w:szCs w:val="20"/>
              </w:rPr>
              <w:t>✗ 无</w:t>
            </w:r>
          </w:p>
        </w:tc>
        <w:tc>
          <w:tcPr>
            <w:tcW w:w="12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DFDED9B">
            <w:pPr>
              <w:spacing w:before="36" w:after="36"/>
              <w:jc w:val="left"/>
            </w:pPr>
            <w:r>
              <w:rPr>
                <w:rFonts w:ascii="Arial" w:hAnsi="Arial" w:eastAsia="Arial" w:cs="Arial"/>
                <w:color w:val="222222"/>
                <w:sz w:val="20"/>
                <w:szCs w:val="20"/>
              </w:rPr>
              <w:t>✓ 问卷数据</w:t>
            </w:r>
          </w:p>
        </w:tc>
      </w:tr>
      <w:tr w14:paraId="6A1A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4F9BE70">
            <w:pPr>
              <w:spacing w:before="36" w:after="36"/>
              <w:jc w:val="left"/>
            </w:pPr>
            <w:r>
              <w:rPr>
                <w:rFonts w:ascii="Arial" w:hAnsi="Arial" w:eastAsia="Arial" w:cs="Arial"/>
                <w:color w:val="222222"/>
                <w:sz w:val="20"/>
                <w:szCs w:val="20"/>
              </w:rPr>
              <w:t>因果推断支持</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ECB0758">
            <w:pPr>
              <w:spacing w:before="36" w:after="36"/>
              <w:jc w:val="left"/>
            </w:pPr>
            <w:r>
              <w:rPr>
                <w:rFonts w:ascii="Arial" w:hAnsi="Arial" w:eastAsia="Arial" w:cs="Arial"/>
                <w:color w:val="222222"/>
                <w:sz w:val="20"/>
                <w:szCs w:val="20"/>
              </w:rPr>
              <w:t>✓ RCT随机化模块</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6317187">
            <w:pPr>
              <w:spacing w:before="36" w:after="36"/>
              <w:jc w:val="left"/>
            </w:pPr>
            <w:r>
              <w:rPr>
                <w:rFonts w:ascii="Arial" w:hAnsi="Arial" w:eastAsia="Arial" w:cs="Arial"/>
                <w:color w:val="222222"/>
                <w:sz w:val="20"/>
                <w:szCs w:val="20"/>
              </w:rPr>
              <w:t>✗ 无法RCT</w:t>
            </w:r>
          </w:p>
        </w:tc>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9BE890B">
            <w:pPr>
              <w:spacing w:before="36" w:after="36"/>
              <w:jc w:val="left"/>
            </w:pPr>
            <w:r>
              <w:rPr>
                <w:rFonts w:ascii="Arial" w:hAnsi="Arial" w:eastAsia="Arial" w:cs="Arial"/>
                <w:color w:val="222222"/>
                <w:sz w:val="20"/>
                <w:szCs w:val="20"/>
              </w:rPr>
              <w:t>✓ 支持</w:t>
            </w:r>
          </w:p>
        </w:tc>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E814BEE">
            <w:pPr>
              <w:spacing w:before="36" w:after="36"/>
              <w:jc w:val="left"/>
            </w:pPr>
            <w:r>
              <w:rPr>
                <w:rFonts w:ascii="Arial" w:hAnsi="Arial" w:eastAsia="Arial" w:cs="Arial"/>
                <w:color w:val="222222"/>
                <w:sz w:val="20"/>
                <w:szCs w:val="20"/>
              </w:rPr>
              <w:t>✗ 无</w:t>
            </w:r>
          </w:p>
        </w:tc>
        <w:tc>
          <w:tcPr>
            <w:tcW w:w="12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D0021EC">
            <w:pPr>
              <w:spacing w:before="36" w:after="36"/>
              <w:jc w:val="left"/>
            </w:pPr>
            <w:r>
              <w:rPr>
                <w:rFonts w:ascii="Arial" w:hAnsi="Arial" w:eastAsia="Arial" w:cs="Arial"/>
                <w:color w:val="222222"/>
                <w:sz w:val="20"/>
                <w:szCs w:val="20"/>
              </w:rPr>
              <w:t>✓ 支持</w:t>
            </w:r>
          </w:p>
        </w:tc>
      </w:tr>
      <w:tr w14:paraId="1876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93488BE">
            <w:pPr>
              <w:spacing w:before="36" w:after="36"/>
              <w:jc w:val="left"/>
            </w:pPr>
            <w:r>
              <w:rPr>
                <w:rFonts w:ascii="Arial" w:hAnsi="Arial" w:eastAsia="Arial" w:cs="Arial"/>
                <w:color w:val="222222"/>
                <w:sz w:val="20"/>
                <w:szCs w:val="20"/>
              </w:rPr>
              <w:t>门槛与易用性</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65C1492">
            <w:pPr>
              <w:spacing w:before="36" w:after="36"/>
              <w:jc w:val="left"/>
            </w:pPr>
            <w:r>
              <w:rPr>
                <w:rFonts w:ascii="Arial" w:hAnsi="Arial" w:eastAsia="Arial" w:cs="Arial"/>
                <w:color w:val="222222"/>
                <w:sz w:val="20"/>
                <w:szCs w:val="20"/>
              </w:rPr>
              <w:t>✓ 无需编程，图形化配置</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C2D2ABD">
            <w:pPr>
              <w:spacing w:before="36" w:after="36"/>
              <w:jc w:val="left"/>
            </w:pPr>
            <w:r>
              <w:rPr>
                <w:rFonts w:ascii="Arial" w:hAnsi="Arial" w:eastAsia="Arial" w:cs="Arial"/>
                <w:color w:val="222222"/>
                <w:sz w:val="20"/>
                <w:szCs w:val="20"/>
              </w:rPr>
              <w:t>✗ 需编程</w:t>
            </w:r>
          </w:p>
        </w:tc>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B98C3F6">
            <w:pPr>
              <w:spacing w:before="36" w:after="36"/>
              <w:jc w:val="left"/>
            </w:pPr>
            <w:r>
              <w:rPr>
                <w:rFonts w:ascii="Arial" w:hAnsi="Arial" w:eastAsia="Arial" w:cs="Arial"/>
                <w:color w:val="222222"/>
                <w:sz w:val="20"/>
                <w:szCs w:val="20"/>
              </w:rPr>
              <w:t>✗ 需编程</w:t>
            </w:r>
          </w:p>
        </w:tc>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28F2FBA">
            <w:pPr>
              <w:spacing w:before="36" w:after="36"/>
              <w:jc w:val="left"/>
            </w:pPr>
            <w:r>
              <w:rPr>
                <w:rFonts w:ascii="Arial" w:hAnsi="Arial" w:eastAsia="Arial" w:cs="Arial"/>
                <w:color w:val="222222"/>
                <w:sz w:val="20"/>
                <w:szCs w:val="20"/>
              </w:rPr>
              <w:t>✓ 易用</w:t>
            </w:r>
          </w:p>
        </w:tc>
        <w:tc>
          <w:tcPr>
            <w:tcW w:w="12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06138CC">
            <w:pPr>
              <w:spacing w:before="36" w:after="36"/>
              <w:jc w:val="left"/>
            </w:pPr>
            <w:r>
              <w:rPr>
                <w:rFonts w:ascii="Arial" w:hAnsi="Arial" w:eastAsia="Arial" w:cs="Arial"/>
                <w:color w:val="222222"/>
                <w:sz w:val="20"/>
                <w:szCs w:val="20"/>
              </w:rPr>
              <w:t>✓ 易用</w:t>
            </w:r>
          </w:p>
        </w:tc>
      </w:tr>
      <w:tr w14:paraId="70DCB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1477C6A">
            <w:pPr>
              <w:spacing w:before="36" w:after="36"/>
              <w:jc w:val="left"/>
            </w:pPr>
            <w:r>
              <w:rPr>
                <w:rFonts w:ascii="Arial" w:hAnsi="Arial" w:eastAsia="Arial" w:cs="Arial"/>
                <w:color w:val="222222"/>
                <w:sz w:val="20"/>
                <w:szCs w:val="20"/>
              </w:rPr>
              <w:t>可扩展性</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15B8A21">
            <w:pPr>
              <w:spacing w:before="36" w:after="36"/>
              <w:jc w:val="left"/>
            </w:pPr>
            <w:r>
              <w:rPr>
                <w:rFonts w:ascii="Arial" w:hAnsi="Arial" w:eastAsia="Arial" w:cs="Arial"/>
                <w:color w:val="222222"/>
                <w:sz w:val="20"/>
                <w:szCs w:val="20"/>
              </w:rPr>
              <w:t>✓ 无限场景，API开放</w:t>
            </w:r>
          </w:p>
        </w:tc>
        <w:tc>
          <w:tcPr>
            <w:tcW w:w="15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C6CFF33">
            <w:pPr>
              <w:spacing w:before="36" w:after="36"/>
              <w:jc w:val="left"/>
            </w:pPr>
            <w:r>
              <w:rPr>
                <w:rFonts w:ascii="Arial" w:hAnsi="Arial" w:eastAsia="Arial" w:cs="Arial"/>
                <w:color w:val="222222"/>
                <w:sz w:val="20"/>
                <w:szCs w:val="20"/>
              </w:rPr>
              <w:t>△ 有限</w:t>
            </w:r>
          </w:p>
        </w:tc>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4E424B5">
            <w:pPr>
              <w:spacing w:before="36" w:after="36"/>
              <w:jc w:val="left"/>
            </w:pPr>
            <w:r>
              <w:rPr>
                <w:rFonts w:ascii="Arial" w:hAnsi="Arial" w:eastAsia="Arial" w:cs="Arial"/>
                <w:color w:val="222222"/>
                <w:sz w:val="20"/>
                <w:szCs w:val="20"/>
              </w:rPr>
              <w:t>✓ 高</w:t>
            </w:r>
          </w:p>
        </w:tc>
        <w:tc>
          <w:tcPr>
            <w:tcW w:w="16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C89F7F9">
            <w:pPr>
              <w:spacing w:before="36" w:after="36"/>
              <w:jc w:val="left"/>
            </w:pPr>
            <w:r>
              <w:rPr>
                <w:rFonts w:ascii="Arial" w:hAnsi="Arial" w:eastAsia="Arial" w:cs="Arial"/>
                <w:color w:val="222222"/>
                <w:sz w:val="20"/>
                <w:szCs w:val="20"/>
              </w:rPr>
              <w:t>✗ 固定</w:t>
            </w:r>
          </w:p>
        </w:tc>
        <w:tc>
          <w:tcPr>
            <w:tcW w:w="12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678840A">
            <w:pPr>
              <w:spacing w:before="36" w:after="36"/>
              <w:jc w:val="left"/>
            </w:pPr>
            <w:r>
              <w:rPr>
                <w:rFonts w:ascii="Arial" w:hAnsi="Arial" w:eastAsia="Arial" w:cs="Arial"/>
                <w:color w:val="222222"/>
                <w:sz w:val="20"/>
                <w:szCs w:val="20"/>
              </w:rPr>
              <w:t>✓ 高</w:t>
            </w:r>
          </w:p>
        </w:tc>
      </w:tr>
      <w:tr w14:paraId="43C3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84FFB1A">
            <w:pPr>
              <w:spacing w:before="36" w:after="36"/>
              <w:jc w:val="left"/>
            </w:pPr>
            <w:r>
              <w:rPr>
                <w:rFonts w:ascii="Arial" w:hAnsi="Arial" w:eastAsia="Arial" w:cs="Arial"/>
                <w:color w:val="222222"/>
                <w:sz w:val="20"/>
                <w:szCs w:val="20"/>
              </w:rPr>
              <w:t>现有中文场景资源</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70DAFFA">
            <w:pPr>
              <w:spacing w:before="36" w:after="36"/>
              <w:jc w:val="left"/>
            </w:pPr>
            <w:r>
              <w:rPr>
                <w:rFonts w:ascii="Arial" w:hAnsi="Arial" w:eastAsia="Arial" w:cs="Arial"/>
                <w:color w:val="222222"/>
                <w:sz w:val="20"/>
                <w:szCs w:val="20"/>
              </w:rPr>
              <w:t>✓✓ 8个种子场景+旗舰场景</w:t>
            </w:r>
          </w:p>
        </w:tc>
        <w:tc>
          <w:tcPr>
            <w:tcW w:w="15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D83CE3A">
            <w:pPr>
              <w:spacing w:before="36" w:after="36"/>
              <w:jc w:val="left"/>
            </w:pPr>
            <w:r>
              <w:rPr>
                <w:rFonts w:ascii="Arial" w:hAnsi="Arial" w:eastAsia="Arial" w:cs="Arial"/>
                <w:color w:val="222222"/>
                <w:sz w:val="20"/>
                <w:szCs w:val="20"/>
              </w:rPr>
              <w:t>✗ 无</w:t>
            </w:r>
          </w:p>
        </w:tc>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59067F5">
            <w:pPr>
              <w:spacing w:before="36" w:after="36"/>
              <w:jc w:val="left"/>
            </w:pPr>
            <w:r>
              <w:rPr>
                <w:rFonts w:ascii="Arial" w:hAnsi="Arial" w:eastAsia="Arial" w:cs="Arial"/>
                <w:color w:val="222222"/>
                <w:sz w:val="20"/>
                <w:szCs w:val="20"/>
              </w:rPr>
              <w:t>✗ 无</w:t>
            </w:r>
          </w:p>
        </w:tc>
        <w:tc>
          <w:tcPr>
            <w:tcW w:w="16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B2C76F4">
            <w:pPr>
              <w:spacing w:before="36" w:after="36"/>
              <w:jc w:val="left"/>
            </w:pPr>
            <w:r>
              <w:rPr>
                <w:rFonts w:ascii="Arial" w:hAnsi="Arial" w:eastAsia="Arial" w:cs="Arial"/>
                <w:color w:val="222222"/>
                <w:sz w:val="20"/>
                <w:szCs w:val="20"/>
              </w:rPr>
              <w:t>△ 有但封闭</w:t>
            </w:r>
          </w:p>
        </w:tc>
        <w:tc>
          <w:tcPr>
            <w:tcW w:w="12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74E0831">
            <w:pPr>
              <w:spacing w:before="36" w:after="36"/>
              <w:jc w:val="left"/>
            </w:pPr>
            <w:r>
              <w:rPr>
                <w:rFonts w:ascii="Arial" w:hAnsi="Arial" w:eastAsia="Arial" w:cs="Arial"/>
                <w:color w:val="222222"/>
                <w:sz w:val="20"/>
                <w:szCs w:val="20"/>
              </w:rPr>
              <w:t>✗ 无</w:t>
            </w:r>
          </w:p>
        </w:tc>
      </w:tr>
    </w:tbl>
    <w:p w14:paraId="1F957F8E">
      <w:pPr>
        <w:spacing w:before="120" w:after="120"/>
      </w:pPr>
    </w:p>
    <w:p w14:paraId="64B279C6">
      <w:pPr>
        <w:pStyle w:val="3"/>
        <w:spacing w:before="320" w:after="140"/>
      </w:pPr>
      <w:r>
        <w:rPr>
          <w:rFonts w:ascii="Arial" w:hAnsi="Arial" w:eastAsia="Arial" w:cs="Arial"/>
          <w:b/>
          <w:bCs/>
          <w:color w:val="174A7E"/>
          <w:sz w:val="25"/>
          <w:szCs w:val="25"/>
        </w:rPr>
        <w:t>12.5 政通推演坊的不可替代性分析</w:t>
      </w:r>
    </w:p>
    <w:p w14:paraId="64814E19">
      <w:pPr>
        <w:spacing w:before="80" w:after="80"/>
        <w:jc w:val="both"/>
      </w:pPr>
      <w:r>
        <w:rPr>
          <w:rFonts w:ascii="Arial" w:hAnsi="Arial" w:eastAsia="Arial" w:cs="Arial"/>
          <w:b w:val="0"/>
          <w:bCs w:val="0"/>
          <w:color w:val="111111"/>
          <w:sz w:val="22"/>
          <w:szCs w:val="22"/>
        </w:rPr>
        <w:t>从竞品比较矩阵中可以清楚看到，政通推演坊是唯一同时满足以下五个条件的工具：有真实人类决策者（确保行为数据的真实性）、具有中国制度情境硬约束（确保研究的情境效度）、内置知识库循证决策机制（确保选项的理论有效性）、支持无限场景自定义（确保研究的灵活性）、产出结构化行为数据（确保研究的可分析性）。每一个现有工具都只满足其中的部分条件，而这五个条件的同时满足，正是本项目在方法论层面的核心创新。</w:t>
      </w:r>
    </w:p>
    <w:p w14:paraId="6D4A28DA">
      <w:pPr>
        <w:spacing w:before="80" w:after="80"/>
        <w:jc w:val="both"/>
      </w:pPr>
      <w:r>
        <w:rPr>
          <w:rFonts w:ascii="Arial" w:hAnsi="Arial" w:eastAsia="Arial" w:cs="Arial"/>
          <w:b w:val="0"/>
          <w:bCs w:val="0"/>
          <w:color w:val="111111"/>
          <w:sz w:val="22"/>
          <w:szCs w:val="22"/>
        </w:rPr>
        <w:t>更重要的是，政通推演坊解决的不是某一类用户的单一痛点，而是在「教学—研究—实践」三个场景中同时有价值：对教师而言是「有理论深度的情境教学工具」，对研究者而言是「制度情境真实的行为实验平台」，对实践者而言是「低成本政策压力测试工具」。这种三位一体的定位决定了平台的用户基础远大于任何单一定位的竞品。</w:t>
      </w:r>
    </w:p>
    <w:p w14:paraId="515A10F0">
      <w:pPr>
        <w:spacing w:before="120" w:after="120"/>
      </w:pPr>
    </w:p>
    <w:p w14:paraId="4837F956">
      <w:pPr>
        <w:spacing w:before="600" w:after="160"/>
        <w:jc w:val="center"/>
      </w:pPr>
      <w:r>
        <w:rPr>
          <w:rFonts w:ascii="Arial" w:hAnsi="Arial" w:eastAsia="Arial" w:cs="Arial"/>
          <w:b/>
          <w:bCs/>
          <w:color w:val="1A3A5C"/>
          <w:sz w:val="44"/>
          <w:szCs w:val="44"/>
        </w:rPr>
        <w:t>政通推演坊  GovSim Studio</w:t>
      </w:r>
    </w:p>
    <w:p w14:paraId="4B0A06F6">
      <w:pPr>
        <w:spacing w:before="80" w:after="80"/>
        <w:jc w:val="center"/>
      </w:pPr>
      <w:r>
        <w:rPr>
          <w:rFonts w:ascii="Arial" w:hAnsi="Arial" w:eastAsia="Arial" w:cs="Arial"/>
          <w:b/>
          <w:bCs/>
          <w:color w:val="174A7E"/>
          <w:sz w:val="28"/>
          <w:szCs w:val="28"/>
        </w:rPr>
        <w:t>申报书 第四部分</w:t>
      </w:r>
    </w:p>
    <w:p w14:paraId="280BE380">
      <w:pPr>
        <w:spacing w:before="60" w:after="500"/>
        <w:jc w:val="center"/>
      </w:pPr>
      <w:r>
        <w:rPr>
          <w:rFonts w:ascii="Arial" w:hAnsi="Arial" w:eastAsia="Arial" w:cs="Arial"/>
          <w:color w:val="555577"/>
          <w:sz w:val="22"/>
          <w:szCs w:val="22"/>
        </w:rPr>
        <w:t>教师使用手册  ·  研究者使用手册  ·  玩家参与流程</w:t>
      </w:r>
    </w:p>
    <w:p w14:paraId="1E5F44A9">
      <w:r>
        <w:br w:type="page"/>
      </w:r>
    </w:p>
    <w:p w14:paraId="7A4B7A22">
      <w:pPr>
        <w:pStyle w:val="2"/>
        <w:pBdr>
          <w:bottom w:val="single" w:color="1A3A5C" w:sz="8" w:space="2"/>
        </w:pBdr>
        <w:spacing w:before="440" w:after="200"/>
      </w:pPr>
      <w:r>
        <w:rPr>
          <w:rFonts w:ascii="Arial" w:hAnsi="Arial" w:eastAsia="Arial" w:cs="Arial"/>
          <w:b/>
          <w:bCs/>
          <w:color w:val="1A3A5C"/>
          <w:sz w:val="30"/>
          <w:szCs w:val="30"/>
        </w:rPr>
        <w:t>十三、教师使用手册：从课程目标到推演上线的完整操作流程</w:t>
      </w:r>
    </w:p>
    <w:p w14:paraId="2394021A">
      <w:pPr>
        <w:spacing w:before="80" w:after="80"/>
        <w:jc w:val="both"/>
      </w:pPr>
      <w:r>
        <w:rPr>
          <w:rFonts w:ascii="Arial" w:hAnsi="Arial" w:eastAsia="Arial" w:cs="Arial"/>
          <w:b w:val="0"/>
          <w:bCs w:val="0"/>
          <w:color w:val="111111"/>
          <w:sz w:val="22"/>
          <w:szCs w:val="22"/>
        </w:rPr>
        <w:t>本节以「教学使用」为核心场景，按照教师实际操作的时间顺序，逐步描述从产生使用意图到推演结束的完整流程。教师在整个流程中承担三个不同阶段的角色：在准备阶段是「场景设计者」，在推演进行阶段是「主持人」，在推演结束后是「复盘引导者」。三个阶段的时间投入估算分别是：准备阶段（首次使用）2—4小时、（复用已有场景）20—40分钟；推演主持阶段2—4.5小时；教学复盘阶段30—60分钟。</w:t>
      </w:r>
    </w:p>
    <w:p w14:paraId="7D102B57">
      <w:pPr>
        <w:spacing w:before="80" w:after="80"/>
        <w:jc w:val="both"/>
      </w:pPr>
      <w:r>
        <w:rPr>
          <w:rFonts w:ascii="Arial" w:hAnsi="Arial" w:eastAsia="Arial" w:cs="Arial"/>
          <w:b w:val="0"/>
          <w:bCs w:val="0"/>
          <w:color w:val="111111"/>
          <w:sz w:val="22"/>
          <w:szCs w:val="22"/>
        </w:rPr>
        <w:t>使用本平台进行教学有一个重要的前置建议：在启动平台配置之前，教师应当先在纸上或头脑中回答四个基本问题——本次推演希望学员习得什么核心能力？学员需要哪些前置理论知识？学员人数和可用时间是多少？推演结束后将如何评估学习效果？这四个问题的答案将直接决定后续每一个配置参数的选择。平台提供的是工具，教学目标必须由教师确立。</w:t>
      </w:r>
    </w:p>
    <w:p w14:paraId="13836CEE">
      <w:pPr>
        <w:spacing w:before="120" w:after="120"/>
      </w:pPr>
    </w:p>
    <w:p w14:paraId="642ECED1">
      <w:pPr>
        <w:pStyle w:val="3"/>
        <w:spacing w:before="320" w:after="140"/>
      </w:pPr>
      <w:r>
        <w:rPr>
          <w:rFonts w:ascii="Arial" w:hAnsi="Arial" w:eastAsia="Arial" w:cs="Arial"/>
          <w:b/>
          <w:bCs/>
          <w:color w:val="174A7E"/>
          <w:sz w:val="25"/>
          <w:szCs w:val="25"/>
        </w:rPr>
        <w:t>13.1 注册与账号权限</w:t>
      </w:r>
    </w:p>
    <w:p w14:paraId="7725E6EA">
      <w:pPr>
        <w:spacing w:before="80" w:after="80"/>
        <w:jc w:val="both"/>
      </w:pPr>
      <w:r>
        <w:rPr>
          <w:rFonts w:ascii="Arial" w:hAnsi="Arial" w:eastAsia="Arial" w:cs="Arial"/>
          <w:b w:val="0"/>
          <w:bCs w:val="0"/>
          <w:color w:val="111111"/>
          <w:sz w:val="22"/>
          <w:szCs w:val="22"/>
        </w:rPr>
        <w:t>教师通过机构邮箱在政通推演坊官网完成注册，在身份选择中标注「教师/培训员」，填写所在机构名称和主要教授课程方向，提交后由平台运营团队在1—3个工作日内完成审核。审核通过后，教师获得以下功能权限：创建和管理场景配置（包括从模板库选取、修改和从零创建）、建立班级并管理学员名单、查看所有学员的行为日志和AI复盘报告、向百晓生L3私有库上传教学材料（每账号500MB配额）、将完成的场景配置导出为JSON文件并分享给其他教师。</w:t>
      </w:r>
    </w:p>
    <w:p w14:paraId="3BDD2702">
      <w:pPr>
        <w:spacing w:before="80" w:after="80"/>
        <w:jc w:val="both"/>
      </w:pPr>
      <w:r>
        <w:rPr>
          <w:rFonts w:ascii="Arial" w:hAnsi="Arial" w:eastAsia="Arial" w:cs="Arial"/>
          <w:b w:val="0"/>
          <w:bCs w:val="0"/>
          <w:color w:val="111111"/>
          <w:sz w:val="22"/>
          <w:szCs w:val="22"/>
        </w:rPr>
        <w:t>对于已与平台签订机构协议的院校，教师还可获得「机构教学管理」功能：在一个学期内管理多个班级的推演记录，进行跨班次学员决策数据比较，将推演表现数据导出为符合教务管理系统格式的评分表，以及召集课程组其他教师共同设计场景（场景协同设计功能，最多5人同时在线编辑）。</w:t>
      </w:r>
    </w:p>
    <w:p w14:paraId="21D79A40">
      <w:pPr>
        <w:spacing w:before="120" w:after="120"/>
      </w:pPr>
    </w:p>
    <w:p w14:paraId="19823913">
      <w:pPr>
        <w:pStyle w:val="3"/>
        <w:spacing w:before="320" w:after="140"/>
      </w:pPr>
      <w:r>
        <w:rPr>
          <w:rFonts w:ascii="Arial" w:hAnsi="Arial" w:eastAsia="Arial" w:cs="Arial"/>
          <w:b/>
          <w:bCs/>
          <w:color w:val="174A7E"/>
          <w:sz w:val="25"/>
          <w:szCs w:val="25"/>
        </w:rPr>
        <w:t>13.2 第一阶段：场景准备（9步配置工作流）</w:t>
      </w:r>
    </w:p>
    <w:p w14:paraId="07DAEF72">
      <w:pPr>
        <w:spacing w:before="80" w:after="80"/>
        <w:jc w:val="both"/>
      </w:pPr>
      <w:r>
        <w:rPr>
          <w:rFonts w:ascii="Arial" w:hAnsi="Arial" w:eastAsia="Arial" w:cs="Arial"/>
          <w:b w:val="0"/>
          <w:bCs w:val="0"/>
          <w:color w:val="111111"/>
          <w:sz w:val="22"/>
          <w:szCs w:val="22"/>
        </w:rPr>
        <w:t>场景配置是教师与平台交互最密集的阶段，通过「9步配置工作流」完成。工作流采用左侧步骤导航栏加右侧配置面板的界面布局，每步完成后自动保存，可以随时返回任意步骤修改，也可以将未完成的配置保存为草稿稍后继续。整个工作流结束后，平台将所有配置打包为一个JSON配置文件（Schema版本化管理），这个JSON文件就是该场景的完整描述，可以导出、备份、共享和再次编辑。</w:t>
      </w:r>
    </w:p>
    <w:p w14:paraId="634761A3">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AF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66BDCC97">
            <w:pPr>
              <w:spacing w:before="60" w:after="100"/>
            </w:pPr>
            <w:r>
              <w:rPr>
                <w:rFonts w:ascii="Arial" w:hAnsi="Arial" w:eastAsia="Arial" w:cs="Arial"/>
                <w:b/>
                <w:bCs/>
                <w:color w:val="1A3A5C"/>
                <w:sz w:val="21"/>
                <w:szCs w:val="21"/>
              </w:rPr>
              <w:t>▌ 9步配置工作流</w:t>
            </w:r>
          </w:p>
          <w:p w14:paraId="15ACDF0A">
            <w:pPr>
              <w:spacing w:before="16" w:after="16"/>
            </w:pPr>
            <w:r>
              <w:rPr>
                <w:rFonts w:ascii="Courier New" w:hAnsi="Courier New" w:eastAsia="Courier New" w:cs="Courier New"/>
                <w:color w:val="1A2233"/>
                <w:sz w:val="19"/>
                <w:szCs w:val="19"/>
              </w:rPr>
              <w:t xml:space="preserve">  9步配置工作流导航</w:t>
            </w:r>
          </w:p>
          <w:p w14:paraId="1AAB98C9">
            <w:pPr>
              <w:spacing w:before="16" w:after="16"/>
            </w:pPr>
            <w:r>
              <w:rPr>
                <w:rFonts w:ascii="Courier New" w:hAnsi="Courier New" w:eastAsia="Courier New" w:cs="Courier New"/>
                <w:color w:val="1A2233"/>
                <w:sz w:val="19"/>
                <w:szCs w:val="19"/>
              </w:rPr>
              <w:t xml:space="preserve">  ════════════════════════════════════════════════════════════</w:t>
            </w:r>
          </w:p>
          <w:p w14:paraId="344563F7">
            <w:pPr>
              <w:spacing w:before="16" w:after="16"/>
            </w:pPr>
          </w:p>
          <w:p w14:paraId="73DDA4C6">
            <w:pPr>
              <w:spacing w:before="16" w:after="16"/>
            </w:pPr>
            <w:r>
              <w:rPr>
                <w:rFonts w:ascii="Courier New" w:hAnsi="Courier New" w:eastAsia="Courier New" w:cs="Courier New"/>
                <w:color w:val="1A2233"/>
                <w:sz w:val="19"/>
                <w:szCs w:val="19"/>
              </w:rPr>
              <w:t xml:space="preserve">  ┌──────┐   ┌──────┐   ┌──────┐   ┌──────┐   ┌──────┐</w:t>
            </w:r>
          </w:p>
          <w:p w14:paraId="704FC3AE">
            <w:pPr>
              <w:spacing w:before="16" w:after="16"/>
            </w:pPr>
            <w:r>
              <w:rPr>
                <w:rFonts w:ascii="Courier New" w:hAnsi="Courier New" w:eastAsia="Courier New" w:cs="Courier New"/>
                <w:color w:val="1A2233"/>
                <w:sz w:val="19"/>
                <w:szCs w:val="19"/>
              </w:rPr>
              <w:t xml:space="preserve">  │ 步骤1│──▶│ 步骤2│──▶│ 步骤3│──▶│ 步骤4│──▶│ 步骤5│</w:t>
            </w:r>
          </w:p>
          <w:p w14:paraId="1F6BB540">
            <w:pPr>
              <w:spacing w:before="16" w:after="16"/>
            </w:pPr>
            <w:r>
              <w:rPr>
                <w:rFonts w:ascii="Courier New" w:hAnsi="Courier New" w:eastAsia="Courier New" w:cs="Courier New"/>
                <w:color w:val="1A2233"/>
                <w:sz w:val="19"/>
                <w:szCs w:val="19"/>
              </w:rPr>
              <w:t xml:space="preserve">  │选场景│   │设参数│   │配角色│   │设规则│   │接知库│</w:t>
            </w:r>
          </w:p>
          <w:p w14:paraId="31CD15C0">
            <w:pPr>
              <w:spacing w:before="16" w:after="16"/>
            </w:pPr>
            <w:r>
              <w:rPr>
                <w:rFonts w:ascii="Courier New" w:hAnsi="Courier New" w:eastAsia="Courier New" w:cs="Courier New"/>
                <w:color w:val="1A2233"/>
                <w:sz w:val="19"/>
                <w:szCs w:val="19"/>
              </w:rPr>
              <w:t xml:space="preserve">  └──────┘   └──────┘   └──────┘   └──────┘   └──────┘</w:t>
            </w:r>
          </w:p>
          <w:p w14:paraId="32856163">
            <w:pPr>
              <w:spacing w:before="16" w:after="16"/>
            </w:pPr>
            <w:r>
              <w:rPr>
                <w:rFonts w:ascii="Courier New" w:hAnsi="Courier New" w:eastAsia="Courier New" w:cs="Courier New"/>
                <w:color w:val="1A2233"/>
                <w:sz w:val="19"/>
                <w:szCs w:val="19"/>
              </w:rPr>
              <w:t xml:space="preserve">                                                    │</w:t>
            </w:r>
          </w:p>
          <w:p w14:paraId="66781F27">
            <w:pPr>
              <w:spacing w:before="16" w:after="16"/>
            </w:pPr>
            <w:r>
              <w:rPr>
                <w:rFonts w:ascii="Courier New" w:hAnsi="Courier New" w:eastAsia="Courier New" w:cs="Courier New"/>
                <w:color w:val="1A2233"/>
                <w:sz w:val="19"/>
                <w:szCs w:val="19"/>
              </w:rPr>
              <w:t xml:space="preserve">  ┌──────┐   ┌──────┐   ┌──────┐   ┌──────┐        │</w:t>
            </w:r>
          </w:p>
          <w:p w14:paraId="2505BFDA">
            <w:pPr>
              <w:spacing w:before="16" w:after="16"/>
            </w:pPr>
            <w:r>
              <w:rPr>
                <w:rFonts w:ascii="Courier New" w:hAnsi="Courier New" w:eastAsia="Courier New" w:cs="Courier New"/>
                <w:color w:val="1A2233"/>
                <w:sz w:val="19"/>
                <w:szCs w:val="19"/>
              </w:rPr>
              <w:t xml:space="preserve">  │完成发│◀──│步骤9 │◀──│ 步骤8│◀──│ 步骤7│◀───────┘</w:t>
            </w:r>
          </w:p>
          <w:p w14:paraId="60060E55">
            <w:pPr>
              <w:spacing w:before="16" w:after="16"/>
            </w:pPr>
            <w:r>
              <w:rPr>
                <w:rFonts w:ascii="Courier New" w:hAnsi="Courier New" w:eastAsia="Courier New" w:cs="Courier New"/>
                <w:color w:val="1A2233"/>
                <w:sz w:val="19"/>
                <w:szCs w:val="19"/>
              </w:rPr>
              <w:t xml:space="preserve">  │布邀请│   │测验证│   │配NPC │   │设事件│</w:t>
            </w:r>
          </w:p>
          <w:p w14:paraId="7F2762CA">
            <w:pPr>
              <w:spacing w:before="16" w:after="16"/>
            </w:pPr>
            <w:r>
              <w:rPr>
                <w:rFonts w:ascii="Courier New" w:hAnsi="Courier New" w:eastAsia="Courier New" w:cs="Courier New"/>
                <w:color w:val="1A2233"/>
                <w:sz w:val="19"/>
                <w:szCs w:val="19"/>
              </w:rPr>
              <w:t xml:space="preserve">  └──────┘   └──────┘   └──────┘   └──────┘</w:t>
            </w:r>
          </w:p>
          <w:p w14:paraId="4E7C1BB2">
            <w:pPr>
              <w:spacing w:before="16" w:after="16"/>
            </w:pPr>
            <w:r>
              <w:rPr>
                <w:rFonts w:ascii="Courier New" w:hAnsi="Courier New" w:eastAsia="Courier New" w:cs="Courier New"/>
                <w:color w:val="1A2233"/>
                <w:sz w:val="19"/>
                <w:szCs w:val="19"/>
              </w:rPr>
              <w:t xml:space="preserve">      │</w:t>
            </w:r>
          </w:p>
          <w:p w14:paraId="7C03D272">
            <w:pPr>
              <w:spacing w:before="16" w:after="16"/>
            </w:pPr>
            <w:r>
              <w:rPr>
                <w:rFonts w:ascii="Courier New" w:hAnsi="Courier New" w:eastAsia="Courier New" w:cs="Courier New"/>
                <w:color w:val="1A2233"/>
                <w:sz w:val="19"/>
                <w:szCs w:val="19"/>
              </w:rPr>
              <w:t xml:space="preserve">      ▼</w:t>
            </w:r>
          </w:p>
          <w:p w14:paraId="71386949">
            <w:pPr>
              <w:spacing w:before="16" w:after="16"/>
            </w:pPr>
            <w:r>
              <w:rPr>
                <w:rFonts w:ascii="Courier New" w:hAnsi="Courier New" w:eastAsia="Courier New" w:cs="Courier New"/>
                <w:color w:val="1A2233"/>
                <w:sz w:val="19"/>
                <w:szCs w:val="19"/>
              </w:rPr>
              <w:t xml:space="preserve">  生成房间码 → 邀请学员 → 开始推演</w:t>
            </w:r>
          </w:p>
        </w:tc>
      </w:tr>
    </w:tbl>
    <w:p w14:paraId="637665BA">
      <w:pPr>
        <w:spacing w:before="60" w:after="60"/>
      </w:pPr>
    </w:p>
    <w:p w14:paraId="3C5FAAEB">
      <w:pPr>
        <w:pStyle w:val="4"/>
        <w:spacing w:before="220" w:after="100"/>
      </w:pPr>
      <w:r>
        <w:rPr>
          <w:rFonts w:ascii="Arial" w:hAnsi="Arial" w:eastAsia="Arial" w:cs="Arial"/>
          <w:b/>
          <w:bCs/>
          <w:color w:val="1B5E96"/>
          <w:sz w:val="22"/>
          <w:szCs w:val="22"/>
        </w:rPr>
        <w:t>步骤1：选择场景基础</w:t>
      </w:r>
    </w:p>
    <w:p w14:paraId="3A8A7CC8">
      <w:pPr>
        <w:spacing w:before="80" w:after="80"/>
        <w:jc w:val="both"/>
      </w:pPr>
      <w:r>
        <w:rPr>
          <w:rFonts w:ascii="Arial" w:hAnsi="Arial" w:eastAsia="Arial" w:cs="Arial"/>
          <w:b w:val="0"/>
          <w:bCs w:val="0"/>
          <w:color w:val="111111"/>
          <w:sz w:val="22"/>
          <w:szCs w:val="22"/>
        </w:rPr>
        <w:t>教师有三个起点可以选择。从模板库直接使用：选取8个种子场景之一作为起点，包含预设的角色体系、默认参数值、基础事件卡库和推荐知识库关联，适合首次使用或时间有限的情况。从模板改编：在某个种子场景基础上只修改部分元素（比如只改参数组合，角色体系保持不变），适合有特定教学目标的定制需求。从空白模板创建：完全自定义，所有元素由用户填充，适合有丰富使用经验或独特研究需要的用户（操作指引见第十一节）。</w:t>
      </w:r>
    </w:p>
    <w:p w14:paraId="59707908">
      <w:pPr>
        <w:spacing w:before="80" w:after="80"/>
        <w:jc w:val="both"/>
      </w:pPr>
      <w:r>
        <w:rPr>
          <w:rFonts w:ascii="Arial" w:hAnsi="Arial" w:eastAsia="Arial" w:cs="Arial"/>
          <w:b w:val="0"/>
          <w:bCs w:val="0"/>
          <w:color w:val="111111"/>
          <w:sz w:val="22"/>
          <w:szCs w:val="22"/>
        </w:rPr>
        <w:t>选择场景起点后，填写「场景名称」（内部名，学员不一定看到）和「场景背景文本」（向玩家展示的情境介绍，建议300—600字，清晰描述推演发生的背景、主要问题和玩家进入时需要了解的基本情况）。背景文本是所有玩家的共同信息基础，在推演开始时展示给全体玩家。</w:t>
      </w:r>
    </w:p>
    <w:p w14:paraId="102B75C0">
      <w:pPr>
        <w:pStyle w:val="4"/>
        <w:spacing w:before="220" w:after="100"/>
      </w:pPr>
      <w:r>
        <w:rPr>
          <w:rFonts w:ascii="Arial" w:hAnsi="Arial" w:eastAsia="Arial" w:cs="Arial"/>
          <w:b/>
          <w:bCs/>
          <w:color w:val="1B5E96"/>
          <w:sz w:val="22"/>
          <w:szCs w:val="22"/>
        </w:rPr>
        <w:t>步骤2：设置核心参数</w:t>
      </w:r>
    </w:p>
    <w:p w14:paraId="786B3D33">
      <w:pPr>
        <w:spacing w:before="80" w:after="80"/>
        <w:jc w:val="both"/>
      </w:pPr>
      <w:r>
        <w:rPr>
          <w:rFonts w:ascii="Arial" w:hAnsi="Arial" w:eastAsia="Arial" w:cs="Arial"/>
          <w:b w:val="0"/>
          <w:bCs w:val="0"/>
          <w:color w:val="111111"/>
          <w:sz w:val="22"/>
          <w:szCs w:val="22"/>
        </w:rPr>
        <w:t>本步骤设置24个可配置参数，分为四个参数组，通过折叠面板展示。每个参数旁附有「参数卡」：点击后弹出包含参数含义、取值范围、建议取值区间、对推演动态的影响描述以及相关学术依据的说明卡片。以下说明四个参数组的核心逻辑。</w:t>
      </w:r>
    </w:p>
    <w:p w14:paraId="1D2DAE23">
      <w:pPr>
        <w:spacing w:before="80" w:after="80"/>
        <w:jc w:val="both"/>
      </w:pPr>
      <w:r>
        <w:rPr>
          <w:rFonts w:ascii="Arial" w:hAnsi="Arial" w:eastAsia="Arial" w:cs="Arial"/>
          <w:b w:val="0"/>
          <w:bCs w:val="0"/>
          <w:color w:val="111111"/>
          <w:sz w:val="22"/>
          <w:szCs w:val="22"/>
        </w:rPr>
        <w:t>A组（辖区环境参数）：描述推演发生的「场域基本条件」，包括区域经济发展程度、人口社会结构等背景参数。这组参数影响「背景值」，即各维度指标的初始起点和自然衰减速率。教学场景通常保持默认值即可；研究者若要比较不同经济发展背景下的治理行为，可系统变化此组参数。</w:t>
      </w:r>
    </w:p>
    <w:p w14:paraId="54F92FDC">
      <w:pPr>
        <w:spacing w:before="80" w:after="80"/>
        <w:jc w:val="both"/>
      </w:pPr>
      <w:r>
        <w:rPr>
          <w:rFonts w:ascii="Arial" w:hAnsi="Arial" w:eastAsia="Arial" w:cs="Arial"/>
          <w:b w:val="0"/>
          <w:bCs w:val="0"/>
          <w:color w:val="111111"/>
          <w:sz w:val="22"/>
          <w:szCs w:val="22"/>
        </w:rPr>
        <w:t>B组（压力动态参数）：描述推演进行过程中的外部压力动态，包括上级干预强度（upper_pressure，1—10）、问责压力等级（accountability_pressure，1—10）、督察倒计时（supervisor_countdown，5—20轮）等6个参数。这组参数是「剧情节奏控制器」：调高upper_pressure会使场景更紧迫，调长supervisor_countdown会给玩家更多协商空间。</w:t>
      </w:r>
    </w:p>
    <w:p w14:paraId="29E3E335">
      <w:pPr>
        <w:spacing w:before="80" w:after="80"/>
        <w:jc w:val="both"/>
      </w:pPr>
      <w:r>
        <w:rPr>
          <w:rFonts w:ascii="Arial" w:hAnsi="Arial" w:eastAsia="Arial" w:cs="Arial"/>
          <w:b w:val="0"/>
          <w:bCs w:val="0"/>
          <w:color w:val="111111"/>
          <w:sz w:val="22"/>
          <w:szCs w:val="22"/>
        </w:rPr>
        <w:t>C组（结构约束参数）：描述制度硬约束的强度，包括制度刚性（institutional_rigidity，1—10）、信息不对称程度（info_asymmetry，1—10）、媒体开放程度（media_openness，1—10）等6个参数。这组参数决定「博弈的弹性空间」：刚性高则变通空间小，透明度高则独占信息的战略价值下降。</w:t>
      </w:r>
    </w:p>
    <w:p w14:paraId="013890E7">
      <w:pPr>
        <w:spacing w:before="80" w:after="80"/>
        <w:jc w:val="both"/>
      </w:pPr>
      <w:r>
        <w:rPr>
          <w:rFonts w:ascii="Arial" w:hAnsi="Arial" w:eastAsia="Arial" w:cs="Arial"/>
          <w:b w:val="0"/>
          <w:bCs w:val="0"/>
          <w:color w:val="111111"/>
          <w:sz w:val="22"/>
          <w:szCs w:val="22"/>
        </w:rPr>
        <w:t>D组（博弈规则参数）：描述博弈互动的基本规则，包括合作激励系数（cooperation_incentive，0.5—2.0）、冲突强度（conflict_intensity，1—10）、联署门槛（coalition_threshold，2—5）等6个参数。这组参数决定「玩家的互动倾向」：提高cooperation_incentive会让合作类行动回报更高，降低coalition_threshold会使联署更容易形成。</w:t>
      </w:r>
    </w:p>
    <w:p w14:paraId="0F71BE48">
      <w:pPr>
        <w:pStyle w:val="4"/>
        <w:spacing w:before="220" w:after="100"/>
      </w:pPr>
      <w:r>
        <w:rPr>
          <w:rFonts w:ascii="Arial" w:hAnsi="Arial" w:eastAsia="Arial" w:cs="Arial"/>
          <w:b/>
          <w:bCs/>
          <w:color w:val="1B5E96"/>
          <w:sz w:val="22"/>
          <w:szCs w:val="22"/>
        </w:rPr>
        <w:t>步骤3：配置角色体系</w:t>
      </w:r>
    </w:p>
    <w:p w14:paraId="38DC4684">
      <w:pPr>
        <w:spacing w:before="80" w:after="80"/>
        <w:jc w:val="both"/>
      </w:pPr>
      <w:r>
        <w:rPr>
          <w:rFonts w:ascii="Arial" w:hAnsi="Arial" w:eastAsia="Arial" w:cs="Arial"/>
          <w:b w:val="0"/>
          <w:bCs w:val="0"/>
          <w:color w:val="111111"/>
          <w:sz w:val="22"/>
          <w:szCs w:val="22"/>
        </w:rPr>
        <w:t>本步骤定义推演中的所有角色。教师首先决定角色总数（推荐6—14个），然后为每个角色填写：正式职位名称（须在真实行政体制中存在，平台提供「职位名称合规检验」工具）、所属制度模块（M1—M6中选择一个或两个）、KPI权重分配（五维指标各自的权重，总和须等于100%）、独占信息内容（仅该角色看到的关键信息，可留空表示无独占信息）、行动权限配置（从12类行动类型中选择该角色可使用的类别）。</w:t>
      </w:r>
    </w:p>
    <w:p w14:paraId="1EDE5909">
      <w:pPr>
        <w:spacing w:before="80" w:after="80"/>
        <w:jc w:val="both"/>
      </w:pPr>
      <w:r>
        <w:rPr>
          <w:rFonts w:ascii="Arial" w:hAnsi="Arial" w:eastAsia="Arial" w:cs="Arial"/>
          <w:b w:val="0"/>
          <w:bCs w:val="0"/>
          <w:color w:val="111111"/>
          <w:sz w:val="22"/>
          <w:szCs w:val="22"/>
        </w:rPr>
        <w:t>平台提供「角色权限矩阵自动推荐工具」：输入职位名称，平台基于内置的制度知识自动推荐该职位通常应有的行动权限，教师在此基础上做增减。这一工具大大降低了角色设计的制度知识门槛。教师也可以完全手动配置权限，实现非常规角色设计。</w:t>
      </w:r>
    </w:p>
    <w:p w14:paraId="4F9AAFEB">
      <w:pPr>
        <w:spacing w:before="80" w:after="80"/>
        <w:jc w:val="both"/>
      </w:pPr>
      <w:r>
        <w:rPr>
          <w:rFonts w:ascii="Arial" w:hAnsi="Arial" w:eastAsia="Arial" w:cs="Arial"/>
          <w:b w:val="0"/>
          <w:bCs w:val="0"/>
          <w:color w:val="111111"/>
          <w:sz w:val="22"/>
          <w:szCs w:val="22"/>
        </w:rPr>
        <w:t>角色KPI权重的设计逻辑需要遵循一条核心原则：权重应反映该角色的真实绩效考核逻辑，而不是教师希望他们关注什么。例如，县委书记的CLR（央地关系）和PSR（政策问题解决）权重应较高，ARC（合规）权重较低，因为在真实激励结构下政治安全和工作绩效比程序合规更被重视，这一设计有大量文献支撑（周黎安, 2007）。如果教师人为提高ARC权重，反而会扭曲模型的真实性。</w:t>
      </w:r>
    </w:p>
    <w:p w14:paraId="45DA54A2">
      <w:pPr>
        <w:pStyle w:val="4"/>
        <w:spacing w:before="220" w:after="100"/>
      </w:pPr>
      <w:r>
        <w:rPr>
          <w:rFonts w:ascii="Arial" w:hAnsi="Arial" w:eastAsia="Arial" w:cs="Arial"/>
          <w:b/>
          <w:bCs/>
          <w:color w:val="1B5E96"/>
          <w:sz w:val="22"/>
          <w:szCs w:val="22"/>
        </w:rPr>
        <w:t>步骤4：设置推演规则</w:t>
      </w:r>
    </w:p>
    <w:p w14:paraId="1934F4E2">
      <w:pPr>
        <w:spacing w:before="80" w:after="80"/>
        <w:jc w:val="both"/>
      </w:pPr>
      <w:r>
        <w:rPr>
          <w:rFonts w:ascii="Arial" w:hAnsi="Arial" w:eastAsia="Arial" w:cs="Arial"/>
          <w:b w:val="0"/>
          <w:bCs w:val="0"/>
          <w:color w:val="111111"/>
          <w:sz w:val="22"/>
          <w:szCs w:val="22"/>
        </w:rPr>
        <w:t>本步骤设置推演的基本游戏规则，包含以下六类可配置规则。第一，通信规则：是否允许私信（默认允许），哪些角色之间可以建立私信频道（默认全体可互发），主持人是否可以查看私信（默认可见，玩家进入前会被明确告知）。第二，联署规则：是否启用联署功能，联署最少需要几人（2—5人，默认2人），联署是否需要主持人审核。第三，决策方式：单选（每个节点只选一个行动，默认）或多选（可选多个行动，代价叠加）。第四，弃权效果：是否允许弃权，弃权的指标后果是什么（默认弃权后督察倒计时加速）。第五，自定义选项：是否允许玩家提交自定义行动方案（默认允许），是否需要主持人审核（默认需要）。第六，阶段推进方式：所有玩家完成决策后自动推进，或计时结束强制推进（默认：均完成则推进，否则超时强制）。</w:t>
      </w:r>
    </w:p>
    <w:p w14:paraId="1C0CD48E">
      <w:pPr>
        <w:pStyle w:val="4"/>
        <w:spacing w:before="220" w:after="100"/>
      </w:pPr>
      <w:r>
        <w:rPr>
          <w:rFonts w:ascii="Arial" w:hAnsi="Arial" w:eastAsia="Arial" w:cs="Arial"/>
          <w:b/>
          <w:bCs/>
          <w:color w:val="1B5E96"/>
          <w:sz w:val="22"/>
          <w:szCs w:val="22"/>
        </w:rPr>
        <w:t>步骤5：关联知识库</w:t>
      </w:r>
    </w:p>
    <w:p w14:paraId="18BC6127">
      <w:pPr>
        <w:spacing w:before="80" w:after="80"/>
        <w:jc w:val="both"/>
      </w:pPr>
      <w:r>
        <w:rPr>
          <w:rFonts w:ascii="Arial" w:hAnsi="Arial" w:eastAsia="Arial" w:cs="Arial"/>
          <w:b w:val="0"/>
          <w:bCs w:val="0"/>
          <w:color w:val="111111"/>
          <w:sz w:val="22"/>
          <w:szCs w:val="22"/>
        </w:rPr>
        <w:t>本步骤将场景与百晓生知识库关联，确定RAG决策选项提炼的知识来源。操作分三部分：首先，选择L1/L2知识库——平台列出百晓生中现有的公共大库（L1）和主题专题库（L2），教师选择与本次场景最相关的1—3个主题库；其次，上传L3私有材料——教师可上传自己课程独有的文献、政策文本、内部案例等，平台在约15分钟内完成向量化入库；最后，查看知识覆盖热力图——平台针对本次场景的各主要决策节点，展示当前知识库的文献覆盖密度，覆盖不足的节点（文献数&lt;3篇）会以灰色警告标识，教师可针对性补充上传文献或为该节点手动预设选项。</w:t>
      </w:r>
    </w:p>
    <w:p w14:paraId="0449B434">
      <w:pPr>
        <w:pStyle w:val="4"/>
        <w:spacing w:before="220" w:after="100"/>
      </w:pPr>
      <w:r>
        <w:rPr>
          <w:rFonts w:ascii="Arial" w:hAnsi="Arial" w:eastAsia="Arial" w:cs="Arial"/>
          <w:b/>
          <w:bCs/>
          <w:color w:val="1B5E96"/>
          <w:sz w:val="22"/>
          <w:szCs w:val="22"/>
        </w:rPr>
        <w:t>步骤6：设计事件卡</w:t>
      </w:r>
    </w:p>
    <w:p w14:paraId="022B1040">
      <w:pPr>
        <w:spacing w:before="80" w:after="80"/>
        <w:jc w:val="both"/>
      </w:pPr>
      <w:r>
        <w:rPr>
          <w:rFonts w:ascii="Arial" w:hAnsi="Arial" w:eastAsia="Arial" w:cs="Arial"/>
          <w:b w:val="0"/>
          <w:bCs w:val="0"/>
          <w:color w:val="111111"/>
          <w:sz w:val="22"/>
          <w:szCs w:val="22"/>
        </w:rPr>
        <w:t>本步骤管理推演过程中的事件卡库。教师可从当前场景模板的事件库出发（若使用了种子场景模板，则已有基础事件卡），进行增删修改。每张事件卡的必填字段包括：事件名称、触发条件（条件触发/随机概率/主持人手动触发）、推送对象（全体角色/特定角色/特定角色组）、事件文本、立即指标效果。可选字段包括：是否属于独占信息（仅特定角色看到）、后续决策选项影响（是否为某角色解锁或限制特定行动）。</w:t>
      </w:r>
    </w:p>
    <w:p w14:paraId="550C7C63">
      <w:pPr>
        <w:spacing w:before="80" w:after="80"/>
        <w:jc w:val="both"/>
      </w:pPr>
      <w:r>
        <w:rPr>
          <w:rFonts w:ascii="Arial" w:hAnsi="Arial" w:eastAsia="Arial" w:cs="Arial"/>
          <w:b w:val="0"/>
          <w:bCs w:val="0"/>
          <w:color w:val="111111"/>
          <w:sz w:val="22"/>
          <w:szCs w:val="22"/>
        </w:rPr>
        <w:t>「事件卡生成助手」是这一步的辅助工具：教师输入一个事件的核心想法（如「企业主动寻求政治庇护」），AI辅助生成完整的事件卡草稿，教师在此基础上修改。助手生成的草稿包含所有必填字段的初始值，但教师必须审核后手动确认才会保存。</w:t>
      </w:r>
    </w:p>
    <w:p w14:paraId="570166E5">
      <w:pPr>
        <w:pStyle w:val="4"/>
        <w:spacing w:before="220" w:after="100"/>
      </w:pPr>
      <w:r>
        <w:rPr>
          <w:rFonts w:ascii="Arial" w:hAnsi="Arial" w:eastAsia="Arial" w:cs="Arial"/>
          <w:b/>
          <w:bCs/>
          <w:color w:val="1B5E96"/>
          <w:sz w:val="22"/>
          <w:szCs w:val="22"/>
        </w:rPr>
        <w:t>步骤7：配置NPC行为</w:t>
      </w:r>
    </w:p>
    <w:p w14:paraId="215C1DF5">
      <w:pPr>
        <w:spacing w:before="80" w:after="80"/>
        <w:jc w:val="both"/>
      </w:pPr>
      <w:r>
        <w:rPr>
          <w:rFonts w:ascii="Arial" w:hAnsi="Arial" w:eastAsia="Arial" w:cs="Arial"/>
          <w:b w:val="0"/>
          <w:bCs w:val="0"/>
          <w:color w:val="111111"/>
          <w:sz w:val="22"/>
          <w:szCs w:val="22"/>
        </w:rPr>
        <w:t>对于真实玩家无法覆盖的角色，本步骤设置AI NPC行为。对每个NPC，教师选择「行为策略倾向」：保守型（优先低风险行动，倾向延迟）、激进型（优先高期望值行动，接受高风险）、合规型（严格按制度合规验证结果行事，不选灰色地带）、机会主义型（低压力时变通，高压力时立即合规）。平台提供第五种选项「自定义行为树」，供有编程能力的用户直接编写NPC决策逻辑（JSON格式的决策树）。</w:t>
      </w:r>
    </w:p>
    <w:p w14:paraId="20A65145">
      <w:pPr>
        <w:pStyle w:val="4"/>
        <w:spacing w:before="220" w:after="100"/>
      </w:pPr>
      <w:r>
        <w:rPr>
          <w:rFonts w:ascii="Arial" w:hAnsi="Arial" w:eastAsia="Arial" w:cs="Arial"/>
          <w:b/>
          <w:bCs/>
          <w:color w:val="1B5E96"/>
          <w:sz w:val="22"/>
          <w:szCs w:val="22"/>
        </w:rPr>
        <w:t>步骤8：配置验证与沙盒预演</w:t>
      </w:r>
    </w:p>
    <w:p w14:paraId="38A9E393">
      <w:pPr>
        <w:spacing w:before="80" w:after="80"/>
        <w:jc w:val="both"/>
      </w:pPr>
      <w:r>
        <w:rPr>
          <w:rFonts w:ascii="Arial" w:hAnsi="Arial" w:eastAsia="Arial" w:cs="Arial"/>
          <w:b w:val="0"/>
          <w:bCs w:val="0"/>
          <w:color w:val="111111"/>
          <w:sz w:val="22"/>
          <w:szCs w:val="22"/>
        </w:rPr>
        <w:t>配置完成后，系统自动运行「配置验证」：检查角色KPI权重合法性（是否总和=100%）、参数组合是否存在内部矛盾（如制度刚性设为10但同时开放了「创新探索类」行动）、事件卡触发条件是否可达（是否在推演参数空间内有机会被满足）、知识库覆盖是否充分（所有决策节点是否都有≥3篇相关文献）。验证报告列出所有警告和错误，教师可选择修改或忽略警告（但错误必须修复才能进入步骤9）。验证通过后，教师可进入「教师沙盒模式」，在独立的沙盒环境中模拟一轮推演，测试各关键决策分支的效果，验证NPC行为是否合理，感受时间节奏是否适当。沙盒数据不计入任何正式数据库。</w:t>
      </w:r>
    </w:p>
    <w:p w14:paraId="32DD4102">
      <w:pPr>
        <w:pStyle w:val="4"/>
        <w:spacing w:before="220" w:after="100"/>
      </w:pPr>
      <w:r>
        <w:rPr>
          <w:rFonts w:ascii="Arial" w:hAnsi="Arial" w:eastAsia="Arial" w:cs="Arial"/>
          <w:b/>
          <w:bCs/>
          <w:color w:val="1B5E96"/>
          <w:sz w:val="22"/>
          <w:szCs w:val="22"/>
        </w:rPr>
        <w:t>步骤9：发布场景与学员管理</w:t>
      </w:r>
    </w:p>
    <w:p w14:paraId="474A221D">
      <w:pPr>
        <w:spacing w:before="80" w:after="80"/>
        <w:jc w:val="both"/>
      </w:pPr>
      <w:r>
        <w:rPr>
          <w:rFonts w:ascii="Arial" w:hAnsi="Arial" w:eastAsia="Arial" w:cs="Arial"/>
          <w:b w:val="0"/>
          <w:bCs w:val="0"/>
          <w:color w:val="111111"/>
          <w:sz w:val="22"/>
          <w:szCs w:val="22"/>
        </w:rPr>
        <w:t>配置确认后，教师点击「发布场景」。系统生成唯一的6位房间码（格式如GOV-7K3R）和带参数的邀请二维码。教师通过以下方式邀请学员加入：将房间码分发给学员（学员在平台首页输入房间码）；展示二维码（学员扫码后直接进入该场景候场大厅）；通过班级链接邀请（已建立班级的教师可直接向班级发出邀请，学员点击链接即可进入）。在候场大厅管理界面，教师可以看到每位学员的在线状态和角色分配情况，可手动将特定学员分配至特定角色（覆盖学员自选），也可以随机分配角色。确认所有角色就绪后，教师点击「开始推演」。</w:t>
      </w:r>
    </w:p>
    <w:p w14:paraId="1247837C">
      <w:pPr>
        <w:spacing w:before="120" w:after="120"/>
      </w:pPr>
    </w:p>
    <w:p w14:paraId="3A318218">
      <w:pPr>
        <w:pStyle w:val="3"/>
        <w:spacing w:before="320" w:after="140"/>
      </w:pPr>
      <w:r>
        <w:rPr>
          <w:rFonts w:ascii="Arial" w:hAnsi="Arial" w:eastAsia="Arial" w:cs="Arial"/>
          <w:b/>
          <w:bCs/>
          <w:color w:val="174A7E"/>
          <w:sz w:val="25"/>
          <w:szCs w:val="25"/>
        </w:rPr>
        <w:t>13.3 第二阶段：推演主持</w:t>
      </w:r>
    </w:p>
    <w:p w14:paraId="5C137ED6">
      <w:pPr>
        <w:spacing w:before="80" w:after="80"/>
        <w:jc w:val="both"/>
      </w:pPr>
      <w:r>
        <w:rPr>
          <w:rFonts w:ascii="Arial" w:hAnsi="Arial" w:eastAsia="Arial" w:cs="Arial"/>
          <w:b w:val="0"/>
          <w:bCs w:val="0"/>
          <w:color w:val="111111"/>
          <w:sz w:val="22"/>
          <w:szCs w:val="22"/>
        </w:rPr>
        <w:t>推演进行期间，教师使用「主持人仪表盘」界面。该界面显示所有玩家界面无法看到的全局视角：五维指标的实时全局走势、所有玩家的决策完成情况、公开频道和私信频道的全部内容（仅主持人可见）、待触发的事件卡列表，以及系统警告（如某角色触发了制度合规验证警告）。</w:t>
      </w:r>
    </w:p>
    <w:p w14:paraId="73D4E4D4">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7A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5AACFA05">
            <w:pPr>
              <w:spacing w:before="60" w:after="100"/>
            </w:pPr>
            <w:r>
              <w:rPr>
                <w:rFonts w:ascii="Arial" w:hAnsi="Arial" w:eastAsia="Arial" w:cs="Arial"/>
                <w:b/>
                <w:bCs/>
                <w:color w:val="1A3A5C"/>
                <w:sz w:val="21"/>
                <w:szCs w:val="21"/>
              </w:rPr>
              <w:t>▌ 主持人仪表盘布局</w:t>
            </w:r>
          </w:p>
          <w:p w14:paraId="74DB3664">
            <w:pPr>
              <w:spacing w:before="16" w:after="16"/>
            </w:pPr>
            <w:r>
              <w:rPr>
                <w:rFonts w:ascii="Courier New" w:hAnsi="Courier New" w:eastAsia="Courier New" w:cs="Courier New"/>
                <w:color w:val="1A2233"/>
                <w:sz w:val="19"/>
                <w:szCs w:val="19"/>
              </w:rPr>
              <w:t xml:space="preserve">  主持人仪表盘界面布局</w:t>
            </w:r>
          </w:p>
          <w:p w14:paraId="09C6B873">
            <w:pPr>
              <w:spacing w:before="16" w:after="16"/>
            </w:pPr>
            <w:r>
              <w:rPr>
                <w:rFonts w:ascii="Courier New" w:hAnsi="Courier New" w:eastAsia="Courier New" w:cs="Courier New"/>
                <w:color w:val="1A2233"/>
                <w:sz w:val="19"/>
                <w:szCs w:val="19"/>
              </w:rPr>
              <w:t xml:space="preserve">  ════════════════════════════════════════════════════════════</w:t>
            </w:r>
          </w:p>
          <w:p w14:paraId="00B1E726">
            <w:pPr>
              <w:spacing w:before="16" w:after="16"/>
            </w:pPr>
          </w:p>
          <w:p w14:paraId="4D99CAC4">
            <w:pPr>
              <w:spacing w:before="16" w:after="16"/>
            </w:pPr>
            <w:r>
              <w:rPr>
                <w:rFonts w:ascii="Courier New" w:hAnsi="Courier New" w:eastAsia="Courier New" w:cs="Courier New"/>
                <w:color w:val="1A2233"/>
                <w:sz w:val="19"/>
                <w:szCs w:val="19"/>
              </w:rPr>
              <w:t xml:space="preserve">  ┌─────────────────────┬──────────────────────────────────────┐</w:t>
            </w:r>
          </w:p>
          <w:p w14:paraId="41937632">
            <w:pPr>
              <w:spacing w:before="16" w:after="16"/>
            </w:pPr>
            <w:r>
              <w:rPr>
                <w:rFonts w:ascii="Courier New" w:hAnsi="Courier New" w:eastAsia="Courier New" w:cs="Courier New"/>
                <w:color w:val="1A2233"/>
                <w:sz w:val="19"/>
                <w:szCs w:val="19"/>
              </w:rPr>
              <w:t xml:space="preserve">  │  左侧：实时指标面板  │         右侧：通信与行为流           │</w:t>
            </w:r>
          </w:p>
          <w:p w14:paraId="72E653E3">
            <w:pPr>
              <w:spacing w:before="16" w:after="16"/>
            </w:pPr>
            <w:r>
              <w:rPr>
                <w:rFonts w:ascii="Courier New" w:hAnsi="Courier New" w:eastAsia="Courier New" w:cs="Courier New"/>
                <w:color w:val="1A2233"/>
                <w:sz w:val="19"/>
                <w:szCs w:val="19"/>
              </w:rPr>
              <w:t xml:space="preserve">  │                     │                                      │</w:t>
            </w:r>
          </w:p>
          <w:p w14:paraId="08A3740C">
            <w:pPr>
              <w:spacing w:before="16" w:after="16"/>
            </w:pPr>
            <w:r>
              <w:rPr>
                <w:rFonts w:ascii="Courier New" w:hAnsi="Courier New" w:eastAsia="Courier New" w:cs="Courier New"/>
                <w:color w:val="1A2233"/>
                <w:sz w:val="19"/>
                <w:szCs w:val="19"/>
              </w:rPr>
              <w:t xml:space="preserve">  │  [五维雷达图]        │  ┌──────────────────────────────┐  │</w:t>
            </w:r>
          </w:p>
          <w:p w14:paraId="79CD6719">
            <w:pPr>
              <w:spacing w:before="16" w:after="16"/>
            </w:pPr>
            <w:r>
              <w:rPr>
                <w:rFonts w:ascii="Courier New" w:hAnsi="Courier New" w:eastAsia="Courier New" w:cs="Courier New"/>
                <w:color w:val="1A2233"/>
                <w:sz w:val="19"/>
                <w:szCs w:val="19"/>
              </w:rPr>
              <w:t xml:space="preserve">  │   全局加总值         │  │  公开频道消息流（可按角色过滤）│  │</w:t>
            </w:r>
          </w:p>
          <w:p w14:paraId="7A8416E7">
            <w:pPr>
              <w:spacing w:before="16" w:after="16"/>
            </w:pPr>
            <w:r>
              <w:rPr>
                <w:rFonts w:ascii="Courier New" w:hAnsi="Courier New" w:eastAsia="Courier New" w:cs="Courier New"/>
                <w:color w:val="1A2233"/>
                <w:sz w:val="19"/>
                <w:szCs w:val="19"/>
              </w:rPr>
              <w:t xml:space="preserve">  │   CLR=67 STS=52     │  │  私信记录（主持人可见全部）    │  │</w:t>
            </w:r>
          </w:p>
          <w:p w14:paraId="70B77760">
            <w:pPr>
              <w:spacing w:before="16" w:after="16"/>
            </w:pPr>
            <w:r>
              <w:rPr>
                <w:rFonts w:ascii="Courier New" w:hAnsi="Courier New" w:eastAsia="Courier New" w:cs="Courier New"/>
                <w:color w:val="1A2233"/>
                <w:sz w:val="19"/>
                <w:szCs w:val="19"/>
              </w:rPr>
              <w:t xml:space="preserve">  │                     │  │  联署记录                      │  │</w:t>
            </w:r>
          </w:p>
          <w:p w14:paraId="0BB44BFD">
            <w:pPr>
              <w:spacing w:before="16" w:after="16"/>
            </w:pPr>
            <w:r>
              <w:rPr>
                <w:rFonts w:ascii="Courier New" w:hAnsi="Courier New" w:eastAsia="Courier New" w:cs="Courier New"/>
                <w:color w:val="1A2233"/>
                <w:sz w:val="19"/>
                <w:szCs w:val="19"/>
              </w:rPr>
              <w:t xml:space="preserve">  │  [时序折线图]        │  └──────────────────────────────┘  │</w:t>
            </w:r>
          </w:p>
          <w:p w14:paraId="3554E869">
            <w:pPr>
              <w:spacing w:before="16" w:after="16"/>
            </w:pPr>
            <w:r>
              <w:rPr>
                <w:rFonts w:ascii="Courier New" w:hAnsi="Courier New" w:eastAsia="Courier New" w:cs="Courier New"/>
                <w:color w:val="1A2233"/>
                <w:sz w:val="19"/>
                <w:szCs w:val="19"/>
              </w:rPr>
              <w:t xml:space="preserve">  │   5维×N轮趋势        │                                      │</w:t>
            </w:r>
          </w:p>
          <w:p w14:paraId="42A0EBD0">
            <w:pPr>
              <w:spacing w:before="16" w:after="16"/>
            </w:pPr>
            <w:r>
              <w:rPr>
                <w:rFonts w:ascii="Courier New" w:hAnsi="Courier New" w:eastAsia="Courier New" w:cs="Courier New"/>
                <w:color w:val="1A2233"/>
                <w:sz w:val="19"/>
                <w:szCs w:val="19"/>
              </w:rPr>
              <w:t xml:space="preserve">  │                     │  ┌──────────────────────────────┐  │</w:t>
            </w:r>
          </w:p>
          <w:p w14:paraId="0C5F6CE7">
            <w:pPr>
              <w:spacing w:before="16" w:after="16"/>
            </w:pPr>
            <w:r>
              <w:rPr>
                <w:rFonts w:ascii="Courier New" w:hAnsi="Courier New" w:eastAsia="Courier New" w:cs="Courier New"/>
                <w:color w:val="1A2233"/>
                <w:sz w:val="19"/>
                <w:szCs w:val="19"/>
              </w:rPr>
              <w:t xml:space="preserve">  │  [督察倒计时]        │  │  系统警告（制度违规自动高亮） │  │</w:t>
            </w:r>
          </w:p>
          <w:p w14:paraId="78B72567">
            <w:pPr>
              <w:spacing w:before="16" w:after="16"/>
            </w:pPr>
            <w:r>
              <w:rPr>
                <w:rFonts w:ascii="Courier New" w:hAnsi="Courier New" w:eastAsia="Courier New" w:cs="Courier New"/>
                <w:color w:val="1A2233"/>
                <w:sz w:val="19"/>
                <w:szCs w:val="19"/>
              </w:rPr>
              <w:t xml:space="preserve">  │   剩余3.5轮          │  │  NPC行为日志                   │  │</w:t>
            </w:r>
          </w:p>
          <w:p w14:paraId="227318FD">
            <w:pPr>
              <w:spacing w:before="16" w:after="16"/>
            </w:pPr>
            <w:r>
              <w:rPr>
                <w:rFonts w:ascii="Courier New" w:hAnsi="Courier New" w:eastAsia="Courier New" w:cs="Courier New"/>
                <w:color w:val="1A2233"/>
                <w:sz w:val="19"/>
                <w:szCs w:val="19"/>
              </w:rPr>
              <w:t xml:space="preserve">  ├─────────────────────┤  └──────────────────────────────┘  │</w:t>
            </w:r>
          </w:p>
          <w:p w14:paraId="7AF43E9B">
            <w:pPr>
              <w:spacing w:before="16" w:after="16"/>
            </w:pPr>
            <w:r>
              <w:rPr>
                <w:rFonts w:ascii="Courier New" w:hAnsi="Courier New" w:eastAsia="Courier New" w:cs="Courier New"/>
                <w:color w:val="1A2233"/>
                <w:sz w:val="19"/>
                <w:szCs w:val="19"/>
              </w:rPr>
              <w:t xml:space="preserve">  │  下侧：决策进度看板  │                                      │</w:t>
            </w:r>
          </w:p>
          <w:p w14:paraId="140AFA90">
            <w:pPr>
              <w:spacing w:before="16" w:after="16"/>
            </w:pPr>
            <w:r>
              <w:rPr>
                <w:rFonts w:ascii="Courier New" w:hAnsi="Courier New" w:eastAsia="Courier New" w:cs="Courier New"/>
                <w:color w:val="1A2233"/>
                <w:sz w:val="19"/>
                <w:szCs w:val="19"/>
              </w:rPr>
              <w:t xml:space="preserve">  │  角色1 ✓ 已提交      │  [主持人干预工具栏]                  │</w:t>
            </w:r>
          </w:p>
          <w:p w14:paraId="595057E5">
            <w:pPr>
              <w:spacing w:before="16" w:after="16"/>
            </w:pPr>
            <w:r>
              <w:rPr>
                <w:rFonts w:ascii="Courier New" w:hAnsi="Courier New" w:eastAsia="Courier New" w:cs="Courier New"/>
                <w:color w:val="1A2233"/>
                <w:sz w:val="19"/>
                <w:szCs w:val="19"/>
              </w:rPr>
              <w:t xml:space="preserve">  │  角色2 ⏳ 5:32       │  [暂停] [强制推进] [广播消息]        │</w:t>
            </w:r>
          </w:p>
          <w:p w14:paraId="61FD79C1">
            <w:pPr>
              <w:spacing w:before="16" w:after="16"/>
            </w:pPr>
            <w:r>
              <w:rPr>
                <w:rFonts w:ascii="Courier New" w:hAnsi="Courier New" w:eastAsia="Courier New" w:cs="Courier New"/>
                <w:color w:val="1A2233"/>
                <w:sz w:val="19"/>
                <w:szCs w:val="19"/>
              </w:rPr>
              <w:t xml:space="preserve">  │  角色3 ✓ 已提交      │  [手动触发事件] [调整参数]           │</w:t>
            </w:r>
          </w:p>
          <w:p w14:paraId="0923F9F7">
            <w:pPr>
              <w:spacing w:before="16" w:after="16"/>
            </w:pPr>
            <w:r>
              <w:rPr>
                <w:rFonts w:ascii="Courier New" w:hAnsi="Courier New" w:eastAsia="Courier New" w:cs="Courier New"/>
                <w:color w:val="1A2233"/>
                <w:sz w:val="19"/>
                <w:szCs w:val="19"/>
              </w:rPr>
              <w:t xml:space="preserve">  └─────────────────────┴──────────────────────────────────────┘</w:t>
            </w:r>
          </w:p>
        </w:tc>
      </w:tr>
    </w:tbl>
    <w:p w14:paraId="04512985">
      <w:pPr>
        <w:spacing w:before="60" w:after="60"/>
      </w:pPr>
    </w:p>
    <w:p w14:paraId="2BD2D45E">
      <w:pPr>
        <w:spacing w:before="80" w:after="80"/>
        <w:jc w:val="both"/>
      </w:pPr>
      <w:r>
        <w:rPr>
          <w:rFonts w:ascii="Arial" w:hAnsi="Arial" w:eastAsia="Arial" w:cs="Arial"/>
          <w:b w:val="0"/>
          <w:bCs w:val="0"/>
          <w:color w:val="111111"/>
          <w:sz w:val="22"/>
          <w:szCs w:val="22"/>
        </w:rPr>
        <w:t>主持人的实时干预工具包括：「暂停推演」（暂停所有计时，用于穿插课堂讲解或解决技术问题，暂停时间不计入决策计时）；「强制推进阶段」（当某玩家长时间未决策，手动跳过并以弃权处理）；「广播消息」（向所有玩家或特定角色发送主持人提示，该消息不进入游戏日志，仅作为操作说明）；「手动触发事件卡」（手动激活任意一张事件卡，可用于打破博弈僵局或制造特定教学情境）；「实时调整参数」（有限范围内实时微调pressure类参数，感受动态变化对玩家行为的影响）。</w:t>
      </w:r>
    </w:p>
    <w:p w14:paraId="2EDF8AB4">
      <w:pPr>
        <w:spacing w:before="80" w:after="80"/>
        <w:jc w:val="both"/>
      </w:pPr>
      <w:r>
        <w:rPr>
          <w:rFonts w:ascii="Arial" w:hAnsi="Arial" w:eastAsia="Arial" w:cs="Arial"/>
          <w:b w:val="0"/>
          <w:bCs w:val="0"/>
          <w:color w:val="111111"/>
          <w:sz w:val="22"/>
          <w:szCs w:val="22"/>
        </w:rPr>
        <w:t>主持人不应频繁使用干预工具，否则会破坏推演的内在逻辑。建议遵循「最少干预原则」：只在推演明显偏离轨道（如所有玩家都陷入弃权循环）或出现技术问题时才介入。最有教学价值的时刻往往是主持人克制了干预冲动、让推演自然走向某个困境结局的时候。</w:t>
      </w:r>
    </w:p>
    <w:p w14:paraId="6C3EBBD6">
      <w:pPr>
        <w:spacing w:before="120" w:after="120"/>
      </w:pPr>
    </w:p>
    <w:p w14:paraId="32B7E92F">
      <w:pPr>
        <w:pStyle w:val="3"/>
        <w:spacing w:before="320" w:after="140"/>
      </w:pPr>
      <w:r>
        <w:rPr>
          <w:rFonts w:ascii="Arial" w:hAnsi="Arial" w:eastAsia="Arial" w:cs="Arial"/>
          <w:b/>
          <w:bCs/>
          <w:color w:val="174A7E"/>
          <w:sz w:val="25"/>
          <w:szCs w:val="25"/>
        </w:rPr>
        <w:t>13.4 第三阶段：教学复盘</w:t>
      </w:r>
    </w:p>
    <w:p w14:paraId="5E38C3A9">
      <w:pPr>
        <w:spacing w:before="80" w:after="80"/>
        <w:jc w:val="both"/>
      </w:pPr>
      <w:r>
        <w:rPr>
          <w:rFonts w:ascii="Arial" w:hAnsi="Arial" w:eastAsia="Arial" w:cs="Arial"/>
          <w:b w:val="0"/>
          <w:bCs w:val="0"/>
          <w:color w:val="111111"/>
          <w:sz w:val="22"/>
          <w:szCs w:val="22"/>
        </w:rPr>
        <w:t>推演结束后，系统在3—5分钟内生成「教师复盘包」，包含以下内容：全场五维指标轨迹图（可按角色或阶段切分展示）；每位学员的完整决策序列（含每个节点的选项集、最终选择、耗时和文献查阅记录）；「关键转折点分析」（系统自动识别指标出现最大波动的3—5个决策节点，附各玩家在该节点的选择分布）；RAG使用报告（文献检索结果摘要和玩家查阅率）；以及每位学员的「AI个人复盘报告」（约800—1200字，LLM根据该学员的全程行为数据生成的个性化反思报告）。</w:t>
      </w:r>
    </w:p>
    <w:p w14:paraId="5EC11754">
      <w:pPr>
        <w:spacing w:before="80" w:after="80"/>
        <w:jc w:val="both"/>
      </w:pPr>
      <w:r>
        <w:rPr>
          <w:rFonts w:ascii="Arial" w:hAnsi="Arial" w:eastAsia="Arial" w:cs="Arial"/>
          <w:b w:val="0"/>
          <w:bCs w:val="0"/>
          <w:color w:val="111111"/>
          <w:sz w:val="22"/>
          <w:szCs w:val="22"/>
        </w:rPr>
        <w:t>教师引导课堂复盘讨论时，推荐的引导框架分三个层次展开。第一层，经验回顾：请每位玩家分享「推演中最困难的一个决策」，教师不要急于点评，而是让学员自己描述当时的处境——信息缺什么、压力来自哪里、为什么选了那个选项。这一步激活学员的具体经验记忆，为后续的理论对接做铺垫。第二层，行为模式识别：对照AI复盘报告，识别班级整体的决策偏好——班级是否系统性地过度依赖政治动员而低估技术支撑？是否在博弈格局不利时倾向弃权？这些偏好是否与学员的真实工作背景有关？第三层，理论对照：将具体决策行为与课堂讲授的理论命题逐一对照——委托代理理论如何解释某些上报行为？晋升锦标赛逻辑如何解释书记的风险回避？制度性集体行动框架如何预测两县的协调结果？这一步是「理论内化」发生的核心时刻。</w:t>
      </w:r>
    </w:p>
    <w:p w14:paraId="0CD6353C">
      <w:pPr>
        <w:spacing w:before="120" w:after="120"/>
      </w:pPr>
    </w:p>
    <w:p w14:paraId="4A09FAD0">
      <w:pPr>
        <w:pStyle w:val="3"/>
        <w:spacing w:before="320" w:after="140"/>
      </w:pPr>
      <w:r>
        <w:rPr>
          <w:rFonts w:ascii="Arial" w:hAnsi="Arial" w:eastAsia="Arial" w:cs="Arial"/>
          <w:b/>
          <w:bCs/>
          <w:color w:val="174A7E"/>
          <w:sz w:val="25"/>
          <w:szCs w:val="25"/>
        </w:rPr>
        <w:t>13.5 学员评估方法建议</w:t>
      </w:r>
    </w:p>
    <w:p w14:paraId="0CE90597">
      <w:pPr>
        <w:spacing w:before="80" w:after="80"/>
        <w:jc w:val="both"/>
      </w:pPr>
      <w:r>
        <w:rPr>
          <w:rFonts w:ascii="Arial" w:hAnsi="Arial" w:eastAsia="Arial" w:cs="Arial"/>
          <w:b w:val="0"/>
          <w:bCs w:val="0"/>
          <w:color w:val="111111"/>
          <w:sz w:val="22"/>
          <w:szCs w:val="22"/>
        </w:rPr>
        <w:t>推演表现可以通过多种方式纳入学员评估体系，平台提供数据支撑，但评估方案由教师自主设计。以下是几种常用的评估组合，供参考。</w:t>
      </w:r>
    </w:p>
    <w:p w14:paraId="501EC74B">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9DA8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2108D7E1">
            <w:r>
              <w:rPr>
                <w:rFonts w:ascii="Arial" w:hAnsi="Arial" w:eastAsia="Arial" w:cs="Arial"/>
                <w:b/>
                <w:bCs/>
                <w:color w:val="1A3A5C"/>
                <w:sz w:val="20"/>
                <w:szCs w:val="20"/>
              </w:rPr>
              <w:t>量化评估维度</w:t>
            </w:r>
          </w:p>
        </w:tc>
        <w:tc>
          <w:tcPr>
            <w:tcW w:w="75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2CA151FD">
            <w:pPr>
              <w:spacing w:before="28" w:after="28"/>
            </w:pPr>
            <w:r>
              <w:rPr>
                <w:rFonts w:ascii="Arial" w:hAnsi="Arial" w:eastAsia="Arial" w:cs="Arial"/>
                <w:color w:val="222222"/>
                <w:sz w:val="20"/>
                <w:szCs w:val="20"/>
              </w:rPr>
              <w:t>使用平台「KPI综合得分」作为参考（非强制标准），结合推演中的文献查阅率（主动学习意愿）、自定义选项提交率（创新性思维）、制度违规次数（合规意识）等行为指标，构建多维量化评估表。</w:t>
            </w:r>
          </w:p>
        </w:tc>
      </w:tr>
      <w:tr w14:paraId="08468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1F2A6D25">
            <w:r>
              <w:rPr>
                <w:rFonts w:ascii="Arial" w:hAnsi="Arial" w:eastAsia="Arial" w:cs="Arial"/>
                <w:b/>
                <w:bCs/>
                <w:color w:val="1A3A5C"/>
                <w:sz w:val="20"/>
                <w:szCs w:val="20"/>
              </w:rPr>
              <w:t>质性评估维度</w:t>
            </w:r>
          </w:p>
        </w:tc>
        <w:tc>
          <w:tcPr>
            <w:tcW w:w="75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26AD62BE">
            <w:pPr>
              <w:spacing w:before="28" w:after="28"/>
            </w:pPr>
            <w:r>
              <w:rPr>
                <w:rFonts w:ascii="Arial" w:hAnsi="Arial" w:eastAsia="Arial" w:cs="Arial"/>
                <w:color w:val="222222"/>
                <w:sz w:val="20"/>
                <w:szCs w:val="20"/>
              </w:rPr>
              <w:t>推演结束后提交500—1000字的「个人反思报告」，要求学员结合AI复盘报告中的分析，选取一个具体决策节点，说明当时的判断依据，并反思这一判断与某一理论框架的关系。</w:t>
            </w:r>
          </w:p>
        </w:tc>
      </w:tr>
      <w:tr w14:paraId="770C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7C4985B7">
            <w:r>
              <w:rPr>
                <w:rFonts w:ascii="Arial" w:hAnsi="Arial" w:eastAsia="Arial" w:cs="Arial"/>
                <w:b/>
                <w:bCs/>
                <w:color w:val="1A3A5C"/>
                <w:sz w:val="20"/>
                <w:szCs w:val="20"/>
              </w:rPr>
              <w:t>小组讨论评估</w:t>
            </w:r>
          </w:p>
        </w:tc>
        <w:tc>
          <w:tcPr>
            <w:tcW w:w="75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5A30B87C">
            <w:pPr>
              <w:spacing w:before="28" w:after="28"/>
            </w:pPr>
            <w:r>
              <w:rPr>
                <w:rFonts w:ascii="Arial" w:hAnsi="Arial" w:eastAsia="Arial" w:cs="Arial"/>
                <w:color w:val="222222"/>
                <w:sz w:val="20"/>
                <w:szCs w:val="20"/>
              </w:rPr>
              <w:t>将学员分为3—4人小组，每组选取一个共同关注的决策困境，在课堂上向全体同学呈现「此情境的三种不同应对策略及其潜在后果」，教师和同伴共同评分。</w:t>
            </w:r>
          </w:p>
        </w:tc>
      </w:tr>
      <w:tr w14:paraId="157F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05B753CB">
            <w:r>
              <w:rPr>
                <w:rFonts w:ascii="Arial" w:hAnsi="Arial" w:eastAsia="Arial" w:cs="Arial"/>
                <w:b/>
                <w:bCs/>
                <w:color w:val="1A3A5C"/>
                <w:sz w:val="20"/>
                <w:szCs w:val="20"/>
              </w:rPr>
              <w:t>研究报告评估（高级选项）</w:t>
            </w:r>
          </w:p>
        </w:tc>
        <w:tc>
          <w:tcPr>
            <w:tcW w:w="75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00B78362">
            <w:pPr>
              <w:spacing w:before="28" w:after="28"/>
            </w:pPr>
            <w:r>
              <w:rPr>
                <w:rFonts w:ascii="Arial" w:hAnsi="Arial" w:eastAsia="Arial" w:cs="Arial"/>
                <w:color w:val="222222"/>
                <w:sz w:val="20"/>
                <w:szCs w:val="20"/>
              </w:rPr>
              <w:t>要求学员以自己在推演中的行为数据作为一手材料，撰写一篇2000—3000字的「行为分析报告」，结合至少5篇学术文献，分析自己的决策模式并提出改进主张。</w:t>
            </w:r>
          </w:p>
        </w:tc>
      </w:tr>
    </w:tbl>
    <w:p w14:paraId="4B761A96">
      <w:pPr>
        <w:spacing w:before="120" w:after="120"/>
      </w:pPr>
    </w:p>
    <w:p w14:paraId="2DEC3441">
      <w:r>
        <w:br w:type="page"/>
      </w:r>
    </w:p>
    <w:p w14:paraId="3FD93171">
      <w:pPr>
        <w:pStyle w:val="2"/>
        <w:pBdr>
          <w:bottom w:val="single" w:color="1A3A5C" w:sz="8" w:space="2"/>
        </w:pBdr>
        <w:spacing w:before="440" w:after="200"/>
      </w:pPr>
      <w:r>
        <w:rPr>
          <w:rFonts w:ascii="Arial" w:hAnsi="Arial" w:eastAsia="Arial" w:cs="Arial"/>
          <w:b/>
          <w:bCs/>
          <w:color w:val="1A3A5C"/>
          <w:sz w:val="30"/>
          <w:szCs w:val="30"/>
        </w:rPr>
        <w:t>十四、研究者使用手册：从实验设计到行为数据产出</w:t>
      </w:r>
    </w:p>
    <w:p w14:paraId="6C9F22AA">
      <w:pPr>
        <w:spacing w:before="80" w:after="80"/>
        <w:jc w:val="both"/>
      </w:pPr>
      <w:r>
        <w:rPr>
          <w:rFonts w:ascii="Arial" w:hAnsi="Arial" w:eastAsia="Arial" w:cs="Arial"/>
          <w:b w:val="0"/>
          <w:bCs w:val="0"/>
          <w:color w:val="111111"/>
          <w:sz w:val="22"/>
          <w:szCs w:val="22"/>
        </w:rPr>
        <w:t>政通推演坊的第二大用户群体是计算社会科学、公共行政学、政治学等领域的研究者。研究使用与教学使用的根本差异在于：教学关注个体的学习效果，研究关注跨个体的行为规律；教学允许玩家了解推演的评分逻辑，研究则需要玩家在不知道研究假设的情况下做出自然决策；教学可以牺牲一些外部效度来增加教学可操作性，研究则需要严格控制内部效度和外部效度的平衡。这些差异决定了研究使用模式下的许多配置选择与教学模式下恰好相反。</w:t>
      </w:r>
    </w:p>
    <w:p w14:paraId="2DE81F44">
      <w:pPr>
        <w:spacing w:before="80" w:after="80"/>
        <w:jc w:val="both"/>
      </w:pPr>
      <w:r>
        <w:rPr>
          <w:rFonts w:ascii="Arial" w:hAnsi="Arial" w:eastAsia="Arial" w:cs="Arial"/>
          <w:b w:val="0"/>
          <w:bCs w:val="0"/>
          <w:color w:val="111111"/>
          <w:sz w:val="22"/>
          <w:szCs w:val="22"/>
        </w:rPr>
        <w:t>本节以「一项完整的行为实验研究」为主线展开，描述研究者如何从研究设计出发，使用平台完成数据收集，并产出可用于因果推断的结构化行为数据。</w:t>
      </w:r>
    </w:p>
    <w:p w14:paraId="695A1FBF">
      <w:pPr>
        <w:spacing w:before="120" w:after="120"/>
      </w:pPr>
    </w:p>
    <w:p w14:paraId="1F5C7723">
      <w:pPr>
        <w:pStyle w:val="3"/>
        <w:spacing w:before="320" w:after="140"/>
      </w:pPr>
      <w:r>
        <w:rPr>
          <w:rFonts w:ascii="Arial" w:hAnsi="Arial" w:eastAsia="Arial" w:cs="Arial"/>
          <w:b/>
          <w:bCs/>
          <w:color w:val="174A7E"/>
          <w:sz w:val="25"/>
          <w:szCs w:val="25"/>
        </w:rPr>
        <w:t>14.1 政通推演坊在研究方法论谱系中的精确定位</w:t>
      </w:r>
    </w:p>
    <w:p w14:paraId="1B2042DB">
      <w:pPr>
        <w:spacing w:before="80" w:after="80"/>
        <w:jc w:val="both"/>
      </w:pPr>
      <w:r>
        <w:rPr>
          <w:rFonts w:ascii="Arial" w:hAnsi="Arial" w:eastAsia="Arial" w:cs="Arial"/>
          <w:b w:val="0"/>
          <w:bCs w:val="0"/>
          <w:color w:val="111111"/>
          <w:sz w:val="22"/>
          <w:szCs w:val="22"/>
        </w:rPr>
        <w:t>在方法论谱系中，政通推演坊所提供的研究工具占据了一个此前几乎空白的位置——「制度情境真实的受控博弈实验」。理解这个定位，需要将其与方法论谱系中的相邻工具逐一比较。</w:t>
      </w:r>
    </w:p>
    <w:p w14:paraId="3AE97D95">
      <w:pPr>
        <w:spacing w:before="80" w:after="80"/>
        <w:jc w:val="both"/>
      </w:pPr>
      <w:r>
        <w:rPr>
          <w:rFonts w:ascii="Arial" w:hAnsi="Arial" w:eastAsia="Arial" w:cs="Arial"/>
          <w:b w:val="0"/>
          <w:bCs w:val="0"/>
          <w:color w:val="111111"/>
          <w:sz w:val="22"/>
          <w:szCs w:val="22"/>
        </w:rPr>
        <w:t>与实验室博弈实验（Lab Experiment）相比：政通推演坊提供了更丰富的制度情境（六大制度模块硬约束）和更长时间跨度的互动（多阶段，总计2—4.5小时），可以观察决策在博弈演化中的动态变化，而不只是单次静态选择。与田野实验（Field Experiment）相比：政通推演坊在受控环境中运行，可以精确操控情境变量（如问责压力），不受真实政治环境的伦理约束和操作成本，且数据采集是全程自动化的。与调查实验（Survey Experiment）相比：政通推演坊增加了真实的时间压力、博弈互动和后果反馈，玩家的决策更接近真实行动情境，不是在「想象自己会怎么做」，而是在「实际做」；已有研究表明调查实验在预测真实决策行为方面效度有限（Hainmueller et al., 2015; Quidt et al., 2018）。与ABM仿真相比：政通推演坊产出真实人类的决策行为数据，而非AI模拟的代理人行为，可以捕捉到人类决策中的非理性偏差、文化特异性策略和创新性行动，这些都是ABM无法复现的。</w:t>
      </w:r>
    </w:p>
    <w:p w14:paraId="0B1DCC0D">
      <w:pPr>
        <w:spacing w:before="80" w:after="80"/>
        <w:jc w:val="both"/>
      </w:pPr>
      <w:r>
        <w:rPr>
          <w:rFonts w:ascii="Arial" w:hAnsi="Arial" w:eastAsia="Arial" w:cs="Arial"/>
          <w:b w:val="0"/>
          <w:bCs w:val="0"/>
          <w:color w:val="111111"/>
          <w:sz w:val="22"/>
          <w:szCs w:val="22"/>
        </w:rPr>
        <w:t>这一定位使政通推演坊特别适合以下类型的研究问题：制度约束对策略选择的影响机制（如刚性制度约束如何压缩官员的行动空间）、信息不对称条件下的博弈均衡（如独占信息对协调行为的影响）、激励结构变化对行为偏好的影响（如晋升激励与问责压力的交互效应）、知识获取对决策质量的影响（如文献展示是否提升了决策的理论有效性）。</w:t>
      </w:r>
    </w:p>
    <w:p w14:paraId="3E85C61D">
      <w:pPr>
        <w:spacing w:before="120" w:after="120"/>
      </w:pPr>
    </w:p>
    <w:p w14:paraId="1C8D14A7">
      <w:pPr>
        <w:pStyle w:val="3"/>
        <w:spacing w:before="320" w:after="140"/>
      </w:pPr>
      <w:r>
        <w:rPr>
          <w:rFonts w:ascii="Arial" w:hAnsi="Arial" w:eastAsia="Arial" w:cs="Arial"/>
          <w:b/>
          <w:bCs/>
          <w:color w:val="174A7E"/>
          <w:sz w:val="25"/>
          <w:szCs w:val="25"/>
        </w:rPr>
        <w:t>14.2 研究者账号与专属功能</w:t>
      </w:r>
    </w:p>
    <w:p w14:paraId="6B972F0A">
      <w:pPr>
        <w:spacing w:before="80" w:after="80"/>
        <w:jc w:val="both"/>
      </w:pPr>
      <w:r>
        <w:rPr>
          <w:rFonts w:ascii="Arial" w:hAnsi="Arial" w:eastAsia="Arial" w:cs="Arial"/>
          <w:b w:val="0"/>
          <w:bCs w:val="0"/>
          <w:color w:val="111111"/>
          <w:sz w:val="22"/>
          <w:szCs w:val="22"/>
        </w:rPr>
        <w:t>研究者通过机构邮箱注册，在身份选择中标注「研究者」，填写所在机构、研究方向和IRB审批编号（如有）。研究者账号除拥有教师账号的所有功能外，还额外获得以下研究专属功能模块。</w:t>
      </w:r>
    </w:p>
    <w:p w14:paraId="316C2D5B">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1F4D3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3DDA7169">
            <w:r>
              <w:rPr>
                <w:rFonts w:ascii="Arial" w:hAnsi="Arial" w:eastAsia="Arial" w:cs="Arial"/>
                <w:b/>
                <w:bCs/>
                <w:color w:val="1A3A5C"/>
                <w:sz w:val="20"/>
                <w:szCs w:val="20"/>
              </w:rPr>
              <w:t>RCT随机化模块</w:t>
            </w:r>
          </w:p>
        </w:tc>
        <w:tc>
          <w:tcPr>
            <w:tcW w:w="75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778483FE">
            <w:pPr>
              <w:spacing w:before="28" w:after="28"/>
            </w:pPr>
            <w:r>
              <w:rPr>
                <w:rFonts w:ascii="Arial" w:hAnsi="Arial" w:eastAsia="Arial" w:cs="Arial"/>
                <w:color w:val="222222"/>
                <w:sz w:val="20"/>
                <w:szCs w:val="20"/>
              </w:rPr>
              <w:t>允许在同一研究项目下创建最多8个处理组（Treatment Groups），每组分配独立的场景配置（通常仅差异变量不同，其他参数完全一致）。平台支持两种随机化方式：完全随机（每位被试以等概率分配至各组）和区组随机（按被试特征分层后在层内随机，确保各组被试基线特征均衡）。系统记录每位被试的组别分配、分配时间戳和分配算法参数，用于后续的意向性分析（ITT）和工具变量估计（LATE）。</w:t>
            </w:r>
          </w:p>
        </w:tc>
      </w:tr>
      <w:tr w14:paraId="37D26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076BB1CE">
            <w:r>
              <w:rPr>
                <w:rFonts w:ascii="Arial" w:hAnsi="Arial" w:eastAsia="Arial" w:cs="Arial"/>
                <w:b/>
                <w:bCs/>
                <w:color w:val="1A3A5C"/>
                <w:sz w:val="20"/>
                <w:szCs w:val="20"/>
              </w:rPr>
              <w:t>知识库版本快照</w:t>
            </w:r>
          </w:p>
        </w:tc>
        <w:tc>
          <w:tcPr>
            <w:tcW w:w="75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6F35C997">
            <w:pPr>
              <w:spacing w:before="28" w:after="28"/>
            </w:pPr>
            <w:r>
              <w:rPr>
                <w:rFonts w:ascii="Arial" w:hAnsi="Arial" w:eastAsia="Arial" w:cs="Arial"/>
                <w:color w:val="222222"/>
                <w:sz w:val="20"/>
                <w:szCs w:val="20"/>
              </w:rPr>
              <w:t>锁定某一研究项目使用的知识库版本（L1/L2/L3均可独立锁定），确保项目生命周期内所有批次的被试面对完全相同的RAG决策选项生成环境。这是保证跨批次数据可比性的关键机制——如果不锁定版本，百晓生知识库的更新会影响后续批次生成的选项内容，导致同一研究项目内的数据不可比。快照可标记版本号和锁定时间，支持研究报告中的方法说明。</w:t>
            </w:r>
          </w:p>
        </w:tc>
      </w:tr>
      <w:tr w14:paraId="00C3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343FDC2C">
            <w:r>
              <w:rPr>
                <w:rFonts w:ascii="Arial" w:hAnsi="Arial" w:eastAsia="Arial" w:cs="Arial"/>
                <w:b/>
                <w:bCs/>
                <w:color w:val="1A3A5C"/>
                <w:sz w:val="20"/>
                <w:szCs w:val="20"/>
              </w:rPr>
              <w:t>七类行为数据流导出</w:t>
            </w:r>
          </w:p>
        </w:tc>
        <w:tc>
          <w:tcPr>
            <w:tcW w:w="75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2A712E1D">
            <w:pPr>
              <w:spacing w:before="28" w:after="28"/>
            </w:pPr>
            <w:r>
              <w:rPr>
                <w:rFonts w:ascii="Arial" w:hAnsi="Arial" w:eastAsia="Arial" w:cs="Arial"/>
                <w:color w:val="222222"/>
                <w:sz w:val="20"/>
                <w:szCs w:val="20"/>
              </w:rPr>
              <w:t>推演全程行为日志以结构化格式（CSV和JSON两种可选）导出，包含七类数据流：①决策序列数据；②通信行为数据；③指标轨迹数据；④文献互动数据；⑤情境响应数据；⑥会话元数据；⑦制度违规数据（详细字段说明见14.5节）。所有数据以被试ID关联，支持跨数据流的纵向分析。</w:t>
            </w:r>
          </w:p>
        </w:tc>
      </w:tr>
      <w:tr w14:paraId="6408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3FFC4381">
            <w:r>
              <w:rPr>
                <w:rFonts w:ascii="Arial" w:hAnsi="Arial" w:eastAsia="Arial" w:cs="Arial"/>
                <w:b/>
                <w:bCs/>
                <w:color w:val="1A3A5C"/>
                <w:sz w:val="20"/>
                <w:szCs w:val="20"/>
              </w:rPr>
              <w:t>被试管理与伦理工具</w:t>
            </w:r>
          </w:p>
        </w:tc>
        <w:tc>
          <w:tcPr>
            <w:tcW w:w="75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1DBA8667">
            <w:pPr>
              <w:spacing w:before="28" w:after="28"/>
            </w:pPr>
            <w:r>
              <w:rPr>
                <w:rFonts w:ascii="Arial" w:hAnsi="Arial" w:eastAsia="Arial" w:cs="Arial"/>
                <w:color w:val="222222"/>
                <w:sz w:val="20"/>
                <w:szCs w:val="20"/>
              </w:rPr>
              <w:t>研究者可生成「招募链接」（包含研究描述、同意书文本、是否允许不参与的说明），被试点击链接后先阅读同意书并电子签名（平台记录签名时间戳），然后进入推演。支持设置「排除标准」（如已参与过同类场景的被试自动排除）。推演结束后自动触发「揭盲流程」（研究者可配置是否在推演结束后向被试解释研究目的和实验处理）。</w:t>
            </w:r>
          </w:p>
        </w:tc>
      </w:tr>
      <w:tr w14:paraId="45D8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D5E8F5"/>
            <w:tcMar>
              <w:top w:w="80" w:type="dxa"/>
              <w:left w:w="130" w:type="dxa"/>
              <w:bottom w:w="80" w:type="dxa"/>
              <w:right w:w="130" w:type="dxa"/>
            </w:tcMar>
          </w:tcPr>
          <w:p w14:paraId="499FAC86">
            <w:r>
              <w:rPr>
                <w:rFonts w:ascii="Arial" w:hAnsi="Arial" w:eastAsia="Arial" w:cs="Arial"/>
                <w:b/>
                <w:bCs/>
                <w:color w:val="1A3A5C"/>
                <w:sz w:val="20"/>
                <w:szCs w:val="20"/>
              </w:rPr>
              <w:t>后测问卷嵌入</w:t>
            </w:r>
          </w:p>
        </w:tc>
        <w:tc>
          <w:tcPr>
            <w:tcW w:w="75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049B30A0">
            <w:pPr>
              <w:spacing w:before="28" w:after="28"/>
            </w:pPr>
            <w:r>
              <w:rPr>
                <w:rFonts w:ascii="Arial" w:hAnsi="Arial" w:eastAsia="Arial" w:cs="Arial"/>
                <w:color w:val="222222"/>
                <w:sz w:val="20"/>
                <w:szCs w:val="20"/>
              </w:rPr>
              <w:t>研究者可在平台内设计后测问卷（支持Likert量表/多选/单选/开放问答/量尺滑块），推演结束后向被试自动弹出。问卷数据通过被试ID与行为日志关联，实现主客观数据的无缝融合分析。</w:t>
            </w:r>
          </w:p>
        </w:tc>
      </w:tr>
      <w:tr w14:paraId="7EB0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8F3FB"/>
            <w:tcMar>
              <w:top w:w="80" w:type="dxa"/>
              <w:left w:w="130" w:type="dxa"/>
              <w:bottom w:w="80" w:type="dxa"/>
              <w:right w:w="130" w:type="dxa"/>
            </w:tcMar>
          </w:tcPr>
          <w:p w14:paraId="4D8B10C2">
            <w:r>
              <w:rPr>
                <w:rFonts w:ascii="Arial" w:hAnsi="Arial" w:eastAsia="Arial" w:cs="Arial"/>
                <w:b/>
                <w:bCs/>
                <w:color w:val="1A3A5C"/>
                <w:sz w:val="20"/>
                <w:szCs w:val="20"/>
              </w:rPr>
              <w:t>跨项目数据管理</w:t>
            </w:r>
          </w:p>
        </w:tc>
        <w:tc>
          <w:tcPr>
            <w:tcW w:w="7560" w:type="dxa"/>
            <w:tcBorders>
              <w:top w:val="single" w:color="AABCCE" w:sz="4" w:space="0"/>
              <w:left w:val="single" w:color="AABCCE" w:sz="4" w:space="0"/>
              <w:bottom w:val="single" w:color="AABCCE" w:sz="4" w:space="0"/>
              <w:right w:val="single" w:color="AABCCE" w:sz="4" w:space="0"/>
            </w:tcBorders>
            <w:shd w:val="clear" w:color="auto" w:fill="FFFFFF"/>
            <w:tcMar>
              <w:top w:w="80" w:type="dxa"/>
              <w:left w:w="130" w:type="dxa"/>
              <w:bottom w:w="80" w:type="dxa"/>
              <w:right w:w="130" w:type="dxa"/>
            </w:tcMar>
          </w:tcPr>
          <w:p w14:paraId="78CCADDF">
            <w:pPr>
              <w:spacing w:before="28" w:after="28"/>
            </w:pPr>
            <w:r>
              <w:rPr>
                <w:rFonts w:ascii="Arial" w:hAnsi="Arial" w:eastAsia="Arial" w:cs="Arial"/>
                <w:color w:val="222222"/>
                <w:sz w:val="20"/>
                <w:szCs w:val="20"/>
              </w:rPr>
              <w:t>研究者可在账号下管理多个研究项目，各项目数据独立存储互不干扰。支持项目级别的匿名化数据导出（自动替换被试真实ID为随机编码）。数据在平台服务器保存5年，研究者可申请将匿名化数据集发布至平台的「开放数据仓库」，供其他研究者引用（发布时须附研究伦理说明）。</w:t>
            </w:r>
          </w:p>
        </w:tc>
      </w:tr>
    </w:tbl>
    <w:p w14:paraId="2F77E8EA">
      <w:pPr>
        <w:spacing w:before="120" w:after="120"/>
      </w:pPr>
    </w:p>
    <w:p w14:paraId="0926478A">
      <w:pPr>
        <w:pStyle w:val="3"/>
        <w:spacing w:before="320" w:after="140"/>
      </w:pPr>
      <w:r>
        <w:rPr>
          <w:rFonts w:ascii="Arial" w:hAnsi="Arial" w:eastAsia="Arial" w:cs="Arial"/>
          <w:b/>
          <w:bCs/>
          <w:color w:val="174A7E"/>
          <w:sz w:val="25"/>
          <w:szCs w:val="25"/>
        </w:rPr>
        <w:t>14.3 研究设计的核心方法论建议</w:t>
      </w:r>
    </w:p>
    <w:p w14:paraId="4BBE48FF">
      <w:pPr>
        <w:spacing w:before="80" w:after="80"/>
        <w:jc w:val="both"/>
      </w:pPr>
      <w:r>
        <w:rPr>
          <w:rFonts w:ascii="Arial" w:hAnsi="Arial" w:eastAsia="Arial" w:cs="Arial"/>
          <w:b w:val="0"/>
          <w:bCs w:val="0"/>
          <w:color w:val="111111"/>
          <w:sz w:val="22"/>
          <w:szCs w:val="22"/>
        </w:rPr>
        <w:t>使用政通推演坊进行研究，需要在设计阶段提前考虑以下几个关键的方法论问题，以确保最终产出的数据具有可用于因果推断的质量。</w:t>
      </w:r>
    </w:p>
    <w:p w14:paraId="7475CE64">
      <w:pPr>
        <w:pStyle w:val="4"/>
        <w:spacing w:before="220" w:after="100"/>
      </w:pPr>
      <w:r>
        <w:rPr>
          <w:rFonts w:ascii="Arial" w:hAnsi="Arial" w:eastAsia="Arial" w:cs="Arial"/>
          <w:b/>
          <w:bCs/>
          <w:color w:val="1B5E96"/>
          <w:sz w:val="22"/>
          <w:szCs w:val="22"/>
        </w:rPr>
        <w:t>关于外部效度</w:t>
      </w:r>
    </w:p>
    <w:p w14:paraId="3BB40604">
      <w:pPr>
        <w:spacing w:before="80" w:after="80"/>
        <w:jc w:val="both"/>
      </w:pPr>
      <w:r>
        <w:rPr>
          <w:rFonts w:ascii="Arial" w:hAnsi="Arial" w:eastAsia="Arial" w:cs="Arial"/>
          <w:b w:val="0"/>
          <w:bCs w:val="0"/>
          <w:color w:val="111111"/>
          <w:sz w:val="22"/>
          <w:szCs w:val="22"/>
        </w:rPr>
        <w:t>政通推演坊的被试通常是公共管理专业学生或培训中的公务员，他们不是真实的政府决策官员（尽管一些培训场景中使用官员作为被试）。研究者需要在报告中明确说明被试的代表性局限，并论证为何该被试群体的决策行为在特定研究问题上具有理论代表性（如：研究问的是制度约束对策略选择的影响，而非研究现任官员的真实决策，则学生被试是合理的）。</w:t>
      </w:r>
    </w:p>
    <w:p w14:paraId="50D0FC03">
      <w:pPr>
        <w:pStyle w:val="4"/>
        <w:spacing w:before="220" w:after="100"/>
      </w:pPr>
      <w:r>
        <w:rPr>
          <w:rFonts w:ascii="Arial" w:hAnsi="Arial" w:eastAsia="Arial" w:cs="Arial"/>
          <w:b/>
          <w:bCs/>
          <w:color w:val="1B5E96"/>
          <w:sz w:val="22"/>
          <w:szCs w:val="22"/>
        </w:rPr>
        <w:t>关于内部效度</w:t>
      </w:r>
    </w:p>
    <w:p w14:paraId="206ED88A">
      <w:pPr>
        <w:spacing w:before="80" w:after="80"/>
        <w:jc w:val="both"/>
      </w:pPr>
      <w:r>
        <w:rPr>
          <w:rFonts w:ascii="Arial" w:hAnsi="Arial" w:eastAsia="Arial" w:cs="Arial"/>
          <w:b w:val="0"/>
          <w:bCs w:val="0"/>
          <w:color w:val="111111"/>
          <w:sz w:val="22"/>
          <w:szCs w:val="22"/>
        </w:rPr>
        <w:t>需要控制的主要混淆因素包括：先验知识差异（不同被试对场景议题的知识背景不同，可通过前测问卷测量并在分析中控制）、练习效应（重复参与同类场景会影响行为，可在招募中排除或用顺序控制）、同伴效应（在多人推演中，某位玩家的行为可能受同伴影响，这既是真实博弈的特征，也是分析时需要控制的干扰，可通过随机混组分配方式降低系统性同伴效应）。</w:t>
      </w:r>
    </w:p>
    <w:p w14:paraId="44D49BE4">
      <w:pPr>
        <w:pStyle w:val="4"/>
        <w:spacing w:before="220" w:after="100"/>
      </w:pPr>
      <w:r>
        <w:rPr>
          <w:rFonts w:ascii="Arial" w:hAnsi="Arial" w:eastAsia="Arial" w:cs="Arial"/>
          <w:b/>
          <w:bCs/>
          <w:color w:val="1B5E96"/>
          <w:sz w:val="22"/>
          <w:szCs w:val="22"/>
        </w:rPr>
        <w:t>关于推演数据的特殊性</w:t>
      </w:r>
    </w:p>
    <w:p w14:paraId="0FBEC69F">
      <w:pPr>
        <w:spacing w:before="80" w:after="80"/>
        <w:jc w:val="both"/>
      </w:pPr>
      <w:r>
        <w:rPr>
          <w:rFonts w:ascii="Arial" w:hAnsi="Arial" w:eastAsia="Arial" w:cs="Arial"/>
          <w:b w:val="0"/>
          <w:bCs w:val="0"/>
          <w:color w:val="111111"/>
          <w:sz w:val="22"/>
          <w:szCs w:val="22"/>
        </w:rPr>
        <w:t>推演行为数据与传统调查数据有本质不同：它是「时序行为数据」而非「截面态度数据」。分析时需要特别注意：决策顺序效应（早期决策会影响后续决策选项，进而影响后续行为，这是被测量的变量而非噪声）；跨角色依存性（同一游戏中不同角色的决策相互依赖，单角色分析须控制其他角色的行为）；指标轨迹的非平稳性（五维指标随时间变化，分析时须区分截面效果和动态效果）。</w:t>
      </w:r>
    </w:p>
    <w:p w14:paraId="374C4D7B">
      <w:pPr>
        <w:spacing w:before="120" w:after="120"/>
      </w:pPr>
    </w:p>
    <w:p w14:paraId="07624125">
      <w:pPr>
        <w:pStyle w:val="3"/>
        <w:spacing w:before="320" w:after="140"/>
      </w:pPr>
      <w:r>
        <w:rPr>
          <w:rFonts w:ascii="Arial" w:hAnsi="Arial" w:eastAsia="Arial" w:cs="Arial"/>
          <w:b/>
          <w:bCs/>
          <w:color w:val="174A7E"/>
          <w:sz w:val="25"/>
          <w:szCs w:val="25"/>
        </w:rPr>
        <w:t>14.4 完整研究操作流程示例</w:t>
      </w:r>
    </w:p>
    <w:p w14:paraId="4E293411">
      <w:pPr>
        <w:spacing w:before="80" w:after="80"/>
        <w:jc w:val="both"/>
      </w:pPr>
      <w:r>
        <w:rPr>
          <w:rFonts w:ascii="Arial" w:hAnsi="Arial" w:eastAsia="Arial" w:cs="Arial"/>
          <w:b w:val="0"/>
          <w:bCs w:val="0"/>
          <w:color w:val="111111"/>
          <w:sz w:val="22"/>
          <w:szCs w:val="22"/>
        </w:rPr>
        <w:t>以下以「问责压力对官员策略创新行为的挤出效应」研究为例，完整描述从研究问题到数据产出的操作步骤。</w:t>
      </w:r>
    </w:p>
    <w:p w14:paraId="145812FD">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3E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2E6240B4">
            <w:pPr>
              <w:spacing w:before="60" w:after="100"/>
            </w:pPr>
            <w:r>
              <w:rPr>
                <w:rFonts w:ascii="Arial" w:hAnsi="Arial" w:eastAsia="Arial" w:cs="Arial"/>
                <w:b/>
                <w:bCs/>
                <w:color w:val="1A3A5C"/>
                <w:sz w:val="21"/>
                <w:szCs w:val="21"/>
              </w:rPr>
              <w:t>▌ 研究操作流程示例</w:t>
            </w:r>
          </w:p>
          <w:p w14:paraId="3E997AA1">
            <w:pPr>
              <w:spacing w:before="16" w:after="16"/>
            </w:pPr>
            <w:r>
              <w:rPr>
                <w:rFonts w:ascii="Courier New" w:hAnsi="Courier New" w:eastAsia="Courier New" w:cs="Courier New"/>
                <w:color w:val="1A2233"/>
                <w:sz w:val="19"/>
                <w:szCs w:val="19"/>
              </w:rPr>
              <w:t xml:space="preserve">  研究示例：「问责压力对官员策略创新行为的挤出效应」</w:t>
            </w:r>
          </w:p>
          <w:p w14:paraId="6438EFA1">
            <w:pPr>
              <w:spacing w:before="16" w:after="16"/>
            </w:pPr>
            <w:r>
              <w:rPr>
                <w:rFonts w:ascii="Courier New" w:hAnsi="Courier New" w:eastAsia="Courier New" w:cs="Courier New"/>
                <w:color w:val="1A2233"/>
                <w:sz w:val="19"/>
                <w:szCs w:val="19"/>
              </w:rPr>
              <w:t xml:space="preserve">  ════════════════════════════════════════════════════════════════</w:t>
            </w:r>
          </w:p>
          <w:p w14:paraId="5EEC6033">
            <w:pPr>
              <w:spacing w:before="16" w:after="16"/>
            </w:pPr>
          </w:p>
          <w:p w14:paraId="42B0E83A">
            <w:pPr>
              <w:spacing w:before="16" w:after="16"/>
            </w:pPr>
            <w:r>
              <w:rPr>
                <w:rFonts w:ascii="Courier New" w:hAnsi="Courier New" w:eastAsia="Courier New" w:cs="Courier New"/>
                <w:color w:val="1A2233"/>
                <w:sz w:val="19"/>
                <w:szCs w:val="19"/>
              </w:rPr>
              <w:t xml:space="preserve">  研究问题：问责压力越高，官员选择创新探索类行动的频率是否越低？</w:t>
            </w:r>
          </w:p>
          <w:p w14:paraId="212FA94A">
            <w:pPr>
              <w:spacing w:before="16" w:after="16"/>
            </w:pPr>
            <w:r>
              <w:rPr>
                <w:rFonts w:ascii="Courier New" w:hAnsi="Courier New" w:eastAsia="Courier New" w:cs="Courier New"/>
                <w:color w:val="1A2233"/>
                <w:sz w:val="19"/>
                <w:szCs w:val="19"/>
              </w:rPr>
              <w:t xml:space="preserve">  理论依据：运动式治理文献（冯仕政2011）、晋升锦标赛文献（周黎安2007）</w:t>
            </w:r>
          </w:p>
          <w:p w14:paraId="2FC7AA68">
            <w:pPr>
              <w:spacing w:before="16" w:after="16"/>
            </w:pPr>
          </w:p>
          <w:p w14:paraId="3B9AFEE6">
            <w:pPr>
              <w:spacing w:before="16" w:after="16"/>
            </w:pPr>
            <w:r>
              <w:rPr>
                <w:rFonts w:ascii="Courier New" w:hAnsi="Courier New" w:eastAsia="Courier New" w:cs="Courier New"/>
                <w:color w:val="1A2233"/>
                <w:sz w:val="19"/>
                <w:szCs w:val="19"/>
              </w:rPr>
              <w:t xml:space="preserve">  ┌──────────────────────────────────────────────────────────────┐</w:t>
            </w:r>
          </w:p>
          <w:p w14:paraId="0762D5BF">
            <w:pPr>
              <w:spacing w:before="16" w:after="16"/>
            </w:pPr>
            <w:r>
              <w:rPr>
                <w:rFonts w:ascii="Courier New" w:hAnsi="Courier New" w:eastAsia="Courier New" w:cs="Courier New"/>
                <w:color w:val="1A2233"/>
                <w:sz w:val="19"/>
                <w:szCs w:val="19"/>
              </w:rPr>
              <w:t xml:space="preserve">  │  第一步：实验设计                                            │</w:t>
            </w:r>
          </w:p>
          <w:p w14:paraId="77378673">
            <w:pPr>
              <w:spacing w:before="16" w:after="16"/>
            </w:pPr>
            <w:r>
              <w:rPr>
                <w:rFonts w:ascii="Courier New" w:hAnsi="Courier New" w:eastAsia="Courier New" w:cs="Courier New"/>
                <w:color w:val="1A2233"/>
                <w:sz w:val="19"/>
                <w:szCs w:val="19"/>
              </w:rPr>
              <w:t xml:space="preserve">  │  设计：2(问责压力高/低)×1 被试间设计                        │</w:t>
            </w:r>
          </w:p>
          <w:p w14:paraId="6BA4AC60">
            <w:pPr>
              <w:spacing w:before="16" w:after="16"/>
            </w:pPr>
            <w:r>
              <w:rPr>
                <w:rFonts w:ascii="Courier New" w:hAnsi="Courier New" w:eastAsia="Courier New" w:cs="Courier New"/>
                <w:color w:val="1A2233"/>
                <w:sz w:val="19"/>
                <w:szCs w:val="19"/>
              </w:rPr>
              <w:t xml:space="preserve">  │  处理变量：accountability_pressure（高=8，低=3）             │</w:t>
            </w:r>
          </w:p>
          <w:p w14:paraId="2C5FAA7D">
            <w:pPr>
              <w:spacing w:before="16" w:after="16"/>
            </w:pPr>
            <w:r>
              <w:rPr>
                <w:rFonts w:ascii="Courier New" w:hAnsi="Courier New" w:eastAsia="Courier New" w:cs="Courier New"/>
                <w:color w:val="1A2233"/>
                <w:sz w:val="19"/>
                <w:szCs w:val="19"/>
              </w:rPr>
              <w:t xml:space="preserve">  │  其他参数：完全一致（使用清河记参数配置基础版）              │</w:t>
            </w:r>
          </w:p>
          <w:p w14:paraId="2EFD3EF6">
            <w:pPr>
              <w:spacing w:before="16" w:after="16"/>
            </w:pPr>
            <w:r>
              <w:rPr>
                <w:rFonts w:ascii="Courier New" w:hAnsi="Courier New" w:eastAsia="Courier New" w:cs="Courier New"/>
                <w:color w:val="1A2233"/>
                <w:sz w:val="19"/>
                <w:szCs w:val="19"/>
              </w:rPr>
              <w:t xml:space="preserve">  │  知识库：相同版本快照（防止L2/L1内容差异干扰）              │</w:t>
            </w:r>
          </w:p>
          <w:p w14:paraId="3518ABEE">
            <w:pPr>
              <w:spacing w:before="16" w:after="16"/>
            </w:pPr>
            <w:r>
              <w:rPr>
                <w:rFonts w:ascii="Courier New" w:hAnsi="Courier New" w:eastAsia="Courier New" w:cs="Courier New"/>
                <w:color w:val="1A2233"/>
                <w:sz w:val="19"/>
                <w:szCs w:val="19"/>
              </w:rPr>
              <w:t xml:space="preserve">  │  随机化：完全随机分配至两组                                  │</w:t>
            </w:r>
          </w:p>
          <w:p w14:paraId="6114FBEC">
            <w:pPr>
              <w:spacing w:before="16" w:after="16"/>
            </w:pPr>
            <w:r>
              <w:rPr>
                <w:rFonts w:ascii="Courier New" w:hAnsi="Courier New" w:eastAsia="Courier New" w:cs="Courier New"/>
                <w:color w:val="1A2233"/>
                <w:sz w:val="19"/>
                <w:szCs w:val="19"/>
              </w:rPr>
              <w:t xml:space="preserve">  └────────────────────────────┬─────────────────────────────────┘</w:t>
            </w:r>
          </w:p>
          <w:p w14:paraId="4FEC8110">
            <w:pPr>
              <w:spacing w:before="16" w:after="16"/>
            </w:pPr>
            <w:r>
              <w:rPr>
                <w:rFonts w:ascii="Courier New" w:hAnsi="Courier New" w:eastAsia="Courier New" w:cs="Courier New"/>
                <w:color w:val="1A2233"/>
                <w:sz w:val="19"/>
                <w:szCs w:val="19"/>
              </w:rPr>
              <w:t xml:space="preserve">                               ▼</w:t>
            </w:r>
          </w:p>
          <w:p w14:paraId="6E8308D2">
            <w:pPr>
              <w:spacing w:before="16" w:after="16"/>
            </w:pPr>
            <w:r>
              <w:rPr>
                <w:rFonts w:ascii="Courier New" w:hAnsi="Courier New" w:eastAsia="Courier New" w:cs="Courier New"/>
                <w:color w:val="1A2233"/>
                <w:sz w:val="19"/>
                <w:szCs w:val="19"/>
              </w:rPr>
              <w:t xml:space="preserve">  ┌──────────────────────────────────────────────────────────────┐</w:t>
            </w:r>
          </w:p>
          <w:p w14:paraId="30C6390F">
            <w:pPr>
              <w:spacing w:before="16" w:after="16"/>
            </w:pPr>
            <w:r>
              <w:rPr>
                <w:rFonts w:ascii="Courier New" w:hAnsi="Courier New" w:eastAsia="Courier New" w:cs="Courier New"/>
                <w:color w:val="1A2233"/>
                <w:sz w:val="19"/>
                <w:szCs w:val="19"/>
              </w:rPr>
              <w:t xml:space="preserve">  │  第二步：平台配置                                            │</w:t>
            </w:r>
          </w:p>
          <w:p w14:paraId="50BF2DF6">
            <w:pPr>
              <w:spacing w:before="16" w:after="16"/>
            </w:pPr>
            <w:r>
              <w:rPr>
                <w:rFonts w:ascii="Courier New" w:hAnsi="Courier New" w:eastAsia="Courier New" w:cs="Courier New"/>
                <w:color w:val="1A2233"/>
                <w:sz w:val="19"/>
                <w:szCs w:val="19"/>
              </w:rPr>
              <w:t xml:space="preserve">  │  创建「研究项目A」→ 创建两个场景版本（A1高问责，A2低问责）  │</w:t>
            </w:r>
          </w:p>
          <w:p w14:paraId="755E120E">
            <w:pPr>
              <w:spacing w:before="16" w:after="16"/>
            </w:pPr>
            <w:r>
              <w:rPr>
                <w:rFonts w:ascii="Courier New" w:hAnsi="Courier New" w:eastAsia="Courier New" w:cs="Courier New"/>
                <w:color w:val="1A2233"/>
                <w:sz w:val="19"/>
                <w:szCs w:val="19"/>
              </w:rPr>
              <w:t xml:space="preserve">  │  → 锁定知识库版本快照 → 开启RCT随机化模块                   │</w:t>
            </w:r>
          </w:p>
          <w:p w14:paraId="243ECAF0">
            <w:pPr>
              <w:spacing w:before="16" w:after="16"/>
            </w:pPr>
            <w:r>
              <w:rPr>
                <w:rFonts w:ascii="Courier New" w:hAnsi="Courier New" w:eastAsia="Courier New" w:cs="Courier New"/>
                <w:color w:val="1A2233"/>
                <w:sz w:val="19"/>
                <w:szCs w:val="19"/>
              </w:rPr>
              <w:t xml:space="preserve">  │  → 设计后测问卷（创新倾向量表5条目+情绪测量3条目）          │</w:t>
            </w:r>
          </w:p>
          <w:p w14:paraId="7DCA3094">
            <w:pPr>
              <w:spacing w:before="16" w:after="16"/>
            </w:pPr>
            <w:r>
              <w:rPr>
                <w:rFonts w:ascii="Courier New" w:hAnsi="Courier New" w:eastAsia="Courier New" w:cs="Courier New"/>
                <w:color w:val="1A2233"/>
                <w:sz w:val="19"/>
                <w:szCs w:val="19"/>
              </w:rPr>
              <w:t xml:space="preserve">  │  → 关闭实时得分展示（防止被试为最大化得分而偏离自然行为）   │</w:t>
            </w:r>
          </w:p>
          <w:p w14:paraId="4B1C9660">
            <w:pPr>
              <w:spacing w:before="16" w:after="16"/>
            </w:pPr>
            <w:r>
              <w:rPr>
                <w:rFonts w:ascii="Courier New" w:hAnsi="Courier New" w:eastAsia="Courier New" w:cs="Courier New"/>
                <w:color w:val="1A2233"/>
                <w:sz w:val="19"/>
                <w:szCs w:val="19"/>
              </w:rPr>
              <w:t xml:space="preserve">  │  → 生成招募链接（含IRB同意书文本）                          │</w:t>
            </w:r>
          </w:p>
          <w:p w14:paraId="62C6392C">
            <w:pPr>
              <w:spacing w:before="16" w:after="16"/>
            </w:pPr>
            <w:r>
              <w:rPr>
                <w:rFonts w:ascii="Courier New" w:hAnsi="Courier New" w:eastAsia="Courier New" w:cs="Courier New"/>
                <w:color w:val="1A2233"/>
                <w:sz w:val="19"/>
                <w:szCs w:val="19"/>
              </w:rPr>
              <w:t xml:space="preserve">  └────────────────────────────┬─────────────────────────────────┘</w:t>
            </w:r>
          </w:p>
          <w:p w14:paraId="46627CF4">
            <w:pPr>
              <w:spacing w:before="16" w:after="16"/>
            </w:pPr>
            <w:r>
              <w:rPr>
                <w:rFonts w:ascii="Courier New" w:hAnsi="Courier New" w:eastAsia="Courier New" w:cs="Courier New"/>
                <w:color w:val="1A2233"/>
                <w:sz w:val="19"/>
                <w:szCs w:val="19"/>
              </w:rPr>
              <w:t xml:space="preserve">                               ▼</w:t>
            </w:r>
          </w:p>
          <w:p w14:paraId="66AECAB6">
            <w:pPr>
              <w:spacing w:before="16" w:after="16"/>
            </w:pPr>
            <w:r>
              <w:rPr>
                <w:rFonts w:ascii="Courier New" w:hAnsi="Courier New" w:eastAsia="Courier New" w:cs="Courier New"/>
                <w:color w:val="1A2233"/>
                <w:sz w:val="19"/>
                <w:szCs w:val="19"/>
              </w:rPr>
              <w:t xml:space="preserve">  ┌──────────────────────────────────────────────────────────────┐</w:t>
            </w:r>
          </w:p>
          <w:p w14:paraId="2B2C9C14">
            <w:pPr>
              <w:spacing w:before="16" w:after="16"/>
            </w:pPr>
            <w:r>
              <w:rPr>
                <w:rFonts w:ascii="Courier New" w:hAnsi="Courier New" w:eastAsia="Courier New" w:cs="Courier New"/>
                <w:color w:val="1A2233"/>
                <w:sz w:val="19"/>
                <w:szCs w:val="19"/>
              </w:rPr>
              <w:t xml:space="preserve">  │  第三步：被试招募与执行                                      │</w:t>
            </w:r>
          </w:p>
          <w:p w14:paraId="4317E713">
            <w:pPr>
              <w:spacing w:before="16" w:after="16"/>
            </w:pPr>
            <w:r>
              <w:rPr>
                <w:rFonts w:ascii="Courier New" w:hAnsi="Courier New" w:eastAsia="Courier New" w:cs="Courier New"/>
                <w:color w:val="1A2233"/>
                <w:sz w:val="19"/>
                <w:szCs w:val="19"/>
              </w:rPr>
              <w:t xml:space="preserve">  │  目标：各组40人（共80人），来自公共管理专业研究生            │</w:t>
            </w:r>
          </w:p>
          <w:p w14:paraId="5C964CCB">
            <w:pPr>
              <w:spacing w:before="16" w:after="16"/>
            </w:pPr>
            <w:r>
              <w:rPr>
                <w:rFonts w:ascii="Courier New" w:hAnsi="Courier New" w:eastAsia="Courier New" w:cs="Courier New"/>
                <w:color w:val="1A2233"/>
                <w:sz w:val="19"/>
                <w:szCs w:val="19"/>
              </w:rPr>
              <w:t xml:space="preserve">  │  每批次6—12人，共约8批次                                    │</w:t>
            </w:r>
          </w:p>
          <w:p w14:paraId="522ABFA8">
            <w:pPr>
              <w:spacing w:before="16" w:after="16"/>
            </w:pPr>
            <w:r>
              <w:rPr>
                <w:rFonts w:ascii="Courier New" w:hAnsi="Courier New" w:eastAsia="Courier New" w:cs="Courier New"/>
                <w:color w:val="1A2233"/>
                <w:sz w:val="19"/>
                <w:szCs w:val="19"/>
              </w:rPr>
              <w:t xml:space="preserve">  │  每批次结束后即导出数据，检查数据质量                       │</w:t>
            </w:r>
          </w:p>
          <w:p w14:paraId="21600F08">
            <w:pPr>
              <w:spacing w:before="16" w:after="16"/>
            </w:pPr>
            <w:r>
              <w:rPr>
                <w:rFonts w:ascii="Courier New" w:hAnsi="Courier New" w:eastAsia="Courier New" w:cs="Courier New"/>
                <w:color w:val="1A2233"/>
                <w:sz w:val="19"/>
                <w:szCs w:val="19"/>
              </w:rPr>
              <w:t xml:space="preserve">  └────────────────────────────┬─────────────────────────────────┘</w:t>
            </w:r>
          </w:p>
          <w:p w14:paraId="395B64D6">
            <w:pPr>
              <w:spacing w:before="16" w:after="16"/>
            </w:pPr>
            <w:r>
              <w:rPr>
                <w:rFonts w:ascii="Courier New" w:hAnsi="Courier New" w:eastAsia="Courier New" w:cs="Courier New"/>
                <w:color w:val="1A2233"/>
                <w:sz w:val="19"/>
                <w:szCs w:val="19"/>
              </w:rPr>
              <w:t xml:space="preserve">                               ▼</w:t>
            </w:r>
          </w:p>
          <w:p w14:paraId="544B822C">
            <w:pPr>
              <w:spacing w:before="16" w:after="16"/>
            </w:pPr>
            <w:r>
              <w:rPr>
                <w:rFonts w:ascii="Courier New" w:hAnsi="Courier New" w:eastAsia="Courier New" w:cs="Courier New"/>
                <w:color w:val="1A2233"/>
                <w:sz w:val="19"/>
                <w:szCs w:val="19"/>
              </w:rPr>
              <w:t xml:space="preserve">  ┌──────────────────────────────────────────────────────────────┐</w:t>
            </w:r>
          </w:p>
          <w:p w14:paraId="55D6B8B2">
            <w:pPr>
              <w:spacing w:before="16" w:after="16"/>
            </w:pPr>
            <w:r>
              <w:rPr>
                <w:rFonts w:ascii="Courier New" w:hAnsi="Courier New" w:eastAsia="Courier New" w:cs="Courier New"/>
                <w:color w:val="1A2233"/>
                <w:sz w:val="19"/>
                <w:szCs w:val="19"/>
              </w:rPr>
              <w:t xml:space="preserve">  │  第四步：数据质量筛选                                        │</w:t>
            </w:r>
          </w:p>
          <w:p w14:paraId="72D431E3">
            <w:pPr>
              <w:spacing w:before="16" w:after="16"/>
            </w:pPr>
            <w:r>
              <w:rPr>
                <w:rFonts w:ascii="Courier New" w:hAnsi="Courier New" w:eastAsia="Courier New" w:cs="Courier New"/>
                <w:color w:val="1A2233"/>
                <w:sz w:val="19"/>
                <w:szCs w:val="19"/>
              </w:rPr>
              <w:t xml:space="preserve">  │  排除标准：completion_rate &lt; 80% 的被试                      │</w:t>
            </w:r>
          </w:p>
          <w:p w14:paraId="195DDE25">
            <w:pPr>
              <w:spacing w:before="16" w:after="16"/>
            </w:pPr>
            <w:r>
              <w:rPr>
                <w:rFonts w:ascii="Courier New" w:hAnsi="Courier New" w:eastAsia="Courier New" w:cs="Courier New"/>
                <w:color w:val="1A2233"/>
                <w:sz w:val="19"/>
                <w:szCs w:val="19"/>
              </w:rPr>
              <w:t xml:space="preserve">  │           注意力检测失败超过2次的被试                        │</w:t>
            </w:r>
          </w:p>
          <w:p w14:paraId="3B7B0551">
            <w:pPr>
              <w:spacing w:before="16" w:after="16"/>
            </w:pPr>
            <w:r>
              <w:rPr>
                <w:rFonts w:ascii="Courier New" w:hAnsi="Courier New" w:eastAsia="Courier New" w:cs="Courier New"/>
                <w:color w:val="1A2233"/>
                <w:sz w:val="19"/>
                <w:szCs w:val="19"/>
              </w:rPr>
              <w:t xml:space="preserve">  │           参与时长异常短（&lt;60分钟，怀疑不认真参与）的被试   │</w:t>
            </w:r>
          </w:p>
          <w:p w14:paraId="11FE8E24">
            <w:pPr>
              <w:spacing w:before="16" w:after="16"/>
            </w:pPr>
            <w:r>
              <w:rPr>
                <w:rFonts w:ascii="Courier New" w:hAnsi="Courier New" w:eastAsia="Courier New" w:cs="Courier New"/>
                <w:color w:val="1A2233"/>
                <w:sz w:val="19"/>
                <w:szCs w:val="19"/>
              </w:rPr>
              <w:t xml:space="preserve">  └────────────────────────────┬─────────────────────────────────┘</w:t>
            </w:r>
          </w:p>
          <w:p w14:paraId="5614A2C9">
            <w:pPr>
              <w:spacing w:before="16" w:after="16"/>
            </w:pPr>
            <w:r>
              <w:rPr>
                <w:rFonts w:ascii="Courier New" w:hAnsi="Courier New" w:eastAsia="Courier New" w:cs="Courier New"/>
                <w:color w:val="1A2233"/>
                <w:sz w:val="19"/>
                <w:szCs w:val="19"/>
              </w:rPr>
              <w:t xml:space="preserve">                               ▼</w:t>
            </w:r>
          </w:p>
          <w:p w14:paraId="0D4C7784">
            <w:pPr>
              <w:spacing w:before="16" w:after="16"/>
            </w:pPr>
            <w:r>
              <w:rPr>
                <w:rFonts w:ascii="Courier New" w:hAnsi="Courier New" w:eastAsia="Courier New" w:cs="Courier New"/>
                <w:color w:val="1A2233"/>
                <w:sz w:val="19"/>
                <w:szCs w:val="19"/>
              </w:rPr>
              <w:t xml:space="preserve">  ┌──────────────────────────────────────────────────────────────┐</w:t>
            </w:r>
          </w:p>
          <w:p w14:paraId="09F99AB0">
            <w:pPr>
              <w:spacing w:before="16" w:after="16"/>
            </w:pPr>
            <w:r>
              <w:rPr>
                <w:rFonts w:ascii="Courier New" w:hAnsi="Courier New" w:eastAsia="Courier New" w:cs="Courier New"/>
                <w:color w:val="1A2233"/>
                <w:sz w:val="19"/>
                <w:szCs w:val="19"/>
              </w:rPr>
              <w:t xml:space="preserve">  │  第五步：分析                                                │</w:t>
            </w:r>
          </w:p>
          <w:p w14:paraId="2AECE64A">
            <w:pPr>
              <w:spacing w:before="16" w:after="16"/>
            </w:pPr>
            <w:r>
              <w:rPr>
                <w:rFonts w:ascii="Courier New" w:hAnsi="Courier New" w:eastAsia="Courier New" w:cs="Courier New"/>
                <w:color w:val="1A2233"/>
                <w:sz w:val="19"/>
                <w:szCs w:val="19"/>
              </w:rPr>
              <w:t xml:space="preserve">  │  主要因变量：action_type=="innovation_explore"的选择频率     │</w:t>
            </w:r>
          </w:p>
          <w:p w14:paraId="673944EE">
            <w:pPr>
              <w:spacing w:before="16" w:after="16"/>
            </w:pPr>
            <w:r>
              <w:rPr>
                <w:rFonts w:ascii="Courier New" w:hAnsi="Courier New" w:eastAsia="Courier New" w:cs="Courier New"/>
                <w:color w:val="1A2233"/>
                <w:sz w:val="19"/>
                <w:szCs w:val="19"/>
              </w:rPr>
              <w:t xml:space="preserve">  │  次要因变量：选择该类行动的平均耗时（可能更长=更谨慎）      │</w:t>
            </w:r>
          </w:p>
          <w:p w14:paraId="54A7FC17">
            <w:pPr>
              <w:spacing w:before="16" w:after="16"/>
            </w:pPr>
            <w:r>
              <w:rPr>
                <w:rFonts w:ascii="Courier New" w:hAnsi="Courier New" w:eastAsia="Courier New" w:cs="Courier New"/>
                <w:color w:val="1A2233"/>
                <w:sz w:val="19"/>
                <w:szCs w:val="19"/>
              </w:rPr>
              <w:t xml:space="preserve">  │  分析方法：双样本t检验 / Mann-Whitney U检验（非参数版本）   │</w:t>
            </w:r>
          </w:p>
          <w:p w14:paraId="429BDD8A">
            <w:pPr>
              <w:spacing w:before="16" w:after="16"/>
            </w:pPr>
            <w:r>
              <w:rPr>
                <w:rFonts w:ascii="Courier New" w:hAnsi="Courier New" w:eastAsia="Courier New" w:cs="Courier New"/>
                <w:color w:val="1A2233"/>
                <w:sz w:val="19"/>
                <w:szCs w:val="19"/>
              </w:rPr>
              <w:t xml:space="preserve">  │           Logistic回归（控制角色类型、参与批次等协变量）     │</w:t>
            </w:r>
          </w:p>
          <w:p w14:paraId="3F1903CC">
            <w:pPr>
              <w:spacing w:before="16" w:after="16"/>
            </w:pPr>
            <w:r>
              <w:rPr>
                <w:rFonts w:ascii="Courier New" w:hAnsi="Courier New" w:eastAsia="Courier New" w:cs="Courier New"/>
                <w:color w:val="1A2233"/>
                <w:sz w:val="19"/>
                <w:szCs w:val="19"/>
              </w:rPr>
              <w:t xml:space="preserve">  │  后测量表：验证问责压力操控是否成功（操控检验）              │</w:t>
            </w:r>
          </w:p>
          <w:p w14:paraId="35D460AF">
            <w:pPr>
              <w:spacing w:before="16" w:after="16"/>
            </w:pPr>
            <w:r>
              <w:rPr>
                <w:rFonts w:ascii="Courier New" w:hAnsi="Courier New" w:eastAsia="Courier New" w:cs="Courier New"/>
                <w:color w:val="1A2233"/>
                <w:sz w:val="19"/>
                <w:szCs w:val="19"/>
              </w:rPr>
              <w:t xml:space="preserve">  └──────────────────────────────────────────────────────────────┘</w:t>
            </w:r>
          </w:p>
        </w:tc>
      </w:tr>
    </w:tbl>
    <w:p w14:paraId="72FB387F">
      <w:pPr>
        <w:spacing w:before="120" w:after="120"/>
      </w:pPr>
    </w:p>
    <w:p w14:paraId="1D35429A">
      <w:pPr>
        <w:pStyle w:val="3"/>
        <w:spacing w:before="320" w:after="140"/>
      </w:pPr>
      <w:r>
        <w:rPr>
          <w:rFonts w:ascii="Arial" w:hAnsi="Arial" w:eastAsia="Arial" w:cs="Arial"/>
          <w:b/>
          <w:bCs/>
          <w:color w:val="174A7E"/>
          <w:sz w:val="25"/>
          <w:szCs w:val="25"/>
        </w:rPr>
        <w:t>14.5 七类行为数据流字段完整规格</w:t>
      </w:r>
    </w:p>
    <w:p w14:paraId="53BE9129">
      <w:pPr>
        <w:spacing w:before="80" w:after="80"/>
        <w:jc w:val="both"/>
      </w:pPr>
      <w:r>
        <w:rPr>
          <w:rFonts w:ascii="Arial" w:hAnsi="Arial" w:eastAsia="Arial" w:cs="Arial"/>
          <w:b w:val="0"/>
          <w:bCs w:val="0"/>
          <w:color w:val="111111"/>
          <w:sz w:val="22"/>
          <w:szCs w:val="22"/>
        </w:rPr>
        <w:t>以下展示七类行为数据流的完整字段定义，研究者可据此规划分析代码，在数据收集前就确定变量测量方案。</w:t>
      </w:r>
    </w:p>
    <w:p w14:paraId="4AD5B1F1">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5"/>
        <w:gridCol w:w="3551"/>
        <w:gridCol w:w="2160"/>
        <w:gridCol w:w="2764"/>
      </w:tblGrid>
      <w:tr w14:paraId="0B5C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DB9D350">
            <w:pPr>
              <w:spacing w:before="36" w:after="36"/>
              <w:jc w:val="center"/>
            </w:pPr>
            <w:r>
              <w:rPr>
                <w:rFonts w:ascii="Arial" w:hAnsi="Arial" w:eastAsia="Arial" w:cs="Arial"/>
                <w:b/>
                <w:bCs/>
                <w:color w:val="FFFFFF"/>
                <w:sz w:val="19"/>
                <w:szCs w:val="19"/>
              </w:rPr>
              <w:t>数据类型</w:t>
            </w:r>
          </w:p>
        </w:tc>
        <w:tc>
          <w:tcPr>
            <w:tcW w:w="2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5FA4C8C9">
            <w:pPr>
              <w:spacing w:before="36" w:after="36"/>
              <w:jc w:val="center"/>
            </w:pPr>
            <w:r>
              <w:rPr>
                <w:rFonts w:ascii="Arial" w:hAnsi="Arial" w:eastAsia="Arial" w:cs="Arial"/>
                <w:b/>
                <w:bCs/>
                <w:color w:val="FFFFFF"/>
                <w:sz w:val="19"/>
                <w:szCs w:val="19"/>
              </w:rPr>
              <w:t>核心字段（CSV列名）</w:t>
            </w:r>
          </w:p>
        </w:tc>
        <w:tc>
          <w:tcPr>
            <w:tcW w:w="22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3A11F085">
            <w:pPr>
              <w:spacing w:before="36" w:after="36"/>
              <w:jc w:val="center"/>
            </w:pPr>
            <w:r>
              <w:rPr>
                <w:rFonts w:ascii="Arial" w:hAnsi="Arial" w:eastAsia="Arial" w:cs="Arial"/>
                <w:b/>
                <w:bCs/>
                <w:color w:val="FFFFFF"/>
                <w:sz w:val="19"/>
                <w:szCs w:val="19"/>
              </w:rPr>
              <w:t>研究用途</w:t>
            </w:r>
          </w:p>
        </w:tc>
        <w:tc>
          <w:tcPr>
            <w:tcW w:w="31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067E2D6C">
            <w:pPr>
              <w:spacing w:before="36" w:after="36"/>
              <w:jc w:val="center"/>
            </w:pPr>
            <w:r>
              <w:rPr>
                <w:rFonts w:ascii="Arial" w:hAnsi="Arial" w:eastAsia="Arial" w:cs="Arial"/>
                <w:b/>
                <w:bCs/>
                <w:color w:val="FFFFFF"/>
                <w:sz w:val="19"/>
                <w:szCs w:val="19"/>
              </w:rPr>
              <w:t>质量说明</w:t>
            </w:r>
          </w:p>
        </w:tc>
      </w:tr>
      <w:tr w14:paraId="1206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7356897">
            <w:pPr>
              <w:spacing w:before="36" w:after="36"/>
              <w:jc w:val="left"/>
            </w:pPr>
            <w:r>
              <w:rPr>
                <w:rFonts w:ascii="Arial" w:hAnsi="Arial" w:eastAsia="Arial" w:cs="Arial"/>
                <w:color w:val="222222"/>
                <w:sz w:val="20"/>
                <w:szCs w:val="20"/>
              </w:rPr>
              <w:t>①决策序列</w:t>
            </w:r>
          </w:p>
        </w:tc>
        <w:tc>
          <w:tcPr>
            <w:tcW w:w="2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760E588">
            <w:pPr>
              <w:spacing w:before="36" w:after="36"/>
              <w:jc w:val="left"/>
            </w:pPr>
            <w:r>
              <w:rPr>
                <w:rFonts w:ascii="Arial" w:hAnsi="Arial" w:eastAsia="Arial" w:cs="Arial"/>
                <w:color w:val="222222"/>
                <w:sz w:val="20"/>
                <w:szCs w:val="20"/>
              </w:rPr>
              <w:t>session_id / player_id / role_id / stage_no / round_no / node_id / option_set_size / option_chosen / option_action_type / decision_time_sec / rag_viewed(T/F) / custom_option(T/F)</w:t>
            </w:r>
          </w:p>
        </w:tc>
        <w:tc>
          <w:tcPr>
            <w:tcW w:w="2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2841FF1">
            <w:pPr>
              <w:spacing w:before="36" w:after="36"/>
              <w:jc w:val="left"/>
            </w:pPr>
            <w:r>
              <w:rPr>
                <w:rFonts w:ascii="Arial" w:hAnsi="Arial" w:eastAsia="Arial" w:cs="Arial"/>
                <w:color w:val="222222"/>
                <w:sz w:val="20"/>
                <w:szCs w:val="20"/>
              </w:rPr>
              <w:t>主因变量：option_chosen的行动类型分布；调节变量：decision_time_sec；中介变量：rag_viewed</w:t>
            </w:r>
          </w:p>
        </w:tc>
        <w:tc>
          <w:tcPr>
            <w:tcW w:w="31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0A12CB5">
            <w:pPr>
              <w:spacing w:before="36" w:after="36"/>
              <w:jc w:val="left"/>
            </w:pPr>
            <w:r>
              <w:rPr>
                <w:rFonts w:ascii="Arial" w:hAnsi="Arial" w:eastAsia="Arial" w:cs="Arial"/>
                <w:color w:val="222222"/>
                <w:sz w:val="20"/>
                <w:szCs w:val="20"/>
              </w:rPr>
              <w:t>每次决策一行，时间精度到秒；option_set_size用于控制选项集大小效应</w:t>
            </w:r>
          </w:p>
        </w:tc>
      </w:tr>
      <w:tr w14:paraId="3C728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BF6B6CC">
            <w:pPr>
              <w:spacing w:before="36" w:after="36"/>
              <w:jc w:val="left"/>
            </w:pPr>
            <w:r>
              <w:rPr>
                <w:rFonts w:ascii="Arial" w:hAnsi="Arial" w:eastAsia="Arial" w:cs="Arial"/>
                <w:color w:val="222222"/>
                <w:sz w:val="20"/>
                <w:szCs w:val="20"/>
              </w:rPr>
              <w:t>②通信行为</w:t>
            </w:r>
          </w:p>
        </w:tc>
        <w:tc>
          <w:tcPr>
            <w:tcW w:w="2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0968D7F">
            <w:pPr>
              <w:spacing w:before="36" w:after="36"/>
              <w:jc w:val="left"/>
            </w:pPr>
            <w:r>
              <w:rPr>
                <w:rFonts w:ascii="Arial" w:hAnsi="Arial" w:eastAsia="Arial" w:cs="Arial"/>
                <w:color w:val="222222"/>
                <w:sz w:val="20"/>
                <w:szCs w:val="20"/>
              </w:rPr>
              <w:t>session_id / sender_role_id / receiver_role_id / channel_type(public/private/coalition) / message_length_chars / timestamp_utc / contains_data_claim(T/F) / initiative(active/reactive)</w:t>
            </w:r>
          </w:p>
        </w:tc>
        <w:tc>
          <w:tcPr>
            <w:tcW w:w="2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EA1DEAD">
            <w:pPr>
              <w:spacing w:before="36" w:after="36"/>
              <w:jc w:val="left"/>
            </w:pPr>
            <w:r>
              <w:rPr>
                <w:rFonts w:ascii="Arial" w:hAnsi="Arial" w:eastAsia="Arial" w:cs="Arial"/>
                <w:color w:val="222222"/>
                <w:sz w:val="20"/>
                <w:szCs w:val="20"/>
              </w:rPr>
              <w:t>通信网络中心度分析；信息共享策略测量；主动vs被动沟通比例</w:t>
            </w:r>
          </w:p>
        </w:tc>
        <w:tc>
          <w:tcPr>
            <w:tcW w:w="31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A3C234C">
            <w:pPr>
              <w:spacing w:before="36" w:after="36"/>
              <w:jc w:val="left"/>
            </w:pPr>
            <w:r>
              <w:rPr>
                <w:rFonts w:ascii="Arial" w:hAnsi="Arial" w:eastAsia="Arial" w:cs="Arial"/>
                <w:color w:val="222222"/>
                <w:sz w:val="20"/>
                <w:szCs w:val="20"/>
              </w:rPr>
              <w:t>私信经被试知情同意后收集；initiative字段区分主动发起vs被动回复</w:t>
            </w:r>
          </w:p>
        </w:tc>
      </w:tr>
      <w:tr w14:paraId="46CA6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B8868A6">
            <w:pPr>
              <w:spacing w:before="36" w:after="36"/>
              <w:jc w:val="left"/>
            </w:pPr>
            <w:r>
              <w:rPr>
                <w:rFonts w:ascii="Arial" w:hAnsi="Arial" w:eastAsia="Arial" w:cs="Arial"/>
                <w:color w:val="222222"/>
                <w:sz w:val="20"/>
                <w:szCs w:val="20"/>
              </w:rPr>
              <w:t>③指标轨迹</w:t>
            </w:r>
          </w:p>
        </w:tc>
        <w:tc>
          <w:tcPr>
            <w:tcW w:w="2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4040FE4">
            <w:pPr>
              <w:spacing w:before="36" w:after="36"/>
              <w:jc w:val="left"/>
            </w:pPr>
            <w:r>
              <w:rPr>
                <w:rFonts w:ascii="Arial" w:hAnsi="Arial" w:eastAsia="Arial" w:cs="Arial"/>
                <w:color w:val="222222"/>
                <w:sz w:val="20"/>
                <w:szCs w:val="20"/>
              </w:rPr>
              <w:t>session_id / player_id / role_id / stage_no / round_no / CLR / IGA / PSR / ARC / STS / spillover_triggered(T/F) / cause_node_id</w:t>
            </w:r>
          </w:p>
        </w:tc>
        <w:tc>
          <w:tcPr>
            <w:tcW w:w="2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C1B6808">
            <w:pPr>
              <w:spacing w:before="36" w:after="36"/>
              <w:jc w:val="left"/>
            </w:pPr>
            <w:r>
              <w:rPr>
                <w:rFonts w:ascii="Arial" w:hAnsi="Arial" w:eastAsia="Arial" w:cs="Arial"/>
                <w:color w:val="222222"/>
                <w:sz w:val="20"/>
                <w:szCs w:val="20"/>
              </w:rPr>
              <w:t>时序分析；处理效果随推演进展的异质性；溢出规则触发频率</w:t>
            </w:r>
          </w:p>
        </w:tc>
        <w:tc>
          <w:tcPr>
            <w:tcW w:w="31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824BDD7">
            <w:pPr>
              <w:spacing w:before="36" w:after="36"/>
              <w:jc w:val="left"/>
            </w:pPr>
            <w:r>
              <w:rPr>
                <w:rFonts w:ascii="Arial" w:hAnsi="Arial" w:eastAsia="Arial" w:cs="Arial"/>
                <w:color w:val="222222"/>
                <w:sz w:val="20"/>
                <w:szCs w:val="20"/>
              </w:rPr>
              <w:t>每轮一行快照；cause_node_id追踪该轮变化由哪个决策节点直接引起</w:t>
            </w:r>
          </w:p>
        </w:tc>
      </w:tr>
      <w:tr w14:paraId="14E07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AFBC991">
            <w:pPr>
              <w:spacing w:before="36" w:after="36"/>
              <w:jc w:val="left"/>
            </w:pPr>
            <w:r>
              <w:rPr>
                <w:rFonts w:ascii="Arial" w:hAnsi="Arial" w:eastAsia="Arial" w:cs="Arial"/>
                <w:color w:val="222222"/>
                <w:sz w:val="20"/>
                <w:szCs w:val="20"/>
              </w:rPr>
              <w:t>④文献互动</w:t>
            </w:r>
          </w:p>
        </w:tc>
        <w:tc>
          <w:tcPr>
            <w:tcW w:w="2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AD765EA">
            <w:pPr>
              <w:spacing w:before="36" w:after="36"/>
              <w:jc w:val="left"/>
            </w:pPr>
            <w:r>
              <w:rPr>
                <w:rFonts w:ascii="Arial" w:hAnsi="Arial" w:eastAsia="Arial" w:cs="Arial"/>
                <w:color w:val="222222"/>
                <w:sz w:val="20"/>
                <w:szCs w:val="20"/>
              </w:rPr>
              <w:t>session_id / player_id / node_id / option_id / doc_id / doi / rag_layer(L1/L2/L3) / view_time_sec / then_chose_this_option(T/F)</w:t>
            </w:r>
          </w:p>
        </w:tc>
        <w:tc>
          <w:tcPr>
            <w:tcW w:w="2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77BE23A9">
            <w:pPr>
              <w:spacing w:before="36" w:after="36"/>
              <w:jc w:val="left"/>
            </w:pPr>
            <w:r>
              <w:rPr>
                <w:rFonts w:ascii="Arial" w:hAnsi="Arial" w:eastAsia="Arial" w:cs="Arial"/>
                <w:color w:val="222222"/>
                <w:sz w:val="20"/>
                <w:szCs w:val="20"/>
              </w:rPr>
              <w:t>文献展示对决策的影响；循证决策行为的测量；知识来源层的使用差异</w:t>
            </w:r>
          </w:p>
        </w:tc>
        <w:tc>
          <w:tcPr>
            <w:tcW w:w="31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BBD1E1E">
            <w:pPr>
              <w:spacing w:before="36" w:after="36"/>
              <w:jc w:val="left"/>
            </w:pPr>
            <w:r>
              <w:rPr>
                <w:rFonts w:ascii="Arial" w:hAnsi="Arial" w:eastAsia="Arial" w:cs="Arial"/>
                <w:color w:val="222222"/>
                <w:sz w:val="20"/>
                <w:szCs w:val="20"/>
              </w:rPr>
              <w:t>then_chose字段标记查阅文献后是否选择了对应选项（可分析知识-行为关联）</w:t>
            </w:r>
          </w:p>
        </w:tc>
      </w:tr>
      <w:tr w14:paraId="2A2F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D626AA4">
            <w:pPr>
              <w:spacing w:before="36" w:after="36"/>
              <w:jc w:val="left"/>
            </w:pPr>
            <w:r>
              <w:rPr>
                <w:rFonts w:ascii="Arial" w:hAnsi="Arial" w:eastAsia="Arial" w:cs="Arial"/>
                <w:color w:val="222222"/>
                <w:sz w:val="20"/>
                <w:szCs w:val="20"/>
              </w:rPr>
              <w:t>⑤情境响应</w:t>
            </w:r>
          </w:p>
        </w:tc>
        <w:tc>
          <w:tcPr>
            <w:tcW w:w="2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080B120">
            <w:pPr>
              <w:spacing w:before="36" w:after="36"/>
              <w:jc w:val="left"/>
            </w:pPr>
            <w:r>
              <w:rPr>
                <w:rFonts w:ascii="Arial" w:hAnsi="Arial" w:eastAsia="Arial" w:cs="Arial"/>
                <w:color w:val="222222"/>
                <w:sz w:val="20"/>
                <w:szCs w:val="20"/>
              </w:rPr>
              <w:t>session_id / player_id / event_id / event_type / event_timestamp / first_action_after_event / response_time_sec</w:t>
            </w:r>
          </w:p>
        </w:tc>
        <w:tc>
          <w:tcPr>
            <w:tcW w:w="2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5D3CEC8">
            <w:pPr>
              <w:spacing w:before="36" w:after="36"/>
              <w:jc w:val="left"/>
            </w:pPr>
            <w:r>
              <w:rPr>
                <w:rFonts w:ascii="Arial" w:hAnsi="Arial" w:eastAsia="Arial" w:cs="Arial"/>
                <w:color w:val="222222"/>
                <w:sz w:val="20"/>
                <w:szCs w:val="20"/>
              </w:rPr>
              <w:t>突发事件对决策行为的扰动效应；情境适应性测量；事件类型的差异化影响</w:t>
            </w:r>
          </w:p>
        </w:tc>
        <w:tc>
          <w:tcPr>
            <w:tcW w:w="31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832DE2C">
            <w:pPr>
              <w:spacing w:before="36" w:after="36"/>
              <w:jc w:val="left"/>
            </w:pPr>
            <w:r>
              <w:rPr>
                <w:rFonts w:ascii="Arial" w:hAnsi="Arial" w:eastAsia="Arial" w:cs="Arial"/>
                <w:color w:val="222222"/>
                <w:sz w:val="20"/>
                <w:szCs w:val="20"/>
              </w:rPr>
              <w:t>记录事件推送时间戳和玩家首次响应行动时间，间隔=响应延迟</w:t>
            </w:r>
          </w:p>
        </w:tc>
      </w:tr>
      <w:tr w14:paraId="74E4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C44112D">
            <w:pPr>
              <w:spacing w:before="36" w:after="36"/>
              <w:jc w:val="left"/>
            </w:pPr>
            <w:r>
              <w:rPr>
                <w:rFonts w:ascii="Arial" w:hAnsi="Arial" w:eastAsia="Arial" w:cs="Arial"/>
                <w:color w:val="222222"/>
                <w:sz w:val="20"/>
                <w:szCs w:val="20"/>
              </w:rPr>
              <w:t>⑥会话元数据</w:t>
            </w:r>
          </w:p>
        </w:tc>
        <w:tc>
          <w:tcPr>
            <w:tcW w:w="2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1BFA835">
            <w:pPr>
              <w:spacing w:before="36" w:after="36"/>
              <w:jc w:val="left"/>
            </w:pPr>
            <w:r>
              <w:rPr>
                <w:rFonts w:ascii="Arial" w:hAnsi="Arial" w:eastAsia="Arial" w:cs="Arial"/>
                <w:color w:val="222222"/>
                <w:sz w:val="20"/>
                <w:szCs w:val="20"/>
              </w:rPr>
              <w:t>session_id / player_id / role_id / treatment_group / scenario_version / rag_version_snapshot / start_time / end_time / completion_rate / attention_check_pass(T/F)</w:t>
            </w:r>
          </w:p>
        </w:tc>
        <w:tc>
          <w:tcPr>
            <w:tcW w:w="2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AA6D25C">
            <w:pPr>
              <w:spacing w:before="36" w:after="36"/>
              <w:jc w:val="left"/>
            </w:pPr>
            <w:r>
              <w:rPr>
                <w:rFonts w:ascii="Arial" w:hAnsi="Arial" w:eastAsia="Arial" w:cs="Arial"/>
                <w:color w:val="222222"/>
                <w:sz w:val="20"/>
                <w:szCs w:val="20"/>
              </w:rPr>
              <w:t>实验分组控制变量；数据完整性筛选；批次效应控制</w:t>
            </w:r>
          </w:p>
        </w:tc>
        <w:tc>
          <w:tcPr>
            <w:tcW w:w="31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0B98DC7">
            <w:pPr>
              <w:spacing w:before="36" w:after="36"/>
              <w:jc w:val="left"/>
            </w:pPr>
            <w:r>
              <w:rPr>
                <w:rFonts w:ascii="Arial" w:hAnsi="Arial" w:eastAsia="Arial" w:cs="Arial"/>
                <w:color w:val="222222"/>
                <w:sz w:val="20"/>
                <w:szCs w:val="20"/>
              </w:rPr>
              <w:t>completion_rate=完成阶段数/总阶段数；rag_version_snapshot为知识库版本哈希</w:t>
            </w:r>
          </w:p>
        </w:tc>
      </w:tr>
      <w:tr w14:paraId="5E87E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155B7F3">
            <w:pPr>
              <w:spacing w:before="36" w:after="36"/>
              <w:jc w:val="left"/>
            </w:pPr>
            <w:r>
              <w:rPr>
                <w:rFonts w:ascii="Arial" w:hAnsi="Arial" w:eastAsia="Arial" w:cs="Arial"/>
                <w:color w:val="222222"/>
                <w:sz w:val="20"/>
                <w:szCs w:val="20"/>
              </w:rPr>
              <w:t>⑦制度违规</w:t>
            </w:r>
          </w:p>
        </w:tc>
        <w:tc>
          <w:tcPr>
            <w:tcW w:w="2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44B2FD4">
            <w:pPr>
              <w:spacing w:before="36" w:after="36"/>
              <w:jc w:val="left"/>
            </w:pPr>
            <w:r>
              <w:rPr>
                <w:rFonts w:ascii="Arial" w:hAnsi="Arial" w:eastAsia="Arial" w:cs="Arial"/>
                <w:color w:val="222222"/>
                <w:sz w:val="20"/>
                <w:szCs w:val="20"/>
              </w:rPr>
              <w:t>session_id / player_id / node_id / attempted_action_text / violation_type(4类) / validator_decision(pass/warn/block) / institutional_rigidity_at_time</w:t>
            </w:r>
          </w:p>
        </w:tc>
        <w:tc>
          <w:tcPr>
            <w:tcW w:w="2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B02E6A6">
            <w:pPr>
              <w:spacing w:before="36" w:after="36"/>
              <w:jc w:val="left"/>
            </w:pPr>
            <w:r>
              <w:rPr>
                <w:rFonts w:ascii="Arial" w:hAnsi="Arial" w:eastAsia="Arial" w:cs="Arial"/>
                <w:color w:val="222222"/>
                <w:sz w:val="20"/>
                <w:szCs w:val="20"/>
              </w:rPr>
              <w:t>制度合规行为测量；违规尝试的情境驱动因素；高刚性vs低刚性下的越轨频率</w:t>
            </w:r>
          </w:p>
        </w:tc>
        <w:tc>
          <w:tcPr>
            <w:tcW w:w="31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EE2C8EE">
            <w:pPr>
              <w:spacing w:before="36" w:after="36"/>
              <w:jc w:val="left"/>
            </w:pPr>
            <w:r>
              <w:rPr>
                <w:rFonts w:ascii="Arial" w:hAnsi="Arial" w:eastAsia="Arial" w:cs="Arial"/>
                <w:color w:val="222222"/>
                <w:sz w:val="20"/>
                <w:szCs w:val="20"/>
              </w:rPr>
              <w:t>violation_type分为权限越权/程序违规/制度红线/灰色地带四类，精确标注</w:t>
            </w:r>
          </w:p>
        </w:tc>
      </w:tr>
    </w:tbl>
    <w:p w14:paraId="38F6CA35">
      <w:pPr>
        <w:spacing w:before="120" w:after="120"/>
      </w:pPr>
    </w:p>
    <w:p w14:paraId="07C55D72">
      <w:pPr>
        <w:pStyle w:val="3"/>
        <w:spacing w:before="320" w:after="140"/>
      </w:pPr>
      <w:r>
        <w:rPr>
          <w:rFonts w:ascii="Arial" w:hAnsi="Arial" w:eastAsia="Arial" w:cs="Arial"/>
          <w:b/>
          <w:bCs/>
          <w:color w:val="174A7E"/>
          <w:sz w:val="25"/>
          <w:szCs w:val="25"/>
        </w:rPr>
        <w:t>14.6 数据质量保障机制</w:t>
      </w:r>
    </w:p>
    <w:p w14:paraId="67FCE4ED">
      <w:pPr>
        <w:spacing w:before="80" w:after="80"/>
        <w:jc w:val="both"/>
      </w:pPr>
      <w:r>
        <w:rPr>
          <w:rFonts w:ascii="Arial" w:hAnsi="Arial" w:eastAsia="Arial" w:cs="Arial"/>
          <w:b w:val="0"/>
          <w:bCs w:val="0"/>
          <w:color w:val="111111"/>
          <w:sz w:val="22"/>
          <w:szCs w:val="22"/>
        </w:rPr>
        <w:t>平台从系统层面内置了多种数据质量保障机制，研究者无需额外设计就能自动获得以下保障。</w:t>
      </w:r>
    </w:p>
    <w:p w14:paraId="279F34B6">
      <w:pPr>
        <w:spacing w:before="80" w:after="80"/>
        <w:jc w:val="both"/>
      </w:pPr>
      <w:r>
        <w:rPr>
          <w:rFonts w:ascii="Arial" w:hAnsi="Arial" w:eastAsia="Arial" w:cs="Arial"/>
          <w:b w:val="0"/>
          <w:bCs w:val="0"/>
          <w:color w:val="111111"/>
          <w:sz w:val="22"/>
          <w:szCs w:val="22"/>
        </w:rPr>
        <w:t>注意力检测机制：推演过程中系统每隔15—20分钟随机插入「注意力检测」——弹出一个简单的确认框，要求被试在10秒内点击，否则计为「注意力下降」并在会话元数据中标记。研究者可在数据清理时以注意力检测通过率作为质量筛选标准。</w:t>
      </w:r>
    </w:p>
    <w:p w14:paraId="4C5DCD5A">
      <w:pPr>
        <w:spacing w:before="80" w:after="80"/>
        <w:jc w:val="both"/>
      </w:pPr>
      <w:r>
        <w:rPr>
          <w:rFonts w:ascii="Arial" w:hAnsi="Arial" w:eastAsia="Arial" w:cs="Arial"/>
          <w:b w:val="0"/>
          <w:bCs w:val="0"/>
          <w:color w:val="111111"/>
          <w:sz w:val="22"/>
          <w:szCs w:val="22"/>
        </w:rPr>
        <w:t>完成率追踪：系统记录每位被试的推演完成率（以阶段为单位），以及每个决策节点是否按时提交。中途退出的被试数据不完整，平台在数据导出时默认将完成率&lt;60%的被试数据单独标记。研究者可以选择完全排除、作为敏感性分析保留或单独分析中途退出的原因。</w:t>
      </w:r>
    </w:p>
    <w:p w14:paraId="36AAB15D">
      <w:pPr>
        <w:spacing w:before="80" w:after="80"/>
        <w:jc w:val="both"/>
      </w:pPr>
      <w:r>
        <w:rPr>
          <w:rFonts w:ascii="Arial" w:hAnsi="Arial" w:eastAsia="Arial" w:cs="Arial"/>
          <w:b w:val="0"/>
          <w:bCs w:val="0"/>
          <w:color w:val="111111"/>
          <w:sz w:val="22"/>
          <w:szCs w:val="22"/>
        </w:rPr>
        <w:t>同批次被试行为隔离：为防止同一批次中不同被试的行为数据在解密后相互参照（批次间信息泄露效应），平台在同一研究项目的不同批次推演之间默认启用「情节随机化」：每批次的随机事件触发序列不同（事件库相同，但触发时机随机化），使得不同批次的推演走向有差异，降低口耳相传对后续批次的影响。</w:t>
      </w:r>
    </w:p>
    <w:p w14:paraId="4CFBEA4D">
      <w:pPr>
        <w:spacing w:before="80" w:after="80"/>
        <w:jc w:val="both"/>
      </w:pPr>
      <w:r>
        <w:rPr>
          <w:rFonts w:ascii="Arial" w:hAnsi="Arial" w:eastAsia="Arial" w:cs="Arial"/>
          <w:b w:val="0"/>
          <w:bCs w:val="0"/>
          <w:color w:val="111111"/>
          <w:sz w:val="22"/>
          <w:szCs w:val="22"/>
        </w:rPr>
        <w:t>练习效应控制：系统在被试注册时查询其历史参与记录，并在招募链接参数中允许设置「首次参与者优先」或「排除曾参与同类场景的被试」。这一功能帮助研究者在分析阶段控制练习效应，或在研究设计阶段直接消除这一混淆源。</w:t>
      </w:r>
    </w:p>
    <w:p w14:paraId="1DF2A6A2">
      <w:pPr>
        <w:spacing w:before="120" w:after="120"/>
      </w:pPr>
    </w:p>
    <w:p w14:paraId="0B4D2AF2">
      <w:r>
        <w:br w:type="page"/>
      </w:r>
    </w:p>
    <w:p w14:paraId="60AA5320">
      <w:pPr>
        <w:pStyle w:val="2"/>
        <w:pBdr>
          <w:bottom w:val="single" w:color="1A3A5C" w:sz="8" w:space="2"/>
        </w:pBdr>
        <w:spacing w:before="440" w:after="200"/>
      </w:pPr>
      <w:r>
        <w:rPr>
          <w:rFonts w:ascii="Arial" w:hAnsi="Arial" w:eastAsia="Arial" w:cs="Arial"/>
          <w:b/>
          <w:bCs/>
          <w:color w:val="1A3A5C"/>
          <w:sz w:val="30"/>
          <w:szCs w:val="30"/>
        </w:rPr>
        <w:t>十五、玩家参与指南：从进入角色到完成推演的完整体验</w:t>
      </w:r>
    </w:p>
    <w:p w14:paraId="2993FAF8">
      <w:pPr>
        <w:spacing w:before="80" w:after="80"/>
        <w:jc w:val="both"/>
      </w:pPr>
      <w:r>
        <w:rPr>
          <w:rFonts w:ascii="Arial" w:hAnsi="Arial" w:eastAsia="Arial" w:cs="Arial"/>
          <w:b w:val="0"/>
          <w:bCs w:val="0"/>
          <w:color w:val="111111"/>
          <w:sz w:val="22"/>
          <w:szCs w:val="22"/>
        </w:rPr>
        <w:t>玩家是政通推演坊的最终用户，也是平台行为数据的直接来源。玩家通常是MPA课程学员、公务员培训参与者或研究实验的被试。玩家不需要了解平台的配置逻辑和技术实现，但需要理解自己的角色定位、基本操作规则和通信机制。本节按照玩家体验的时间顺序展开，从进入候场大厅到复盘结束，覆盖推演的完整体验弧线。</w:t>
      </w:r>
    </w:p>
    <w:p w14:paraId="004ABFD0">
      <w:pPr>
        <w:spacing w:before="120" w:after="120"/>
      </w:pPr>
    </w:p>
    <w:p w14:paraId="5792374E">
      <w:pPr>
        <w:pStyle w:val="3"/>
        <w:spacing w:before="320" w:after="140"/>
      </w:pPr>
      <w:r>
        <w:rPr>
          <w:rFonts w:ascii="Arial" w:hAnsi="Arial" w:eastAsia="Arial" w:cs="Arial"/>
          <w:b/>
          <w:bCs/>
          <w:color w:val="174A7E"/>
          <w:sz w:val="25"/>
          <w:szCs w:val="25"/>
        </w:rPr>
        <w:t>15.1 进入候场大厅：角色认知阶段</w:t>
      </w:r>
    </w:p>
    <w:p w14:paraId="1FC9FEB5">
      <w:pPr>
        <w:spacing w:before="80" w:after="80"/>
        <w:jc w:val="both"/>
      </w:pPr>
      <w:r>
        <w:rPr>
          <w:rFonts w:ascii="Arial" w:hAnsi="Arial" w:eastAsia="Arial" w:cs="Arial"/>
          <w:b w:val="0"/>
          <w:bCs w:val="0"/>
          <w:color w:val="111111"/>
          <w:sz w:val="22"/>
          <w:szCs w:val="22"/>
        </w:rPr>
        <w:t>玩家通过教师/研究者提供的房间码或链接进入平台，完成简单注册（用户名加邮箱或手机号，无需其他个人信息），进入候场大厅。候场大厅是推演开始前的准备空间，玩家在这里完成三件事：阅读场景背景信息（教师撰写的300—600字情境介绍，建议认真阅读）；阅读自己的角色卡（包含正式职位、主要职责、当前信息状态和KPI权重说明）；下载并阅读「通用规则手册」（约8页PDF，介绍推演的一般规则、通信规则、联署机制和得分说明）。</w:t>
      </w:r>
    </w:p>
    <w:p w14:paraId="0DB05F6A">
      <w:pPr>
        <w:spacing w:before="80" w:after="80"/>
        <w:jc w:val="both"/>
      </w:pPr>
      <w:r>
        <w:rPr>
          <w:rFonts w:ascii="Arial" w:hAnsi="Arial" w:eastAsia="Arial" w:cs="Arial"/>
          <w:b w:val="0"/>
          <w:bCs w:val="0"/>
          <w:color w:val="111111"/>
          <w:sz w:val="22"/>
          <w:szCs w:val="22"/>
        </w:rPr>
        <w:t>角色卡包含三个重要信息板块：职务说明（该角色在真实行政体制中的职责范围，帮助玩家进入角色）、独占信息（仅该角色持有的关键信息，其他玩家不知道，这是博弈策略的核心资源）、行动权限（该角色可以使用的12类行动中的哪些类别，出于制度合理性这是提前告知而非秘密）。研究模式下，部分信息可能不完整展示（如不展示KPI权重），这属于研究设计的一部分，玩家在同意书中已被告知。</w:t>
      </w:r>
    </w:p>
    <w:p w14:paraId="6211DF5A">
      <w:pPr>
        <w:spacing w:before="120" w:after="120"/>
      </w:pPr>
    </w:p>
    <w:p w14:paraId="15D3E2D8">
      <w:pPr>
        <w:pStyle w:val="3"/>
        <w:spacing w:before="320" w:after="140"/>
      </w:pPr>
      <w:r>
        <w:rPr>
          <w:rFonts w:ascii="Arial" w:hAnsi="Arial" w:eastAsia="Arial" w:cs="Arial"/>
          <w:b/>
          <w:bCs/>
          <w:color w:val="174A7E"/>
          <w:sz w:val="25"/>
          <w:szCs w:val="25"/>
        </w:rPr>
        <w:t>15.2 推演进行中：五区联动指挥桌界面</w:t>
      </w:r>
    </w:p>
    <w:p w14:paraId="5BC6A17F">
      <w:pPr>
        <w:spacing w:before="80" w:after="80"/>
        <w:jc w:val="both"/>
      </w:pPr>
      <w:r>
        <w:rPr>
          <w:rFonts w:ascii="Arial" w:hAnsi="Arial" w:eastAsia="Arial" w:cs="Arial"/>
          <w:b w:val="0"/>
          <w:bCs w:val="0"/>
          <w:color w:val="111111"/>
          <w:sz w:val="22"/>
          <w:szCs w:val="22"/>
        </w:rPr>
        <w:t>进入推演后，玩家看到「五区联动指挥桌」界面，是玩家与推演互动的唯一界面。界面分为五个功能区，通过标签页或分栏布局组织，每个区域服务于不同的信息需求和行动需求。</w:t>
      </w:r>
    </w:p>
    <w:p w14:paraId="06932CBF">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DC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473CB1DA">
            <w:pPr>
              <w:spacing w:before="60" w:after="100"/>
            </w:pPr>
            <w:r>
              <w:rPr>
                <w:rFonts w:ascii="Arial" w:hAnsi="Arial" w:eastAsia="Arial" w:cs="Arial"/>
                <w:b/>
                <w:bCs/>
                <w:color w:val="1A3A5C"/>
                <w:sz w:val="21"/>
                <w:szCs w:val="21"/>
              </w:rPr>
              <w:t>▌ 玩家五区联动指挥桌</w:t>
            </w:r>
          </w:p>
          <w:p w14:paraId="50800777">
            <w:pPr>
              <w:spacing w:before="16" w:after="16"/>
            </w:pPr>
            <w:r>
              <w:rPr>
                <w:rFonts w:ascii="Courier New" w:hAnsi="Courier New" w:eastAsia="Courier New" w:cs="Courier New"/>
                <w:color w:val="1A2233"/>
                <w:sz w:val="19"/>
                <w:szCs w:val="19"/>
              </w:rPr>
              <w:t xml:space="preserve">  玩家「五区联动指挥桌」界面布局</w:t>
            </w:r>
          </w:p>
          <w:p w14:paraId="4443FD96">
            <w:pPr>
              <w:spacing w:before="16" w:after="16"/>
            </w:pPr>
            <w:r>
              <w:rPr>
                <w:rFonts w:ascii="Courier New" w:hAnsi="Courier New" w:eastAsia="Courier New" w:cs="Courier New"/>
                <w:color w:val="1A2233"/>
                <w:sz w:val="19"/>
                <w:szCs w:val="19"/>
              </w:rPr>
              <w:t xml:space="preserve">  ════════════════════════════════════════════════════════════════</w:t>
            </w:r>
          </w:p>
          <w:p w14:paraId="0E5677E1">
            <w:pPr>
              <w:spacing w:before="16" w:after="16"/>
            </w:pPr>
          </w:p>
          <w:p w14:paraId="68AEAC99">
            <w:pPr>
              <w:spacing w:before="16" w:after="16"/>
            </w:pPr>
            <w:r>
              <w:rPr>
                <w:rFonts w:ascii="Courier New" w:hAnsi="Courier New" w:eastAsia="Courier New" w:cs="Courier New"/>
                <w:color w:val="1A2233"/>
                <w:sz w:val="19"/>
                <w:szCs w:val="19"/>
              </w:rPr>
              <w:t xml:space="preserve">  ┌──────────────────┬──────────────────────┬───────────────────┐</w:t>
            </w:r>
          </w:p>
          <w:p w14:paraId="16FCAC92">
            <w:pPr>
              <w:spacing w:before="16" w:after="16"/>
            </w:pPr>
            <w:r>
              <w:rPr>
                <w:rFonts w:ascii="Courier New" w:hAnsi="Courier New" w:eastAsia="Courier New" w:cs="Courier New"/>
                <w:color w:val="1A2233"/>
                <w:sz w:val="19"/>
                <w:szCs w:val="19"/>
              </w:rPr>
              <w:t xml:space="preserve">  │   情境信息区      │     决策操作区        │    通信频道区     │</w:t>
            </w:r>
          </w:p>
          <w:p w14:paraId="737FED29">
            <w:pPr>
              <w:spacing w:before="16" w:after="16"/>
            </w:pPr>
            <w:r>
              <w:rPr>
                <w:rFonts w:ascii="Courier New" w:hAnsi="Courier New" w:eastAsia="Courier New" w:cs="Courier New"/>
                <w:color w:val="1A2233"/>
                <w:sz w:val="19"/>
                <w:szCs w:val="19"/>
              </w:rPr>
              <w:t xml:space="preserve">  │                  │                      │                   │</w:t>
            </w:r>
          </w:p>
          <w:p w14:paraId="66D8082A">
            <w:pPr>
              <w:spacing w:before="16" w:after="16"/>
            </w:pPr>
            <w:r>
              <w:rPr>
                <w:rFonts w:ascii="Courier New" w:hAnsi="Courier New" w:eastAsia="Courier New" w:cs="Courier New"/>
                <w:color w:val="1A2233"/>
                <w:sz w:val="19"/>
                <w:szCs w:val="19"/>
              </w:rPr>
              <w:t xml:space="preserve">  │  [场景进展]       │  当前决策节点:        │  [公开频道]       │</w:t>
            </w:r>
          </w:p>
          <w:p w14:paraId="65AFB9ED">
            <w:pPr>
              <w:spacing w:before="16" w:after="16"/>
            </w:pPr>
            <w:r>
              <w:rPr>
                <w:rFonts w:ascii="Courier New" w:hAnsi="Courier New" w:eastAsia="Courier New" w:cs="Courier New"/>
                <w:color w:val="1A2233"/>
                <w:sz w:val="19"/>
                <w:szCs w:val="19"/>
              </w:rPr>
              <w:t xml:space="preserve">  │  阶段3 / 共5阶段  │  D3.2                │  所有角色可见     │</w:t>
            </w:r>
          </w:p>
          <w:p w14:paraId="1BEFD9E3">
            <w:pPr>
              <w:spacing w:before="16" w:after="16"/>
            </w:pPr>
            <w:r>
              <w:rPr>
                <w:rFonts w:ascii="Courier New" w:hAnsi="Courier New" w:eastAsia="Courier New" w:cs="Courier New"/>
                <w:color w:val="1A2233"/>
                <w:sz w:val="19"/>
                <w:szCs w:val="19"/>
              </w:rPr>
              <w:t xml:space="preserve">  │  第2轮           │  是否联署向上提交？  │  ─────────────── │</w:t>
            </w:r>
          </w:p>
          <w:p w14:paraId="52790F16">
            <w:pPr>
              <w:spacing w:before="16" w:after="16"/>
            </w:pPr>
            <w:r>
              <w:rPr>
                <w:rFonts w:ascii="Courier New" w:hAnsi="Courier New" w:eastAsia="Courier New" w:cs="Courier New"/>
                <w:color w:val="1A2233"/>
                <w:sz w:val="19"/>
                <w:szCs w:val="19"/>
              </w:rPr>
              <w:t xml:space="preserve">  │                  │                      │  [私信]           │</w:t>
            </w:r>
          </w:p>
          <w:p w14:paraId="1FFA7DB6">
            <w:pPr>
              <w:spacing w:before="16" w:after="16"/>
            </w:pPr>
            <w:r>
              <w:rPr>
                <w:rFonts w:ascii="Courier New" w:hAnsi="Courier New" w:eastAsia="Courier New" w:cs="Courier New"/>
                <w:color w:val="1A2233"/>
                <w:sz w:val="19"/>
                <w:szCs w:val="19"/>
              </w:rPr>
              <w:t xml:space="preserve">  │  [事件卡通知]     │  [选项A] ↑ARC+4      │  点对点私下沟通   │</w:t>
            </w:r>
          </w:p>
          <w:p w14:paraId="570F63A0">
            <w:pPr>
              <w:spacing w:before="16" w:after="16"/>
            </w:pPr>
            <w:r>
              <w:rPr>
                <w:rFonts w:ascii="Courier New" w:hAnsi="Courier New" w:eastAsia="Courier New" w:cs="Courier New"/>
                <w:color w:val="1A2233"/>
                <w:sz w:val="19"/>
                <w:szCs w:val="19"/>
              </w:rPr>
              <w:t xml:space="preserve">  │  最新事件内容     │  [选项B] ↑IGA+3      │  ─────────────── │</w:t>
            </w:r>
          </w:p>
          <w:p w14:paraId="3660DFEA">
            <w:pPr>
              <w:spacing w:before="16" w:after="16"/>
            </w:pPr>
            <w:r>
              <w:rPr>
                <w:rFonts w:ascii="Courier New" w:hAnsi="Courier New" w:eastAsia="Courier New" w:cs="Courier New"/>
                <w:color w:val="1A2233"/>
                <w:sz w:val="19"/>
                <w:szCs w:val="19"/>
              </w:rPr>
              <w:t xml:space="preserve">  │  （可滚动查看历史）│  [选项C] ↑CLR+2     │  [联署发起]       │</w:t>
            </w:r>
          </w:p>
          <w:p w14:paraId="20BE817E">
            <w:pPr>
              <w:spacing w:before="16" w:after="16"/>
            </w:pPr>
            <w:r>
              <w:rPr>
                <w:rFonts w:ascii="Courier New" w:hAnsi="Courier New" w:eastAsia="Courier New" w:cs="Courier New"/>
                <w:color w:val="1A2233"/>
                <w:sz w:val="19"/>
                <w:szCs w:val="19"/>
              </w:rPr>
              <w:t xml:space="preserve">  │                  │  [选项D] 弃权         │  多角色联合行动   │</w:t>
            </w:r>
          </w:p>
          <w:p w14:paraId="331FBA34">
            <w:pPr>
              <w:spacing w:before="16" w:after="16"/>
            </w:pPr>
            <w:r>
              <w:rPr>
                <w:rFonts w:ascii="Courier New" w:hAnsi="Courier New" w:eastAsia="Courier New" w:cs="Courier New"/>
                <w:color w:val="1A2233"/>
                <w:sz w:val="19"/>
                <w:szCs w:val="19"/>
              </w:rPr>
              <w:t xml:space="preserve">  │  [独占信息]       │  [+ 我有其他方案]    │                   │</w:t>
            </w:r>
          </w:p>
          <w:p w14:paraId="0BE5828C">
            <w:pPr>
              <w:spacing w:before="16" w:after="16"/>
            </w:pPr>
            <w:r>
              <w:rPr>
                <w:rFonts w:ascii="Courier New" w:hAnsi="Courier New" w:eastAsia="Courier New" w:cs="Courier New"/>
                <w:color w:val="1A2233"/>
                <w:sz w:val="19"/>
                <w:szCs w:val="19"/>
              </w:rPr>
              <w:t xml:space="preserve">  │  仅本角色可见     │                      │                   │</w:t>
            </w:r>
          </w:p>
          <w:p w14:paraId="217A7395">
            <w:pPr>
              <w:spacing w:before="16" w:after="16"/>
            </w:pPr>
            <w:r>
              <w:rPr>
                <w:rFonts w:ascii="Courier New" w:hAnsi="Courier New" w:eastAsia="Courier New" w:cs="Courier New"/>
                <w:color w:val="1A2233"/>
                <w:sz w:val="19"/>
                <w:szCs w:val="19"/>
              </w:rPr>
              <w:t xml:space="preserve">  |  |                  |  [查看理论依据]    |                   |</w:t>
            </w:r>
          </w:p>
          <w:p w14:paraId="47C96338">
            <w:pPr>
              <w:spacing w:before="16" w:after="16"/>
            </w:pPr>
            <w:r>
              <w:rPr>
                <w:rFonts w:ascii="Courier New" w:hAnsi="Courier New" w:eastAsia="Courier New" w:cs="Courier New"/>
                <w:color w:val="1A2233"/>
                <w:sz w:val="19"/>
                <w:szCs w:val="19"/>
              </w:rPr>
              <w:t xml:space="preserve">  ├──────────────────┴──────────────────────┴───────────────────┤</w:t>
            </w:r>
          </w:p>
          <w:p w14:paraId="52102794">
            <w:pPr>
              <w:spacing w:before="16" w:after="16"/>
            </w:pPr>
            <w:r>
              <w:rPr>
                <w:rFonts w:ascii="Courier New" w:hAnsi="Courier New" w:eastAsia="Courier New" w:cs="Courier New"/>
                <w:color w:val="1A2233"/>
                <w:sz w:val="19"/>
                <w:szCs w:val="19"/>
              </w:rPr>
              <w:t xml:space="preserve">  │                     指标仪表盘区                              │</w:t>
            </w:r>
          </w:p>
          <w:p w14:paraId="3E7361C1">
            <w:pPr>
              <w:spacing w:before="16" w:after="16"/>
            </w:pPr>
            <w:r>
              <w:rPr>
                <w:rFonts w:ascii="Courier New" w:hAnsi="Courier New" w:eastAsia="Courier New" w:cs="Courier New"/>
                <w:color w:val="1A2233"/>
                <w:sz w:val="19"/>
                <w:szCs w:val="19"/>
              </w:rPr>
              <w:t xml:space="preserve">  │                                                               │</w:t>
            </w:r>
          </w:p>
          <w:p w14:paraId="005C1872">
            <w:pPr>
              <w:spacing w:before="16" w:after="16"/>
            </w:pPr>
            <w:r>
              <w:rPr>
                <w:rFonts w:ascii="Courier New" w:hAnsi="Courier New" w:eastAsia="Courier New" w:cs="Courier New"/>
                <w:color w:val="1A2233"/>
                <w:sz w:val="19"/>
                <w:szCs w:val="19"/>
              </w:rPr>
              <w:t xml:space="preserve">  │  [五维雷达图]  CLR=65 IGA=52 PSR=58 ARC=71 STS=45           │</w:t>
            </w:r>
          </w:p>
          <w:p w14:paraId="76CE9F54">
            <w:pPr>
              <w:spacing w:before="16" w:after="16"/>
            </w:pPr>
            <w:r>
              <w:rPr>
                <w:rFonts w:ascii="Courier New" w:hAnsi="Courier New" w:eastAsia="Courier New" w:cs="Courier New"/>
                <w:color w:val="1A2233"/>
                <w:sz w:val="19"/>
                <w:szCs w:val="19"/>
              </w:rPr>
              <w:t xml:space="preserve">  │  [时序折线图]  查看各维度历史变化趋势                         │</w:t>
            </w:r>
          </w:p>
          <w:p w14:paraId="0A24E000">
            <w:pPr>
              <w:spacing w:before="16" w:after="16"/>
            </w:pPr>
            <w:r>
              <w:rPr>
                <w:rFonts w:ascii="Courier New" w:hAnsi="Courier New" w:eastAsia="Courier New" w:cs="Courier New"/>
                <w:color w:val="1A2233"/>
                <w:sz w:val="19"/>
                <w:szCs w:val="19"/>
              </w:rPr>
              <w:t xml:space="preserve">  │  [督察倒计时]  剩余约2.5轮                                   │</w:t>
            </w:r>
          </w:p>
          <w:p w14:paraId="33A29002">
            <w:pPr>
              <w:spacing w:before="16" w:after="16"/>
            </w:pPr>
            <w:r>
              <w:rPr>
                <w:rFonts w:ascii="Courier New" w:hAnsi="Courier New" w:eastAsia="Courier New" w:cs="Courier New"/>
                <w:color w:val="1A2233"/>
                <w:sz w:val="19"/>
                <w:szCs w:val="19"/>
              </w:rPr>
              <w:t xml:space="preserve">  └───────────────────────────────────────────────────────────────┘</w:t>
            </w:r>
          </w:p>
        </w:tc>
      </w:tr>
    </w:tbl>
    <w:p w14:paraId="4E2CEE02">
      <w:pPr>
        <w:spacing w:before="60" w:after="60"/>
      </w:pPr>
    </w:p>
    <w:p w14:paraId="1EF12CEE">
      <w:pPr>
        <w:spacing w:before="80" w:after="80"/>
        <w:jc w:val="both"/>
      </w:pPr>
      <w:r>
        <w:rPr>
          <w:rFonts w:ascii="Arial" w:hAnsi="Arial" w:eastAsia="Arial" w:cs="Arial"/>
          <w:b w:val="0"/>
          <w:bCs w:val="0"/>
          <w:color w:val="111111"/>
          <w:sz w:val="22"/>
          <w:szCs w:val="22"/>
        </w:rPr>
        <w:t>情境信息区是玩家的「情报中心」：显示当前阶段编号和进展（如「阶段3，第2轮行动」）、最新事件卡通知（由系统推送，自动滚动到最新）和自己的独占信息（其他角色不可见，以独特颜色标识）。</w:t>
      </w:r>
    </w:p>
    <w:p w14:paraId="546F5A10">
      <w:pPr>
        <w:spacing w:before="80" w:after="80"/>
        <w:jc w:val="both"/>
      </w:pPr>
      <w:r>
        <w:rPr>
          <w:rFonts w:ascii="Arial" w:hAnsi="Arial" w:eastAsia="Arial" w:cs="Arial"/>
          <w:b w:val="0"/>
          <w:bCs w:val="0"/>
          <w:color w:val="111111"/>
          <w:sz w:val="22"/>
          <w:szCs w:val="22"/>
        </w:rPr>
        <w:t>决策操作区是玩家的「行动中心」：显示当前决策节点的问题描述（约50—100字）和由RAG生成的2—6个行动选项。每个选项卡片展示：选项文本（约60—100字的具体行动描述）、行动类型标签（12类之一）、风险等级（1—5星）和预期五维指标影响（正负箭头加强度说明）。玩家可点击「📖 查看理论依据」展开该选项的文献来源——这是平台循证决策机制的具体体现，玩家可以了解每个选项背后的学术依据再做决定。</w:t>
      </w:r>
    </w:p>
    <w:p w14:paraId="2427F489">
      <w:pPr>
        <w:spacing w:before="80" w:after="80"/>
        <w:jc w:val="both"/>
      </w:pPr>
      <w:r>
        <w:rPr>
          <w:rFonts w:ascii="Arial" w:hAnsi="Arial" w:eastAsia="Arial" w:cs="Arial"/>
          <w:b w:val="0"/>
          <w:bCs w:val="0"/>
          <w:color w:val="111111"/>
          <w:sz w:val="22"/>
          <w:szCs w:val="22"/>
        </w:rPr>
        <w:t>如果教师开放了自定义选项功能，玩家还可以点击「我有其他方案」，在文本框中输入自己设计的行动（300字以内）。提交后经制度合规验证器检查，通过的自定义选项与RAG选项并列展示，以不同颜色标识区分来源。</w:t>
      </w:r>
    </w:p>
    <w:p w14:paraId="0362DEF7">
      <w:pPr>
        <w:spacing w:before="120" w:after="120"/>
      </w:pPr>
    </w:p>
    <w:p w14:paraId="0447197B">
      <w:pPr>
        <w:pStyle w:val="3"/>
        <w:spacing w:before="320" w:after="140"/>
      </w:pPr>
      <w:r>
        <w:rPr>
          <w:rFonts w:ascii="Arial" w:hAnsi="Arial" w:eastAsia="Arial" w:cs="Arial"/>
          <w:b/>
          <w:bCs/>
          <w:color w:val="174A7E"/>
          <w:sz w:val="25"/>
          <w:szCs w:val="25"/>
        </w:rPr>
        <w:t>15.3 通信频道的使用</w:t>
      </w:r>
    </w:p>
    <w:p w14:paraId="4EF7C340">
      <w:pPr>
        <w:spacing w:before="80" w:after="80"/>
        <w:jc w:val="both"/>
      </w:pPr>
      <w:r>
        <w:rPr>
          <w:rFonts w:ascii="Arial" w:hAnsi="Arial" w:eastAsia="Arial" w:cs="Arial"/>
          <w:b w:val="0"/>
          <w:bCs w:val="0"/>
          <w:color w:val="111111"/>
          <w:sz w:val="22"/>
          <w:szCs w:val="22"/>
        </w:rPr>
        <w:t>通信频道分为三种，服务于不同的互动场景，规则不同。</w:t>
      </w:r>
    </w:p>
    <w:p w14:paraId="00768B22">
      <w:pPr>
        <w:spacing w:before="80" w:after="80"/>
        <w:jc w:val="both"/>
      </w:pPr>
      <w:r>
        <w:rPr>
          <w:rFonts w:ascii="Arial" w:hAnsi="Arial" w:eastAsia="Arial" w:cs="Arial"/>
          <w:b w:val="0"/>
          <w:bCs w:val="0"/>
          <w:color w:val="111111"/>
          <w:sz w:val="22"/>
          <w:szCs w:val="22"/>
        </w:rPr>
        <w:t>公开频道类似于正式会议记录或公开声明：所有角色发送的消息对全体玩家可见，一旦发出不可撤回。公开频道用于：官方立场表态、向特定角色发出公开请求、启动联署提议（联署邀请须在公开频道发出）、公开披露信息（如宣布向媒体提供数据）。</w:t>
      </w:r>
    </w:p>
    <w:p w14:paraId="37E57CE2">
      <w:pPr>
        <w:spacing w:before="80" w:after="80"/>
        <w:jc w:val="both"/>
      </w:pPr>
      <w:r>
        <w:rPr>
          <w:rFonts w:ascii="Arial" w:hAnsi="Arial" w:eastAsia="Arial" w:cs="Arial"/>
          <w:b w:val="0"/>
          <w:bCs w:val="0"/>
          <w:color w:val="111111"/>
          <w:sz w:val="22"/>
          <w:szCs w:val="22"/>
        </w:rPr>
        <w:t>私信频道仅对发送方和接收方可见（主持人/研究者可查看全部私信，玩家在进入前已被告知这一点）。私信用于非正式沟通、策略协商和敏感信息交换，模拟现实中的非正式政治互动（走廊对话、私下电话等）。私信频道在研究中是重要的行为观察窗口，研究者可以通过私信频道分析信息的不对称流动和非正式联盟形成过程。</w:t>
      </w:r>
    </w:p>
    <w:p w14:paraId="17DD6091">
      <w:pPr>
        <w:spacing w:before="80" w:after="80"/>
        <w:jc w:val="both"/>
      </w:pPr>
      <w:r>
        <w:rPr>
          <w:rFonts w:ascii="Arial" w:hAnsi="Arial" w:eastAsia="Arial" w:cs="Arial"/>
          <w:b w:val="0"/>
          <w:bCs w:val="0"/>
          <w:color w:val="111111"/>
          <w:sz w:val="22"/>
          <w:szCs w:val="22"/>
        </w:rPr>
        <w:t>联署频道用于发起和响应正式的多角色联合行动。发起方点击「发起联署」，填写联署内容（联合声明、联合报告或联署申请），选择邀请参与的角色，设置联署有效期（1—3轮）。被邀请角色在决策界面顶部收到联署邀请卡，接受或拒绝。达到场景配置中设定的最低联署人数后联署生效，系统自动在公开频道广播联署结果，并按联署效果更新相关指标（通常是IGA显著提升）。</w:t>
      </w:r>
    </w:p>
    <w:p w14:paraId="00C93F15">
      <w:pPr>
        <w:spacing w:before="120" w:after="120"/>
      </w:pPr>
    </w:p>
    <w:p w14:paraId="32C3E061">
      <w:pPr>
        <w:pStyle w:val="3"/>
        <w:spacing w:before="320" w:after="140"/>
      </w:pPr>
      <w:r>
        <w:rPr>
          <w:rFonts w:ascii="Arial" w:hAnsi="Arial" w:eastAsia="Arial" w:cs="Arial"/>
          <w:b/>
          <w:bCs/>
          <w:color w:val="174A7E"/>
          <w:sz w:val="25"/>
          <w:szCs w:val="25"/>
        </w:rPr>
        <w:t>15.4 推演结束后：个人复盘与学习</w:t>
      </w:r>
    </w:p>
    <w:p w14:paraId="12C6A928">
      <w:pPr>
        <w:spacing w:before="80" w:after="80"/>
        <w:jc w:val="both"/>
      </w:pPr>
      <w:r>
        <w:rPr>
          <w:rFonts w:ascii="Arial" w:hAnsi="Arial" w:eastAsia="Arial" w:cs="Arial"/>
          <w:b w:val="0"/>
          <w:bCs w:val="0"/>
          <w:color w:val="111111"/>
          <w:sz w:val="22"/>
          <w:szCs w:val="22"/>
        </w:rPr>
        <w:t>推演结束后，玩家进入「个人复盘」页面。根据教师的配置，玩家可以查看以下内容（各项内容是否展示由教师在配置阶段决定）。</w:t>
      </w:r>
    </w:p>
    <w:p w14:paraId="51D7E419">
      <w:pPr>
        <w:spacing w:before="80" w:after="80"/>
        <w:jc w:val="both"/>
      </w:pPr>
      <w:r>
        <w:rPr>
          <w:rFonts w:ascii="Arial" w:hAnsi="Arial" w:eastAsia="Arial" w:cs="Arial"/>
          <w:b w:val="0"/>
          <w:bCs w:val="0"/>
          <w:color w:val="111111"/>
          <w:sz w:val="22"/>
          <w:szCs w:val="22"/>
        </w:rPr>
        <w:t>决策轨迹回放：按时间顺序展示自己做出的每个决策，以及当时面临的完整选项集和每个选项的文献依据。这一功能让玩家在回顾时看到自己「当时还有哪些其他选择」，是反思性学习的重要载体（Kolb, 1984）。</w:t>
      </w:r>
    </w:p>
    <w:p w14:paraId="3E88CBC8">
      <w:pPr>
        <w:spacing w:before="80" w:after="80"/>
        <w:jc w:val="both"/>
      </w:pPr>
      <w:r>
        <w:rPr>
          <w:rFonts w:ascii="Arial" w:hAnsi="Arial" w:eastAsia="Arial" w:cs="Arial"/>
          <w:b w:val="0"/>
          <w:bCs w:val="0"/>
          <w:color w:val="111111"/>
          <w:sz w:val="22"/>
          <w:szCs w:val="22"/>
        </w:rPr>
        <w:t>指标贡献分析：展示自己的决策对五维指标的贡献，以及与其他角色的对比（若教师开放了跨角色对比功能，则以匿名形式显示其他玩家的数据）。</w:t>
      </w:r>
    </w:p>
    <w:p w14:paraId="5871348E">
      <w:pPr>
        <w:spacing w:before="80" w:after="80"/>
        <w:jc w:val="both"/>
      </w:pPr>
      <w:r>
        <w:rPr>
          <w:rFonts w:ascii="Arial" w:hAnsi="Arial" w:eastAsia="Arial" w:cs="Arial"/>
          <w:b w:val="0"/>
          <w:bCs w:val="0"/>
          <w:color w:val="111111"/>
          <w:sz w:val="22"/>
          <w:szCs w:val="22"/>
        </w:rPr>
        <w:t>文献查阅记录：列出自己在推演中主动查阅过的文献，附每篇文献摘要和DOI链接，支持直接跳转百晓生平台阅读全文。这一设计将游戏体验转化为学术阅读入口。</w:t>
      </w:r>
    </w:p>
    <w:p w14:paraId="78C6C351">
      <w:pPr>
        <w:spacing w:before="80" w:after="80"/>
        <w:jc w:val="both"/>
      </w:pPr>
      <w:r>
        <w:rPr>
          <w:rFonts w:ascii="Arial" w:hAnsi="Arial" w:eastAsia="Arial" w:cs="Arial"/>
          <w:b w:val="0"/>
          <w:bCs w:val="0"/>
          <w:color w:val="111111"/>
          <w:sz w:val="22"/>
          <w:szCs w:val="22"/>
        </w:rPr>
        <w:t>AI个人复盘报告：平台LLM根据玩家全程行为数据生成约800—1200字的个性化反思报告，内容包含：行为风格诊断（决策模式的主要特征描述）、关键节点分析（3—5个决策节点的深度分析，包含反事实推演——若选了另一个选项会有什么不同）、理论关联（将玩家的行为模式与相关理论命题连接）、个性化建议（针对该玩家的具体行为提出提升建议）。AI报告不构成最终评分，而是辅助反思的学习工具。</w:t>
      </w:r>
    </w:p>
    <w:p w14:paraId="46DB7612">
      <w:pPr>
        <w:spacing w:before="120" w:after="120"/>
      </w:pPr>
    </w:p>
    <w:p w14:paraId="07721E3C">
      <w:pPr>
        <w:spacing w:before="120" w:after="120"/>
      </w:pPr>
    </w:p>
    <w:p w14:paraId="7261BFF1">
      <w:pPr>
        <w:spacing w:before="120" w:after="120"/>
      </w:pPr>
    </w:p>
    <w:p w14:paraId="0481C124">
      <w:pPr>
        <w:spacing w:before="120" w:after="120"/>
      </w:pPr>
    </w:p>
    <w:p w14:paraId="4AEC8272">
      <w:pPr>
        <w:spacing w:before="120" w:after="120"/>
      </w:pPr>
    </w:p>
    <w:p w14:paraId="2C5E3FB8">
      <w:pPr>
        <w:spacing w:before="120" w:after="120"/>
      </w:pPr>
    </w:p>
    <w:p w14:paraId="189D27EA">
      <w:pPr>
        <w:spacing w:before="120" w:after="120"/>
      </w:pPr>
    </w:p>
    <w:p w14:paraId="136F6446">
      <w:pPr>
        <w:spacing w:before="120" w:after="120"/>
      </w:pPr>
    </w:p>
    <w:p w14:paraId="295FDC1F">
      <w:pPr>
        <w:spacing w:before="120" w:after="120"/>
      </w:pPr>
    </w:p>
    <w:p w14:paraId="1C6F2B57">
      <w:pPr>
        <w:spacing w:before="120" w:after="120"/>
      </w:pPr>
    </w:p>
    <w:p w14:paraId="4D17CB00">
      <w:pPr>
        <w:spacing w:before="120" w:after="120"/>
      </w:pPr>
    </w:p>
    <w:p w14:paraId="07D48528">
      <w:pPr>
        <w:spacing w:before="120" w:after="120"/>
      </w:pPr>
    </w:p>
    <w:p w14:paraId="1C6C640D">
      <w:pPr>
        <w:spacing w:before="120" w:after="120"/>
      </w:pPr>
    </w:p>
    <w:p w14:paraId="518CADA6">
      <w:pPr>
        <w:spacing w:before="120" w:after="120"/>
      </w:pPr>
    </w:p>
    <w:p w14:paraId="573EBC8D">
      <w:pPr>
        <w:spacing w:before="120" w:after="120"/>
      </w:pPr>
    </w:p>
    <w:p w14:paraId="71841AC4">
      <w:pPr>
        <w:spacing w:before="120" w:after="120"/>
      </w:pPr>
    </w:p>
    <w:p w14:paraId="32FDF3CE">
      <w:pPr>
        <w:spacing w:before="120" w:after="120"/>
      </w:pPr>
    </w:p>
    <w:p w14:paraId="1BFEA390">
      <w:pPr>
        <w:spacing w:before="120" w:after="120"/>
      </w:pPr>
    </w:p>
    <w:p w14:paraId="241477BF">
      <w:pPr>
        <w:spacing w:before="120" w:after="120"/>
      </w:pPr>
    </w:p>
    <w:p w14:paraId="1A923EF6">
      <w:pPr>
        <w:spacing w:before="120" w:after="120"/>
      </w:pPr>
    </w:p>
    <w:p w14:paraId="01E46E5D">
      <w:pPr>
        <w:spacing w:before="120" w:after="120"/>
      </w:pPr>
    </w:p>
    <w:p w14:paraId="754E56D6">
      <w:pPr>
        <w:spacing w:before="120" w:after="120"/>
      </w:pPr>
    </w:p>
    <w:p w14:paraId="34E105DC">
      <w:pPr>
        <w:spacing w:before="120" w:after="120"/>
      </w:pPr>
    </w:p>
    <w:p w14:paraId="4BC7EFEE">
      <w:pPr>
        <w:spacing w:before="120" w:after="120"/>
      </w:pPr>
    </w:p>
    <w:p w14:paraId="55AB2EE5">
      <w:pPr>
        <w:spacing w:before="120" w:after="120"/>
      </w:pPr>
    </w:p>
    <w:p w14:paraId="00483E7C">
      <w:pPr>
        <w:spacing w:before="120" w:after="120"/>
      </w:pPr>
    </w:p>
    <w:p w14:paraId="46CC2870">
      <w:pPr>
        <w:spacing w:before="120" w:after="120"/>
      </w:pPr>
    </w:p>
    <w:p w14:paraId="2DBF1173">
      <w:pPr>
        <w:spacing w:before="120" w:after="120"/>
      </w:pPr>
    </w:p>
    <w:p w14:paraId="7200AB6E">
      <w:pPr>
        <w:spacing w:before="240" w:after="240"/>
      </w:pPr>
    </w:p>
    <w:p w14:paraId="1653EFE2">
      <w:pPr>
        <w:spacing w:before="200" w:after="160"/>
        <w:jc w:val="center"/>
      </w:pPr>
      <w:r>
        <w:rPr>
          <w:rFonts w:ascii="Arial" w:hAnsi="Arial" w:eastAsia="Arial" w:cs="Arial"/>
          <w:b/>
          <w:bCs/>
          <w:color w:val="1A3A5C"/>
          <w:sz w:val="56"/>
          <w:szCs w:val="56"/>
        </w:rPr>
        <w:t>政通推演坊</w:t>
      </w:r>
    </w:p>
    <w:p w14:paraId="261861B1">
      <w:pPr>
        <w:spacing w:before="0" w:after="120"/>
        <w:jc w:val="center"/>
      </w:pPr>
      <w:r>
        <w:rPr>
          <w:rFonts w:ascii="Arial" w:hAnsi="Arial" w:eastAsia="Arial" w:cs="Arial"/>
          <w:b/>
          <w:bCs/>
          <w:color w:val="2469A0"/>
          <w:sz w:val="36"/>
          <w:szCs w:val="36"/>
        </w:rPr>
        <w:t>GovSim Studio</w:t>
      </w:r>
    </w:p>
    <w:p w14:paraId="08C7B84A">
      <w:pPr>
        <w:spacing w:before="0" w:after="200"/>
        <w:jc w:val="center"/>
      </w:pPr>
      <w:r>
        <w:rPr>
          <w:rFonts w:ascii="Arial" w:hAnsi="Arial" w:eastAsia="Arial" w:cs="Arial"/>
          <w:color w:val="334455"/>
          <w:sz w:val="26"/>
          <w:szCs w:val="26"/>
        </w:rPr>
        <w:t>基于知识库循证驱动的国家治理多人可配置严肃游戏平台</w:t>
      </w:r>
    </w:p>
    <w:p w14:paraId="654098E5">
      <w:pPr>
        <w:spacing w:before="0" w:after="600"/>
        <w:jc w:val="center"/>
      </w:pPr>
      <w:r>
        <w:rPr>
          <w:rFonts w:ascii="Arial" w:hAnsi="Arial" w:eastAsia="Arial" w:cs="Arial"/>
          <w:color w:val="446688"/>
          <w:sz w:val="22"/>
          <w:szCs w:val="22"/>
        </w:rPr>
        <w:t>申报书第五部分：技术路线 · 预期成果 · 项目预算 · 伦理说明 · 参考文献</w:t>
      </w:r>
    </w:p>
    <w:p w14:paraId="5965C9E2">
      <w:r>
        <w:br w:type="page"/>
      </w:r>
    </w:p>
    <w:p w14:paraId="47100AA0">
      <w:pPr>
        <w:pStyle w:val="2"/>
        <w:pBdr>
          <w:bottom w:val="single" w:color="1A3A5C" w:sz="8" w:space="2"/>
        </w:pBdr>
        <w:spacing w:before="440" w:after="200"/>
      </w:pPr>
      <w:r>
        <w:rPr>
          <w:rFonts w:ascii="Arial" w:hAnsi="Arial" w:eastAsia="Arial" w:cs="Arial"/>
          <w:b/>
          <w:bCs/>
          <w:color w:val="1A3A5C"/>
          <w:sz w:val="30"/>
          <w:szCs w:val="30"/>
        </w:rPr>
        <w:t>十六、技术开发路线与实施方案</w:t>
      </w:r>
    </w:p>
    <w:p w14:paraId="585B1B46">
      <w:pPr>
        <w:spacing w:before="80" w:after="80"/>
        <w:jc w:val="both"/>
      </w:pPr>
      <w:r>
        <w:rPr>
          <w:rFonts w:ascii="Arial" w:hAnsi="Arial" w:eastAsia="Arial" w:cs="Arial"/>
          <w:b w:val="0"/>
          <w:bCs w:val="0"/>
          <w:color w:val="111111"/>
          <w:sz w:val="22"/>
          <w:szCs w:val="22"/>
        </w:rPr>
        <w:t>政通推演坊的技术开发遵循「研究驱动开发」的核心原则，即每一个功能模块的技术规格由研究需求倒推，而非由工程便利正推。这一原则在实践中意味着：RAG管道的精度目标由研究中对「循证决策选项质量」的方法论要求设定，而非由工程团队估算；七类行为数据流的字段设计来自研究者的测量需求，而非数据库便利性；制度合规验证器的判断规则由公共管理学者参与制定，而非纯粹由工程师编写。这种研究与工程的深度耦合，使平台在技术实现上既服务于教学目标，又满足计算社会科学的方法论规范。</w:t>
      </w:r>
    </w:p>
    <w:p w14:paraId="10E3CAE9">
      <w:pPr>
        <w:spacing w:before="80" w:after="80"/>
        <w:jc w:val="both"/>
      </w:pPr>
      <w:r>
        <w:rPr>
          <w:rFonts w:ascii="Arial" w:hAnsi="Arial" w:eastAsia="Arial" w:cs="Arial"/>
          <w:b w:val="0"/>
          <w:bCs w:val="0"/>
          <w:color w:val="111111"/>
          <w:sz w:val="22"/>
          <w:szCs w:val="22"/>
        </w:rPr>
        <w:t>整体开发分为三个阶段，总周期约24个月。三个阶段不是简单的线性推进，而是采用螺旋式迭代：第一阶段完成核心引擎后即进行小规模试用，试用反馈直接推动第二阶段的功能扩展；第二阶段的研究使用经验反哺第三阶段的系统优化。这一迭代逻辑与严肃游戏设计领域的最佳实践高度吻合——Duke与Geurts（2004）在政策博弈设计的理论总结中指出，严肃游戏的设计质量与迭代测试的深度正相关，线性开发模式往往导致推演有效性的系统性低估。</w:t>
      </w:r>
    </w:p>
    <w:p w14:paraId="58C9FAB8">
      <w:pPr>
        <w:spacing w:before="60" w:after="60"/>
      </w:pPr>
    </w:p>
    <w:p w14:paraId="062E7757">
      <w:pPr>
        <w:pStyle w:val="3"/>
        <w:spacing w:before="320" w:after="140"/>
      </w:pPr>
      <w:r>
        <w:rPr>
          <w:rFonts w:ascii="Arial" w:hAnsi="Arial" w:eastAsia="Arial" w:cs="Arial"/>
          <w:b/>
          <w:bCs/>
          <w:color w:val="174A7E"/>
          <w:sz w:val="25"/>
          <w:szCs w:val="25"/>
        </w:rPr>
        <w:t>16.1 第一阶段（M1-M9）：核心引擎与旗舰场景</w:t>
      </w:r>
    </w:p>
    <w:p w14:paraId="62A01560">
      <w:pPr>
        <w:spacing w:before="80" w:after="80"/>
        <w:jc w:val="both"/>
      </w:pPr>
      <w:r>
        <w:rPr>
          <w:rFonts w:ascii="Arial" w:hAnsi="Arial" w:eastAsia="Arial" w:cs="Arial"/>
          <w:b w:val="0"/>
          <w:bCs w:val="0"/>
          <w:color w:val="111111"/>
          <w:sz w:val="22"/>
          <w:szCs w:val="22"/>
        </w:rPr>
        <w:t>第一阶段的核心任务是构建平台的技术地基和验证核心机制的可行性。具体内容分为五个子任务并行推进。</w:t>
      </w:r>
    </w:p>
    <w:p w14:paraId="5702CB72">
      <w:pPr>
        <w:spacing w:before="80" w:after="80"/>
        <w:jc w:val="both"/>
      </w:pPr>
      <w:r>
        <w:rPr>
          <w:rFonts w:ascii="Arial" w:hAnsi="Arial" w:eastAsia="Arial" w:cs="Arial"/>
          <w:b w:val="0"/>
          <w:bCs w:val="0"/>
          <w:color w:val="111111"/>
          <w:sz w:val="22"/>
          <w:szCs w:val="22"/>
        </w:rPr>
        <w:t>子任务一：框架底座编码（M1-M3）。六大制度模块的学术知识被转化为机器可执行的规则集，这是整个项目技术难度最高的环节之一。党政体制模块（M1）的编码需要将党政双轨结构中的权责关系、信息流规则和决策权限清单转化为JSON格式的约束集；央地关系模块（M2）的编码需要捕捉财政分权与行政集权之间的结构性张力，以及预算外资金的约束逻辑；府际关系模块（M3）的编码需要处理行政边界、属地管理原则和横向协调成本三者之间的相互作用。每个模块的编码都需要公共管理学者与工程师的联合作业：学者负责提炼制度规则的核心逻辑，工程师负责将其转化为可判断的条件语句。政策过程模块（M4）、问责督察模块（M5）和政社关系模块（M6）的编码计划在M4-M6月内完成。M1-M6月产出物：六大制度模块规则集（JSON格式，版本v1.0），以及对应的「制度合规验证器」代码模块（通过/警告/禁止三级判断，已通过单元测试）。</w:t>
      </w:r>
    </w:p>
    <w:p w14:paraId="6B2E9C83">
      <w:pPr>
        <w:spacing w:before="80" w:after="80"/>
        <w:jc w:val="both"/>
      </w:pPr>
      <w:r>
        <w:rPr>
          <w:rFonts w:ascii="Arial" w:hAnsi="Arial" w:eastAsia="Arial" w:cs="Arial"/>
          <w:b w:val="0"/>
          <w:bCs w:val="0"/>
          <w:color w:val="111111"/>
          <w:sz w:val="22"/>
          <w:szCs w:val="22"/>
        </w:rPr>
        <w:t>子任务二：RAG管道原型（M2-M5）。RAG管道的第一版实现聚焦于技术可行性验证：能否从百晓生知识库中实时检索到与决策情境高度相关的学术命题？能否将学术命题准确转化为符合角色权限的行动方案？原型阶段使用BGE-M3嵌入模型和ChromaDB向量数据库，对L1公共大库（目标500篇核心文献，覆盖7大主题）完成初始向量化。选项生成使用GPT-4o API，采用结构化输出模式确保10字段元数据的完整填充。原型阶段的验收标准包括：选项相关度（人工评估，要求≥75%的选项与情境「高度相关」）、命题保真度（原始学术命题的因果逻辑在转化为行动方案后的保留程度，要求≥80%）、生成延迟（决策节点RAG响应≤5秒，P95）。</w:t>
      </w:r>
    </w:p>
    <w:p w14:paraId="75B2B75B">
      <w:pPr>
        <w:spacing w:before="80" w:after="80"/>
        <w:jc w:val="both"/>
      </w:pPr>
      <w:r>
        <w:rPr>
          <w:rFonts w:ascii="Arial" w:hAnsi="Arial" w:eastAsia="Arial" w:cs="Arial"/>
          <w:b w:val="0"/>
          <w:bCs w:val="0"/>
          <w:color w:val="111111"/>
          <w:sz w:val="22"/>
          <w:szCs w:val="22"/>
        </w:rPr>
        <w:t>子任务三：游戏引擎核心（M3-M6）。推演引擎负责管理游戏状态、协调多玩家交互、触发事件和计算指标变化。技术选型：Python FastAPI处理REST API和WebSocket双工通信；有限状态机（FSM）管理11个状态节点和18条转换边；Redis缓存游戏实时状态并充当WebSocket消息队列。五维指标计算引擎实现基础效果公式（ΔD = base_effect × role_weight × context_modifier × history_factor）和五条溢出交互规则，全部通过单元测试。M6月产出物：游戏引擎核心模块，支持2-12名玩家、5阶段×3轮的完整推演流程，断线重连功能可用。</w:t>
      </w:r>
    </w:p>
    <w:p w14:paraId="245A0216">
      <w:pPr>
        <w:spacing w:before="80" w:after="80"/>
        <w:jc w:val="both"/>
      </w:pPr>
      <w:r>
        <w:rPr>
          <w:rFonts w:ascii="Arial" w:hAnsi="Arial" w:eastAsia="Arial" w:cs="Arial"/>
          <w:b w:val="0"/>
          <w:bCs w:val="0"/>
          <w:color w:val="111111"/>
          <w:sz w:val="22"/>
          <w:szCs w:val="22"/>
        </w:rPr>
        <w:t>子任务四：旗舰场景「清河记」完整实现（M5-M8）。旗舰场景作为平台能力的完整展示，是验证所有模块协同工作效果的集成测试床。清河记场景包含14个角色（8个玩家角色+6个NPC角色）、5个推演阶段、20张事件卡和约80个决策节点，其RAG选项完全由百晓生知识库的L2「跨域环境治理」专题库提炼，同时包含教师可自主扩展的L3私有库接口。M8月产出物：清河记场景配置文件（JSON格式）、完整事件卡库、NPC行为规则集和教师使用手册草稿。</w:t>
      </w:r>
    </w:p>
    <w:p w14:paraId="3BBB2CDA">
      <w:pPr>
        <w:spacing w:before="80" w:after="80"/>
        <w:jc w:val="both"/>
      </w:pPr>
      <w:r>
        <w:rPr>
          <w:rFonts w:ascii="Arial" w:hAnsi="Arial" w:eastAsia="Arial" w:cs="Arial"/>
          <w:b w:val="0"/>
          <w:bCs w:val="0"/>
          <w:color w:val="111111"/>
          <w:sz w:val="22"/>
          <w:szCs w:val="22"/>
        </w:rPr>
        <w:t>子任务五：用户界面（M4-M9）。平台分为三套界面：配置端（教师/研究者使用，React 18 + Next.js 14，9步配置工作流）、玩家端（实时推演界面，React 18 + WebSocket，五区联动指挥桌）、分析端（复盘与研究，数据可视化，recharts + d3-force）。第一阶段完成功能性原型界面，不追求视觉精细度，优先确保所有功能可用。M9月节点：第一阶段Alpha版本发布，内部测试开始。</w:t>
      </w:r>
    </w:p>
    <w:p w14:paraId="7D74B203">
      <w:pPr>
        <w:spacing w:before="60" w:after="60"/>
      </w:pPr>
    </w:p>
    <w:p w14:paraId="7B79514E">
      <w:pPr>
        <w:pStyle w:val="3"/>
        <w:spacing w:before="320" w:after="140"/>
      </w:pPr>
      <w:r>
        <w:rPr>
          <w:rFonts w:ascii="Arial" w:hAnsi="Arial" w:eastAsia="Arial" w:cs="Arial"/>
          <w:b/>
          <w:bCs/>
          <w:color w:val="174A7E"/>
          <w:sz w:val="25"/>
          <w:szCs w:val="25"/>
        </w:rPr>
        <w:t>16.2 第二阶段（M10-M18）：功能扩展与研究部署</w:t>
      </w:r>
    </w:p>
    <w:p w14:paraId="554E72DC">
      <w:pPr>
        <w:spacing w:before="80" w:after="80"/>
        <w:jc w:val="both"/>
      </w:pPr>
      <w:r>
        <w:rPr>
          <w:rFonts w:ascii="Arial" w:hAnsi="Arial" w:eastAsia="Arial" w:cs="Arial"/>
          <w:b w:val="0"/>
          <w:bCs w:val="0"/>
          <w:color w:val="111111"/>
          <w:sz w:val="22"/>
          <w:szCs w:val="22"/>
        </w:rPr>
        <w:t>第二阶段以Alpha版本的内部测试反馈为起点，进行有针对性的功能扩展，同时启动第一批正式教学和研究使用。这一阶段最重要的里程碑是实现「研究级数据采集能力」，即七类行为数据流的完整采集、存储和导出。</w:t>
      </w:r>
    </w:p>
    <w:p w14:paraId="0D603747">
      <w:pPr>
        <w:spacing w:before="80" w:after="80"/>
        <w:jc w:val="both"/>
      </w:pPr>
      <w:r>
        <w:rPr>
          <w:rFonts w:ascii="Arial" w:hAnsi="Arial" w:eastAsia="Arial" w:cs="Arial"/>
          <w:b w:val="0"/>
          <w:bCs w:val="0"/>
          <w:color w:val="111111"/>
          <w:sz w:val="22"/>
          <w:szCs w:val="22"/>
        </w:rPr>
        <w:t>功能扩展A：全参数可配置引擎完整实现。第一阶段的配置界面只实现了部分参数，第二阶段完成24个参数全部开放，并补充以下高级功能：参数冲突实时检测（当教师设置的参数组合在逻辑上存在矛盾时自动警告）、参数对推演时长的预估算法（根据参数配置自动估算完整推演所需时间，误差±15分钟）、「A/B场景」对比功能（同一研究项目下支持创建两个仅一个参数不同的场景版本，用于准实验设计）。</w:t>
      </w:r>
    </w:p>
    <w:p w14:paraId="4C458679">
      <w:pPr>
        <w:spacing w:before="80" w:after="80"/>
        <w:jc w:val="both"/>
      </w:pPr>
      <w:r>
        <w:rPr>
          <w:rFonts w:ascii="Arial" w:hAnsi="Arial" w:eastAsia="Arial" w:cs="Arial"/>
          <w:b w:val="0"/>
          <w:bCs w:val="0"/>
          <w:color w:val="111111"/>
          <w:sz w:val="22"/>
          <w:szCs w:val="22"/>
        </w:rPr>
        <w:t>功能扩展B：场景模板库建设。以清河记为旗舰，扩展另外7个种子场景（地方政府预算博弈、政策创新扩散、城乡基层矛盾调处、公共卫生应急协调、基础设施PPP谈判、数字政务改革推进、自然保护地管理权限冲突）。每个种子场景包含：完整的场景背景文本、8-12个预设角色（含KPI权重建议值）、15-20张事件卡、推荐参数配置、以及L2主题专库标注。重要的是，这8个种子场景不是强制使用的，而是为首次使用平台的教师/研究者提供「开箱即用」的起点，所有内容均可修改、替换或不使用。</w:t>
      </w:r>
    </w:p>
    <w:p w14:paraId="477328E6">
      <w:pPr>
        <w:spacing w:before="80" w:after="80"/>
        <w:jc w:val="both"/>
      </w:pPr>
      <w:r>
        <w:rPr>
          <w:rFonts w:ascii="Arial" w:hAnsi="Arial" w:eastAsia="Arial" w:cs="Arial"/>
          <w:b w:val="0"/>
          <w:bCs w:val="0"/>
          <w:color w:val="111111"/>
          <w:sz w:val="22"/>
          <w:szCs w:val="22"/>
        </w:rPr>
        <w:t>功能扩展C：研究模块完整实现。RCT随机化模块（完全随机/区组随机化可选，自动被试分组分配）、知识库版本快照（锁定研究期间的知识库状态）、跨批次数据管理（多批次实验数据的汇总与对比）、后测问卷嵌入（推演结束后自动弹出，支持Likert量表、多选、开放问答）、被试注意力检测（每15-20分钟随机弹出确认框）。此外，数据导出功能实现完整的七类行为数据流CSV导出，并提供数据字典（codebook）自动生成。</w:t>
      </w:r>
    </w:p>
    <w:p w14:paraId="31FC5C58">
      <w:pPr>
        <w:spacing w:before="80" w:after="80"/>
        <w:jc w:val="both"/>
      </w:pPr>
      <w:r>
        <w:rPr>
          <w:rFonts w:ascii="Arial" w:hAnsi="Arial" w:eastAsia="Arial" w:cs="Arial"/>
          <w:b w:val="0"/>
          <w:bCs w:val="0"/>
          <w:color w:val="111111"/>
          <w:sz w:val="22"/>
          <w:szCs w:val="22"/>
        </w:rPr>
        <w:t>功能扩展D：NPC行为引擎优化。第一阶段NPC使用纯规则决策树。第二阶段在规则层之上增加LLM层：当NPC遭遇同时满足多个冲突规则的复杂情境时（约占情境的20%），调用GPT-4o生成自然语言回应，并经制度合规验证器过滤后输出。LLM生成的NPC回应须在事前通过「角色一致性测试」——确保NPC的长期行为模式与角色设定的行为类型（保守/激进/合规/机会主义）保持一致。</w:t>
      </w:r>
    </w:p>
    <w:p w14:paraId="3B351610">
      <w:pPr>
        <w:spacing w:before="80" w:after="80"/>
        <w:jc w:val="both"/>
      </w:pPr>
      <w:r>
        <w:rPr>
          <w:rFonts w:ascii="Arial" w:hAnsi="Arial" w:eastAsia="Arial" w:cs="Arial"/>
          <w:b w:val="0"/>
          <w:bCs w:val="0"/>
          <w:color w:val="111111"/>
          <w:sz w:val="22"/>
          <w:szCs w:val="22"/>
        </w:rPr>
        <w:t>教学部署A（M12-M15）：与3-5所高校公共管理院系合作，在MPA课堂进行第一批正式教学应用。每所高校进行2-3次推演，收集教师和学生的使用体验反馈，重点测量：RAG选项质量的教师满意度、推演制度真实感的学员主观评价、平台操作难度的用户友好性评分。反馈数据直接推动M15月后的界面和功能优化。</w:t>
      </w:r>
    </w:p>
    <w:p w14:paraId="63D260F6">
      <w:pPr>
        <w:spacing w:before="80" w:after="80"/>
        <w:jc w:val="both"/>
      </w:pPr>
      <w:r>
        <w:rPr>
          <w:rFonts w:ascii="Arial" w:hAnsi="Arial" w:eastAsia="Arial" w:cs="Arial"/>
          <w:b w:val="0"/>
          <w:bCs w:val="0"/>
          <w:color w:val="111111"/>
          <w:sz w:val="22"/>
          <w:szCs w:val="22"/>
        </w:rPr>
        <w:t>研究部署B（M14-M18）：启动第一项正式研究——「问责压力对基层官员创新行为的挤出效应」实验（详见第十七节样本研究设计）。此项研究使用平台的RCT随机化模块，目标样本量80-120名政务专业背景被试。研究产出将作为第二阶段结束时的重要里程碑。</w:t>
      </w:r>
    </w:p>
    <w:p w14:paraId="304CD5FC">
      <w:pPr>
        <w:spacing w:before="60" w:after="60"/>
      </w:pPr>
    </w:p>
    <w:p w14:paraId="54E740D6">
      <w:pPr>
        <w:pStyle w:val="3"/>
        <w:spacing w:before="320" w:after="140"/>
      </w:pPr>
      <w:r>
        <w:rPr>
          <w:rFonts w:ascii="Arial" w:hAnsi="Arial" w:eastAsia="Arial" w:cs="Arial"/>
          <w:b/>
          <w:bCs/>
          <w:color w:val="174A7E"/>
          <w:sz w:val="25"/>
          <w:szCs w:val="25"/>
        </w:rPr>
        <w:t>16.3 第三阶段（M19-M24）：优化、开放与学术输出</w:t>
      </w:r>
    </w:p>
    <w:p w14:paraId="252B33A4">
      <w:pPr>
        <w:spacing w:before="80" w:after="80"/>
        <w:jc w:val="both"/>
      </w:pPr>
      <w:r>
        <w:rPr>
          <w:rFonts w:ascii="Arial" w:hAnsi="Arial" w:eastAsia="Arial" w:cs="Arial"/>
          <w:b w:val="0"/>
          <w:bCs w:val="0"/>
          <w:color w:val="111111"/>
          <w:sz w:val="22"/>
          <w:szCs w:val="22"/>
        </w:rPr>
        <w:t>第三阶段以第二阶段的教学和研究使用反馈为基础，进行系统性优化，并推动两项战略性的开放举措。</w:t>
      </w:r>
    </w:p>
    <w:p w14:paraId="60D290DA">
      <w:pPr>
        <w:spacing w:before="80" w:after="80"/>
        <w:jc w:val="both"/>
      </w:pPr>
      <w:r>
        <w:rPr>
          <w:rFonts w:ascii="Arial" w:hAnsi="Arial" w:eastAsia="Arial" w:cs="Arial"/>
          <w:b w:val="0"/>
          <w:bCs w:val="0"/>
          <w:color w:val="111111"/>
          <w:sz w:val="22"/>
          <w:szCs w:val="22"/>
        </w:rPr>
        <w:t>系统优化A：AI复盘报告引擎优化。第二阶段的复盘报告由单轮LLM生成，质量依赖prompt设计。第三阶段引入「多步骤推理链」（Chain-of-Thought）：先生成玩家行为模式摘要，再生成关键决策节点的反事实分析，再生成理论关联映射，最后综合生成报告。这一流程将报告的理论深度和个性化程度显著提升，并通过A/B测试验证效果（对比单步和多步生成报告的用户评分）。</w:t>
      </w:r>
    </w:p>
    <w:p w14:paraId="5E4BFACA">
      <w:pPr>
        <w:spacing w:before="80" w:after="80"/>
        <w:jc w:val="both"/>
      </w:pPr>
      <w:r>
        <w:rPr>
          <w:rFonts w:ascii="Arial" w:hAnsi="Arial" w:eastAsia="Arial" w:cs="Arial"/>
          <w:b w:val="0"/>
          <w:bCs w:val="0"/>
          <w:color w:val="111111"/>
          <w:sz w:val="22"/>
          <w:szCs w:val="22"/>
        </w:rPr>
        <w:t>系统优化B：性能与稳定性。压力测试目标：50名并发玩家同时进行推演，系统延迟&lt;2秒（P95）。完善断线重连机制、NPC行为缓存和RAG响应缓存（Redis，1小时TTL），将高频决策节点的选项生成延迟从5秒优化至2秒以内。</w:t>
      </w:r>
    </w:p>
    <w:p w14:paraId="201A3028">
      <w:pPr>
        <w:spacing w:before="80" w:after="80"/>
        <w:jc w:val="both"/>
      </w:pPr>
      <w:r>
        <w:rPr>
          <w:rFonts w:ascii="Arial" w:hAnsi="Arial" w:eastAsia="Arial" w:cs="Arial"/>
          <w:b w:val="0"/>
          <w:bCs w:val="0"/>
          <w:color w:val="111111"/>
          <w:sz w:val="22"/>
          <w:szCs w:val="22"/>
        </w:rPr>
        <w:t>开放举措A：场景贡献社区。建立「GovSim Commons」场景共享社区，允许教师和研究者将自己设计的场景配置文件（JSON格式）提交至社区库，经同行评审（3位同领域学者评审）后发布共享。社区场景库与官方种子场景区分标注，共享场景的原作者信息保留，支持学术引用。这一机制将平台的场景覆盖范围从官方的8个扩展至社区贡献的不限数量，同时通过同行评审保证质量门槛。</w:t>
      </w:r>
    </w:p>
    <w:p w14:paraId="2A73BD66">
      <w:pPr>
        <w:spacing w:before="80" w:after="80"/>
        <w:jc w:val="both"/>
      </w:pPr>
      <w:r>
        <w:rPr>
          <w:rFonts w:ascii="Arial" w:hAnsi="Arial" w:eastAsia="Arial" w:cs="Arial"/>
          <w:b w:val="0"/>
          <w:bCs w:val="0"/>
          <w:color w:val="111111"/>
          <w:sz w:val="22"/>
          <w:szCs w:val="22"/>
        </w:rPr>
        <w:t>开放举措B：行为数据集开放。将两年间积累的去标识化行为数据集整理并发布至国内社科数据共享平台（如北京大学开放研究数据平台或中国社科院数据中心）。数据集包含完整的数据字典和使用指南，供二次研究使用。数据集开放不仅产生学术影响力，也是计算社会科学基础设施建设的重要贡献——类似于ANES（美国国家选举研究）对政治行为研究的基础性意义，但聚焦于中国公共治理行为领域。</w:t>
      </w:r>
    </w:p>
    <w:p w14:paraId="16AC8993">
      <w:pPr>
        <w:spacing w:before="80" w:after="80"/>
        <w:jc w:val="both"/>
      </w:pPr>
      <w:r>
        <w:rPr>
          <w:rFonts w:ascii="Arial" w:hAnsi="Arial" w:eastAsia="Arial" w:cs="Arial"/>
          <w:b w:val="0"/>
          <w:bCs w:val="0"/>
          <w:color w:val="111111"/>
          <w:sz w:val="22"/>
          <w:szCs w:val="22"/>
        </w:rPr>
        <w:t>学术输出集中提交（M20-M24）：第三阶段是论文投稿的集中期。研究团队计划在这一阶段完成3篇核心论文的修改和投稿（详见第十七节），并准备在国内外重要学术会议（公共管理学会年会、中国政治学年会、计算社会科学国际会议）上进行成果报告。</w:t>
      </w:r>
    </w:p>
    <w:p w14:paraId="7BC1CEA5">
      <w:pPr>
        <w:spacing w:before="60" w:after="60"/>
      </w:pPr>
    </w:p>
    <w:p w14:paraId="031ABAD6">
      <w:pPr>
        <w:pStyle w:val="3"/>
        <w:spacing w:before="320" w:after="140"/>
      </w:pPr>
      <w:r>
        <w:rPr>
          <w:rFonts w:ascii="Arial" w:hAnsi="Arial" w:eastAsia="Arial" w:cs="Arial"/>
          <w:b/>
          <w:bCs/>
          <w:color w:val="174A7E"/>
          <w:sz w:val="25"/>
          <w:szCs w:val="25"/>
        </w:rPr>
        <w:t>16.4 技术架构全景图</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76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1A188410">
            <w:pPr>
              <w:spacing w:before="60" w:after="100"/>
            </w:pPr>
            <w:r>
              <w:rPr>
                <w:rFonts w:ascii="Arial" w:hAnsi="Arial" w:eastAsia="Arial" w:cs="Arial"/>
                <w:b/>
                <w:bCs/>
                <w:color w:val="1A3A5C"/>
                <w:sz w:val="21"/>
                <w:szCs w:val="21"/>
              </w:rPr>
              <w:t>▌ 技术架构全景</w:t>
            </w:r>
          </w:p>
          <w:p w14:paraId="7C964495">
            <w:pPr>
              <w:spacing w:before="16" w:after="16"/>
            </w:pPr>
            <w:r>
              <w:rPr>
                <w:rFonts w:ascii="Courier New" w:hAnsi="Courier New" w:eastAsia="Courier New" w:cs="Courier New"/>
                <w:color w:val="1A2233"/>
                <w:sz w:val="19"/>
                <w:szCs w:val="19"/>
              </w:rPr>
              <w:t xml:space="preserve">                 政通推演坊 GovSim Studio  技术四层架构</w:t>
            </w:r>
          </w:p>
          <w:p w14:paraId="3BDAA48D">
            <w:pPr>
              <w:spacing w:before="16" w:after="16"/>
            </w:pPr>
            <w:r>
              <w:rPr>
                <w:rFonts w:ascii="Courier New" w:hAnsi="Courier New" w:eastAsia="Courier New" w:cs="Courier New"/>
                <w:color w:val="1A2233"/>
                <w:sz w:val="19"/>
                <w:szCs w:val="19"/>
              </w:rPr>
              <w:t xml:space="preserve">  ═══════════════════════════════════════════════════════════════</w:t>
            </w:r>
          </w:p>
          <w:p w14:paraId="10048CC2">
            <w:pPr>
              <w:spacing w:before="16" w:after="16"/>
            </w:pPr>
          </w:p>
          <w:p w14:paraId="0F9AECB9">
            <w:pPr>
              <w:spacing w:before="16" w:after="16"/>
            </w:pPr>
            <w:r>
              <w:rPr>
                <w:rFonts w:ascii="Courier New" w:hAnsi="Courier New" w:eastAsia="Courier New" w:cs="Courier New"/>
                <w:color w:val="1A2233"/>
                <w:sz w:val="19"/>
                <w:szCs w:val="19"/>
              </w:rPr>
              <w:t xml:space="preserve">  ┌─────────────────────────────────────────────────────────────┐</w:t>
            </w:r>
          </w:p>
          <w:p w14:paraId="6D28BFC9">
            <w:pPr>
              <w:spacing w:before="16" w:after="16"/>
            </w:pPr>
            <w:r>
              <w:rPr>
                <w:rFonts w:ascii="Courier New" w:hAnsi="Courier New" w:eastAsia="Courier New" w:cs="Courier New"/>
                <w:color w:val="1A2233"/>
                <w:sz w:val="19"/>
                <w:szCs w:val="19"/>
              </w:rPr>
              <w:t xml:space="preserve">  │              展示层  Presentation Layer                      │</w:t>
            </w:r>
          </w:p>
          <w:p w14:paraId="543772F7">
            <w:pPr>
              <w:spacing w:before="16" w:after="16"/>
            </w:pPr>
            <w:r>
              <w:rPr>
                <w:rFonts w:ascii="Courier New" w:hAnsi="Courier New" w:eastAsia="Courier New" w:cs="Courier New"/>
                <w:color w:val="1A2233"/>
                <w:sz w:val="19"/>
                <w:szCs w:val="19"/>
              </w:rPr>
              <w:t xml:space="preserve">  │  配置端（React 18 + Next.js 14）  9步配置工作流              │</w:t>
            </w:r>
          </w:p>
          <w:p w14:paraId="43A16725">
            <w:pPr>
              <w:spacing w:before="16" w:after="16"/>
            </w:pPr>
            <w:r>
              <w:rPr>
                <w:rFonts w:ascii="Courier New" w:hAnsi="Courier New" w:eastAsia="Courier New" w:cs="Courier New"/>
                <w:color w:val="1A2233"/>
                <w:sz w:val="19"/>
                <w:szCs w:val="19"/>
              </w:rPr>
              <w:t xml:space="preserve">  │  玩家端（React 18 + WebSocket）   五区联动指挥桌              │</w:t>
            </w:r>
          </w:p>
          <w:p w14:paraId="297F8A45">
            <w:pPr>
              <w:spacing w:before="16" w:after="16"/>
            </w:pPr>
            <w:r>
              <w:rPr>
                <w:rFonts w:ascii="Courier New" w:hAnsi="Courier New" w:eastAsia="Courier New" w:cs="Courier New"/>
                <w:color w:val="1A2233"/>
                <w:sz w:val="19"/>
                <w:szCs w:val="19"/>
              </w:rPr>
              <w:t xml:space="preserve">  │  分析端（recharts + d3-force）    复盘与数据导出              │</w:t>
            </w:r>
          </w:p>
          <w:p w14:paraId="54685896">
            <w:pPr>
              <w:spacing w:before="16" w:after="16"/>
            </w:pPr>
            <w:r>
              <w:rPr>
                <w:rFonts w:ascii="Courier New" w:hAnsi="Courier New" w:eastAsia="Courier New" w:cs="Courier New"/>
                <w:color w:val="1A2233"/>
                <w:sz w:val="19"/>
                <w:szCs w:val="19"/>
              </w:rPr>
              <w:t xml:space="preserve">  └──────────────────────────┬──────────────────────────────────┘</w:t>
            </w:r>
          </w:p>
          <w:p w14:paraId="3415ABC4">
            <w:pPr>
              <w:spacing w:before="16" w:after="16"/>
            </w:pPr>
            <w:r>
              <w:rPr>
                <w:rFonts w:ascii="Courier New" w:hAnsi="Courier New" w:eastAsia="Courier New" w:cs="Courier New"/>
                <w:color w:val="1A2233"/>
                <w:sz w:val="19"/>
                <w:szCs w:val="19"/>
              </w:rPr>
              <w:t xml:space="preserve">                             │ REST API + WebSocket</w:t>
            </w:r>
          </w:p>
          <w:p w14:paraId="6D59B3D5">
            <w:pPr>
              <w:spacing w:before="16" w:after="16"/>
            </w:pPr>
            <w:r>
              <w:rPr>
                <w:rFonts w:ascii="Courier New" w:hAnsi="Courier New" w:eastAsia="Courier New" w:cs="Courier New"/>
                <w:color w:val="1A2233"/>
                <w:sz w:val="19"/>
                <w:szCs w:val="19"/>
              </w:rPr>
              <w:t xml:space="preserve">  ┌──────────────────────────▼──────────────────────────────────┐</w:t>
            </w:r>
          </w:p>
          <w:p w14:paraId="03C28B77">
            <w:pPr>
              <w:spacing w:before="16" w:after="16"/>
            </w:pPr>
            <w:r>
              <w:rPr>
                <w:rFonts w:ascii="Courier New" w:hAnsi="Courier New" w:eastAsia="Courier New" w:cs="Courier New"/>
                <w:color w:val="1A2233"/>
                <w:sz w:val="19"/>
                <w:szCs w:val="19"/>
              </w:rPr>
              <w:t xml:space="preserve">  │              应用层  Application Layer                       │</w:t>
            </w:r>
          </w:p>
          <w:p w14:paraId="3D984699">
            <w:pPr>
              <w:spacing w:before="16" w:after="16"/>
            </w:pPr>
            <w:r>
              <w:rPr>
                <w:rFonts w:ascii="Courier New" w:hAnsi="Courier New" w:eastAsia="Courier New" w:cs="Courier New"/>
                <w:color w:val="1A2233"/>
                <w:sz w:val="19"/>
                <w:szCs w:val="19"/>
              </w:rPr>
              <w:t xml:space="preserve">  │  Python FastAPI  |  游戏状态FSM（11状态/18转换边）           │</w:t>
            </w:r>
          </w:p>
          <w:p w14:paraId="210BC84D">
            <w:pPr>
              <w:spacing w:before="16" w:after="16"/>
            </w:pPr>
            <w:r>
              <w:rPr>
                <w:rFonts w:ascii="Courier New" w:hAnsi="Courier New" w:eastAsia="Courier New" w:cs="Courier New"/>
                <w:color w:val="1A2233"/>
                <w:sz w:val="19"/>
                <w:szCs w:val="19"/>
              </w:rPr>
              <w:t xml:space="preserve">  │  角色权限中间件   |  配置编译器（JSON Schema v2.0）          │</w:t>
            </w:r>
          </w:p>
          <w:p w14:paraId="371DC9D1">
            <w:pPr>
              <w:spacing w:before="16" w:after="16"/>
            </w:pPr>
            <w:r>
              <w:rPr>
                <w:rFonts w:ascii="Courier New" w:hAnsi="Courier New" w:eastAsia="Courier New" w:cs="Courier New"/>
                <w:color w:val="1A2233"/>
                <w:sz w:val="19"/>
                <w:szCs w:val="19"/>
              </w:rPr>
              <w:t xml:space="preserve">  │  NPC行为引擎     |  五维指标计算引擎（含溢出规则）            │</w:t>
            </w:r>
          </w:p>
          <w:p w14:paraId="35F2C654">
            <w:pPr>
              <w:spacing w:before="16" w:after="16"/>
            </w:pPr>
            <w:r>
              <w:rPr>
                <w:rFonts w:ascii="Courier New" w:hAnsi="Courier New" w:eastAsia="Courier New" w:cs="Courier New"/>
                <w:color w:val="1A2233"/>
                <w:sz w:val="19"/>
                <w:szCs w:val="19"/>
              </w:rPr>
              <w:t xml:space="preserve">  └───────────────┬──────────────────┬───────────────────────────┘</w:t>
            </w:r>
          </w:p>
          <w:p w14:paraId="40332230">
            <w:pPr>
              <w:spacing w:before="16" w:after="16"/>
            </w:pPr>
            <w:r>
              <w:rPr>
                <w:rFonts w:ascii="Courier New" w:hAnsi="Courier New" w:eastAsia="Courier New" w:cs="Courier New"/>
                <w:color w:val="1A2233"/>
                <w:sz w:val="19"/>
                <w:szCs w:val="19"/>
              </w:rPr>
              <w:t xml:space="preserve">                  │                  │</w:t>
            </w:r>
          </w:p>
          <w:p w14:paraId="6EF4639F">
            <w:pPr>
              <w:spacing w:before="16" w:after="16"/>
            </w:pPr>
            <w:r>
              <w:rPr>
                <w:rFonts w:ascii="Courier New" w:hAnsi="Courier New" w:eastAsia="Courier New" w:cs="Courier New"/>
                <w:color w:val="1A2233"/>
                <w:sz w:val="19"/>
                <w:szCs w:val="19"/>
              </w:rPr>
              <w:t xml:space="preserve">  ┌───────────────▼──────┐  ┌────────▼──────────────────────────┐</w:t>
            </w:r>
          </w:p>
          <w:p w14:paraId="2C97775B">
            <w:pPr>
              <w:spacing w:before="16" w:after="16"/>
            </w:pPr>
            <w:r>
              <w:rPr>
                <w:rFonts w:ascii="Courier New" w:hAnsi="Courier New" w:eastAsia="Courier New" w:cs="Courier New"/>
                <w:color w:val="1A2233"/>
                <w:sz w:val="19"/>
                <w:szCs w:val="19"/>
              </w:rPr>
              <w:t xml:space="preserve">  │  AI智能层             │  │  数据层                            │</w:t>
            </w:r>
          </w:p>
          <w:p w14:paraId="420651D4">
            <w:pPr>
              <w:spacing w:before="16" w:after="16"/>
            </w:pPr>
            <w:r>
              <w:rPr>
                <w:rFonts w:ascii="Courier New" w:hAnsi="Courier New" w:eastAsia="Courier New" w:cs="Courier New"/>
                <w:color w:val="1A2233"/>
                <w:sz w:val="19"/>
                <w:szCs w:val="19"/>
              </w:rPr>
              <w:t xml:space="preserve">  │  Intelligence Layer  │  │  Data Layer                        │</w:t>
            </w:r>
          </w:p>
          <w:p w14:paraId="447494C0">
            <w:pPr>
              <w:spacing w:before="16" w:after="16"/>
            </w:pPr>
            <w:r>
              <w:rPr>
                <w:rFonts w:ascii="Courier New" w:hAnsi="Courier New" w:eastAsia="Courier New" w:cs="Courier New"/>
                <w:color w:val="1A2233"/>
                <w:sz w:val="19"/>
                <w:szCs w:val="19"/>
              </w:rPr>
              <w:t xml:space="preserve">  │                       │  │                                    │</w:t>
            </w:r>
          </w:p>
          <w:p w14:paraId="7AFD5485">
            <w:pPr>
              <w:spacing w:before="16" w:after="16"/>
            </w:pPr>
            <w:r>
              <w:rPr>
                <w:rFonts w:ascii="Courier New" w:hAnsi="Courier New" w:eastAsia="Courier New" w:cs="Courier New"/>
                <w:color w:val="1A2233"/>
                <w:sz w:val="19"/>
                <w:szCs w:val="19"/>
              </w:rPr>
              <w:t xml:space="preserve">  │  BGE-M3嵌入模型       │  │  PostgreSQL（结构化元数据）         │</w:t>
            </w:r>
          </w:p>
          <w:p w14:paraId="23FE86FF">
            <w:pPr>
              <w:spacing w:before="16" w:after="16"/>
            </w:pPr>
            <w:r>
              <w:rPr>
                <w:rFonts w:ascii="Courier New" w:hAnsi="Courier New" w:eastAsia="Courier New" w:cs="Courier New"/>
                <w:color w:val="1A2233"/>
                <w:sz w:val="19"/>
                <w:szCs w:val="19"/>
              </w:rPr>
              <w:t xml:space="preserve">  │  ChromaDB向量库       │  │  TimescaleDB（时序行为日志）        │</w:t>
            </w:r>
          </w:p>
          <w:p w14:paraId="60B3FEAA">
            <w:pPr>
              <w:spacing w:before="16" w:after="16"/>
            </w:pPr>
            <w:r>
              <w:rPr>
                <w:rFonts w:ascii="Courier New" w:hAnsi="Courier New" w:eastAsia="Courier New" w:cs="Courier New"/>
                <w:color w:val="1A2233"/>
                <w:sz w:val="19"/>
                <w:szCs w:val="19"/>
              </w:rPr>
              <w:t xml:space="preserve">  │  RAG检索管道          │  │  MongoDB（场景配置JSON文档）        │</w:t>
            </w:r>
          </w:p>
          <w:p w14:paraId="61039327">
            <w:pPr>
              <w:spacing w:before="16" w:after="16"/>
            </w:pPr>
            <w:r>
              <w:rPr>
                <w:rFonts w:ascii="Courier New" w:hAnsi="Courier New" w:eastAsia="Courier New" w:cs="Courier New"/>
                <w:color w:val="1A2233"/>
                <w:sz w:val="19"/>
                <w:szCs w:val="19"/>
              </w:rPr>
              <w:t xml:space="preserve">  │  LLM命题转化          │  │  Redis（实时状态缓存+队列）         │</w:t>
            </w:r>
          </w:p>
          <w:p w14:paraId="09C30FBA">
            <w:pPr>
              <w:spacing w:before="16" w:after="16"/>
            </w:pPr>
            <w:r>
              <w:rPr>
                <w:rFonts w:ascii="Courier New" w:hAnsi="Courier New" w:eastAsia="Courier New" w:cs="Courier New"/>
                <w:color w:val="1A2233"/>
                <w:sz w:val="19"/>
                <w:szCs w:val="19"/>
              </w:rPr>
              <w:t xml:space="preserve">  │  百晓生桥接API        │  │  ChromaDB（知识库向量索引）         │</w:t>
            </w:r>
          </w:p>
          <w:p w14:paraId="24CD003C">
            <w:pPr>
              <w:spacing w:before="16" w:after="16"/>
            </w:pPr>
            <w:r>
              <w:rPr>
                <w:rFonts w:ascii="Courier New" w:hAnsi="Courier New" w:eastAsia="Courier New" w:cs="Courier New"/>
                <w:color w:val="1A2233"/>
                <w:sz w:val="19"/>
                <w:szCs w:val="19"/>
              </w:rPr>
              <w:t xml:space="preserve">  │  复盘报告生成引擎     │  │                                    │</w:t>
            </w:r>
          </w:p>
          <w:p w14:paraId="348B9459">
            <w:pPr>
              <w:spacing w:before="16" w:after="16"/>
            </w:pPr>
            <w:r>
              <w:rPr>
                <w:rFonts w:ascii="Courier New" w:hAnsi="Courier New" w:eastAsia="Courier New" w:cs="Courier New"/>
                <w:color w:val="1A2233"/>
                <w:sz w:val="19"/>
                <w:szCs w:val="19"/>
              </w:rPr>
              <w:t xml:space="preserve">  └───────────────────────┘  └────────────────────────────────────┘</w:t>
            </w:r>
          </w:p>
          <w:p w14:paraId="3D49289C">
            <w:pPr>
              <w:spacing w:before="16" w:after="16"/>
            </w:pPr>
          </w:p>
          <w:p w14:paraId="36FC5134">
            <w:pPr>
              <w:spacing w:before="16" w:after="16"/>
            </w:pPr>
            <w:r>
              <w:rPr>
                <w:rFonts w:ascii="Courier New" w:hAnsi="Courier New" w:eastAsia="Courier New" w:cs="Courier New"/>
                <w:color w:val="1A2233"/>
                <w:sz w:val="19"/>
                <w:szCs w:val="19"/>
              </w:rPr>
              <w:t xml:space="preserve">  ───────────── 外部依赖 ─────────────────────────────────────────</w:t>
            </w:r>
          </w:p>
          <w:p w14:paraId="6E6BB4CD">
            <w:pPr>
              <w:spacing w:before="16" w:after="16"/>
            </w:pPr>
            <w:r>
              <w:rPr>
                <w:rFonts w:ascii="Courier New" w:hAnsi="Courier New" w:eastAsia="Courier New" w:cs="Courier New"/>
                <w:color w:val="1A2233"/>
                <w:sz w:val="19"/>
                <w:szCs w:val="19"/>
              </w:rPr>
              <w:t xml:space="preserve">  百晓生知识库（Baixiao AI）· GPT-4o/Claude API · BGE-M3模型</w:t>
            </w:r>
          </w:p>
        </w:tc>
      </w:tr>
    </w:tbl>
    <w:p w14:paraId="595AF30D">
      <w:pPr>
        <w:spacing w:before="60" w:after="60"/>
      </w:pPr>
    </w:p>
    <w:p w14:paraId="6F567855">
      <w:pPr>
        <w:pStyle w:val="3"/>
        <w:spacing w:before="320" w:after="140"/>
      </w:pPr>
      <w:r>
        <w:rPr>
          <w:rFonts w:ascii="Arial" w:hAnsi="Arial" w:eastAsia="Arial" w:cs="Arial"/>
          <w:b/>
          <w:bCs/>
          <w:color w:val="174A7E"/>
          <w:sz w:val="25"/>
          <w:szCs w:val="25"/>
        </w:rPr>
        <w:t>16.5 关键技术风险与应对预案</w:t>
      </w:r>
    </w:p>
    <w:p w14:paraId="2E321FEA">
      <w:pPr>
        <w:spacing w:before="80" w:after="80"/>
        <w:jc w:val="both"/>
      </w:pPr>
      <w:r>
        <w:rPr>
          <w:rFonts w:ascii="Arial" w:hAnsi="Arial" w:eastAsia="Arial" w:cs="Arial"/>
          <w:b w:val="0"/>
          <w:bCs w:val="0"/>
          <w:color w:val="111111"/>
          <w:sz w:val="22"/>
          <w:szCs w:val="22"/>
        </w:rPr>
        <w:t>任何新型研究平台的开发都面临技术风险，提前识别并制定应对预案是负责任的研究设计的组成部分。本项目面临的主要技术风险及其应对策略如下。</w:t>
      </w:r>
    </w:p>
    <w:p w14:paraId="773DEC89">
      <w:pPr>
        <w:spacing w:before="80" w:after="80"/>
        <w:jc w:val="both"/>
      </w:pPr>
      <w:r>
        <w:rPr>
          <w:rFonts w:ascii="Arial" w:hAnsi="Arial" w:eastAsia="Arial" w:cs="Arial"/>
          <w:b w:val="0"/>
          <w:bCs w:val="0"/>
          <w:color w:val="111111"/>
          <w:sz w:val="22"/>
          <w:szCs w:val="22"/>
        </w:rPr>
        <w:t>风险一：RAG选项质量不稳定。RAG管道的核心价值在于生成高质量的循证决策选项，但LLM的输出存在不确定性，可能产生「看似合理但理论依据不准确」的选项。应对策略：建立三级质量控制体系。第一级：自动过滤——将每个选项的文献来源与原文进行相似度比对，低于阈值（0.65余弦相似度）的选项自动标记为「需人工审核」。第二级：专家预审——每个L2主题专库上线前，由2名该领域学者对样本选项进行质量评估，评估合格后方可用于正式推演。第三级：用户反馈——玩家在推演后可对每个选项的「理论依据准确性」评分（1-5分），系统据此动态调整低评分选项的优先级。</w:t>
      </w:r>
    </w:p>
    <w:p w14:paraId="144B55FF">
      <w:pPr>
        <w:spacing w:before="80" w:after="80"/>
        <w:jc w:val="both"/>
      </w:pPr>
      <w:r>
        <w:rPr>
          <w:rFonts w:ascii="Arial" w:hAnsi="Arial" w:eastAsia="Arial" w:cs="Arial"/>
          <w:b w:val="0"/>
          <w:bCs w:val="0"/>
          <w:color w:val="111111"/>
          <w:sz w:val="22"/>
          <w:szCs w:val="22"/>
        </w:rPr>
        <w:t>风险二：百晓生API依赖风险。平台的核心功能依赖百晓生知识库的API接口，若接口发生变更或服务中断，将直接影响RAG功能。应对策略：建立本地镜像缓存机制。高频使用的L1和L2知识库内容在平台本地建立向量索引镜像，24小时同步一次。当百晓生API不可用时，自动切换至本地镜像，功能完整度保持约85%（L3私有库实时上传功能除外）。此外，在技术协议中约定API稳定性保障条款和变更提前通知期（≥30天）。</w:t>
      </w:r>
    </w:p>
    <w:p w14:paraId="1BFAD7F3">
      <w:pPr>
        <w:spacing w:before="80" w:after="80"/>
        <w:jc w:val="both"/>
      </w:pPr>
      <w:r>
        <w:rPr>
          <w:rFonts w:ascii="Arial" w:hAnsi="Arial" w:eastAsia="Arial" w:cs="Arial"/>
          <w:b w:val="0"/>
          <w:bCs w:val="0"/>
          <w:color w:val="111111"/>
          <w:sz w:val="22"/>
          <w:szCs w:val="22"/>
        </w:rPr>
        <w:t>风险三：多并发场景下的实时性保障。推演的核心体验依赖多玩家之间的实时信息同步，高并发时WebSocket通信可能出现延迟或消息丢失。应对策略：使用Redis Stream作为消息持久化层，确保消息不因网络抖动而丢失；WebSocket断线重连机制确保玩家断网后5秒内自动恢复会话；压力测试要求50名并发玩家场景下系统延迟&lt;2秒（P95），在M15月完成第一次正式压力测试。</w:t>
      </w:r>
    </w:p>
    <w:p w14:paraId="697DAA39">
      <w:pPr>
        <w:spacing w:before="80" w:after="80"/>
        <w:jc w:val="both"/>
      </w:pPr>
      <w:r>
        <w:rPr>
          <w:rFonts w:ascii="Arial" w:hAnsi="Arial" w:eastAsia="Arial" w:cs="Arial"/>
          <w:b w:val="0"/>
          <w:bCs w:val="0"/>
          <w:color w:val="111111"/>
          <w:sz w:val="22"/>
          <w:szCs w:val="22"/>
        </w:rPr>
        <w:t>风险四：制度合规验证器过度限制创新空间。如果制度合规验证器的规则设计过于保守，可能导致大量合理的创新类行动被错误阻止，削弱平台对当代治理创新行为的模拟能力。应对策略：验证器规则实行「可调刚度」设计，通过institutional_rigidity参数（0-10整数）控制整体限制强度；同时建立「规则申诉机制」，用户发现验证器的误判后可提交规则改进建议，每季度由学术委员会评审并更新规则集，确保规则与制度现实的持续贴合。</w:t>
      </w:r>
    </w:p>
    <w:p w14:paraId="7C1018B2">
      <w:pPr>
        <w:spacing w:before="120" w:after="120"/>
      </w:pPr>
    </w:p>
    <w:p w14:paraId="6F3DEA67">
      <w:r>
        <w:br w:type="page"/>
      </w:r>
    </w:p>
    <w:p w14:paraId="56FA829F">
      <w:pPr>
        <w:pStyle w:val="2"/>
        <w:pBdr>
          <w:bottom w:val="single" w:color="1A3A5C" w:sz="8" w:space="2"/>
        </w:pBdr>
        <w:spacing w:before="440" w:after="200"/>
      </w:pPr>
      <w:r>
        <w:rPr>
          <w:rFonts w:ascii="Arial" w:hAnsi="Arial" w:eastAsia="Arial" w:cs="Arial"/>
          <w:b/>
          <w:bCs/>
          <w:color w:val="1A3A5C"/>
          <w:sz w:val="30"/>
          <w:szCs w:val="30"/>
        </w:rPr>
        <w:t>十七、预期研究成果与理论贡献</w:t>
      </w:r>
    </w:p>
    <w:p w14:paraId="1856340E">
      <w:pPr>
        <w:spacing w:before="80" w:after="80"/>
        <w:jc w:val="both"/>
      </w:pPr>
      <w:r>
        <w:rPr>
          <w:rFonts w:ascii="Arial" w:hAnsi="Arial" w:eastAsia="Arial" w:cs="Arial"/>
          <w:b w:val="0"/>
          <w:bCs w:val="0"/>
          <w:color w:val="111111"/>
          <w:sz w:val="22"/>
          <w:szCs w:val="22"/>
        </w:rPr>
        <w:t>本项目的预期成果分为三个层次：工具性成果（平台本身及其组件）、学术性成果（论文、数据集、方法论贡献）和社会性成果（教学质量提升、人才培养、政策思维训练）。三个层次的成果相互支撑，共同构成项目的完整价值体系。</w:t>
      </w:r>
    </w:p>
    <w:p w14:paraId="5CA96360">
      <w:pPr>
        <w:spacing w:before="60" w:after="60"/>
      </w:pPr>
    </w:p>
    <w:p w14:paraId="0D37D4C8">
      <w:pPr>
        <w:pStyle w:val="3"/>
        <w:spacing w:before="320" w:after="140"/>
      </w:pPr>
      <w:r>
        <w:rPr>
          <w:rFonts w:ascii="Arial" w:hAnsi="Arial" w:eastAsia="Arial" w:cs="Arial"/>
          <w:b/>
          <w:bCs/>
          <w:color w:val="174A7E"/>
          <w:sz w:val="25"/>
          <w:szCs w:val="25"/>
        </w:rPr>
        <w:t>17.1 工具性成果</w:t>
      </w:r>
    </w:p>
    <w:p w14:paraId="3B8AF5ED">
      <w:pPr>
        <w:spacing w:before="80" w:after="80"/>
        <w:jc w:val="both"/>
      </w:pPr>
      <w:r>
        <w:rPr>
          <w:rFonts w:ascii="Arial" w:hAnsi="Arial" w:eastAsia="Arial" w:cs="Arial"/>
          <w:b w:val="0"/>
          <w:bCs w:val="0"/>
          <w:color w:val="111111"/>
          <w:sz w:val="22"/>
          <w:szCs w:val="22"/>
        </w:rPr>
        <w:t>工具性成果是平台的直接产出，也是学术成果和社会成果的基础设施载体。</w:t>
      </w:r>
    </w:p>
    <w:p w14:paraId="7C32612D">
      <w:pPr>
        <w:spacing w:before="80" w:after="80"/>
        <w:jc w:val="both"/>
      </w:pPr>
      <w:r>
        <w:rPr>
          <w:rFonts w:ascii="Arial" w:hAnsi="Arial" w:eastAsia="Arial" w:cs="Arial"/>
          <w:b w:val="0"/>
          <w:bCs w:val="0"/>
          <w:color w:val="111111"/>
          <w:sz w:val="22"/>
          <w:szCs w:val="22"/>
        </w:rPr>
        <w:t>成果一：政通推演坊平台（GovSim Studio v1.0）。包含完整技术实现的在线平台，覆盖配置端、玩家端和分析端三套界面，具备本文所描述的全部核心功能。平台在项目结束时（M24）面向高校公共管理院系和政府培训机构正式发布，采用开放注册加身份验证模式，具备教学和研究两种使用模式。平台代码以MIT许可证在GitHub开源，允许学术机构在本地部署，使平台生命周期超越项目周期。</w:t>
      </w:r>
    </w:p>
    <w:p w14:paraId="45AD6A50">
      <w:pPr>
        <w:spacing w:before="80" w:after="80"/>
        <w:jc w:val="both"/>
      </w:pPr>
      <w:r>
        <w:rPr>
          <w:rFonts w:ascii="Arial" w:hAnsi="Arial" w:eastAsia="Arial" w:cs="Arial"/>
          <w:b w:val="0"/>
          <w:bCs w:val="0"/>
          <w:color w:val="111111"/>
          <w:sz w:val="22"/>
          <w:szCs w:val="22"/>
        </w:rPr>
        <w:t>成果二：六大制度模块规则集（GovSim Framework v1.0）。中国国家治理六大制度模块的结构化编码，以JSON Schema格式发布。这套规则集本身具有独立的学术价值——它是迄今为止对中国政府运作逻辑最系统的形式化表达之一，可供其他研究项目（如ABM仿真研究）直接引用和调用。规则集配有学术说明文档（约3万字），解释每条规则的制度依据和文献来源，作为独立的数据性论文在公共管理领域期刊发表。</w:t>
      </w:r>
    </w:p>
    <w:p w14:paraId="11957E29">
      <w:pPr>
        <w:spacing w:before="80" w:after="80"/>
        <w:jc w:val="both"/>
      </w:pPr>
      <w:r>
        <w:rPr>
          <w:rFonts w:ascii="Arial" w:hAnsi="Arial" w:eastAsia="Arial" w:cs="Arial"/>
          <w:b w:val="0"/>
          <w:bCs w:val="0"/>
          <w:color w:val="111111"/>
          <w:sz w:val="22"/>
          <w:szCs w:val="22"/>
        </w:rPr>
        <w:t>成果三：公共治理行为数据集（GovSim Dataset v1.0）。项目期间积累的去标识化推演行为数据，预计包含来自100-150名被试的30-50场推演记录，涵盖七类行为数据流（决策序列、通信行为、指标轨迹、文献互动、情境响应、元数据、制度违规）共计约50万行原始事件数据。数据集在项目结束时发布至国内开放科研数据平台，附完整数据字典、伦理审批文件和使用说明。这一数据集将成为中国情境下公共行政行为研究的基础性公共品。</w:t>
      </w:r>
    </w:p>
    <w:p w14:paraId="15635E23">
      <w:pPr>
        <w:spacing w:before="80" w:after="80"/>
        <w:jc w:val="both"/>
      </w:pPr>
      <w:r>
        <w:rPr>
          <w:rFonts w:ascii="Arial" w:hAnsi="Arial" w:eastAsia="Arial" w:cs="Arial"/>
          <w:b w:val="0"/>
          <w:bCs w:val="0"/>
          <w:color w:val="111111"/>
          <w:sz w:val="22"/>
          <w:szCs w:val="22"/>
        </w:rPr>
        <w:t>成果四：「清河记」旗舰场景设计文档。完整的旗舰场景设计规范，包含14角色体系、5阶段剧情、20张事件卡和约80个决策节点的详细规格，以及L2主题专库的文献标注列表。这份文档不只是平台的使用素材，也是严肃游戏设计方法论的示范案例，可供公共管理学者和教育技术研究者参考借鉴。</w:t>
      </w:r>
    </w:p>
    <w:p w14:paraId="660A1FB0">
      <w:pPr>
        <w:spacing w:before="80" w:after="80"/>
        <w:jc w:val="both"/>
      </w:pPr>
      <w:r>
        <w:rPr>
          <w:rFonts w:ascii="Arial" w:hAnsi="Arial" w:eastAsia="Arial" w:cs="Arial"/>
          <w:b w:val="0"/>
          <w:bCs w:val="0"/>
          <w:color w:val="111111"/>
          <w:sz w:val="22"/>
          <w:szCs w:val="22"/>
        </w:rPr>
        <w:t>成果五：场景模板库与配置文档。8个种子场景的完整配置文件（JSON格式）和教学使用指南，以及配置手册（供教师和研究者新建自定义场景时参考）。所有种子场景配置文件在MIT许可证下开源，允许用户下载、修改和重新分发。</w:t>
      </w:r>
    </w:p>
    <w:p w14:paraId="264D3E05">
      <w:pPr>
        <w:spacing w:before="60" w:after="60"/>
      </w:pPr>
    </w:p>
    <w:p w14:paraId="7D7CB82B">
      <w:pPr>
        <w:pStyle w:val="3"/>
        <w:spacing w:before="320" w:after="140"/>
      </w:pPr>
      <w:r>
        <w:rPr>
          <w:rFonts w:ascii="Arial" w:hAnsi="Arial" w:eastAsia="Arial" w:cs="Arial"/>
          <w:b/>
          <w:bCs/>
          <w:color w:val="174A7E"/>
          <w:sz w:val="25"/>
          <w:szCs w:val="25"/>
        </w:rPr>
        <w:t>17.2 学术论文计划</w:t>
      </w:r>
    </w:p>
    <w:p w14:paraId="1C2CBAE6">
      <w:pPr>
        <w:spacing w:before="80" w:after="80"/>
        <w:jc w:val="both"/>
      </w:pPr>
      <w:r>
        <w:rPr>
          <w:rFonts w:ascii="Arial" w:hAnsi="Arial" w:eastAsia="Arial" w:cs="Arial"/>
          <w:b w:val="0"/>
          <w:bCs w:val="0"/>
          <w:color w:val="111111"/>
          <w:sz w:val="22"/>
          <w:szCs w:val="22"/>
        </w:rPr>
        <w:t>本项目计划产出三篇核心学术论文，涵盖方法论贡献、实证发现和教育效果三个维度，分别面向计算社会科学、公共行政学和教育技术三个学术共同体。</w:t>
      </w:r>
    </w:p>
    <w:p w14:paraId="34B0A077">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5"/>
        <w:gridCol w:w="3755"/>
        <w:gridCol w:w="1775"/>
        <w:gridCol w:w="1892"/>
        <w:gridCol w:w="1433"/>
      </w:tblGrid>
      <w:tr w14:paraId="00CA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25FA50E4">
            <w:pPr>
              <w:spacing w:before="36" w:after="36"/>
              <w:jc w:val="center"/>
            </w:pPr>
            <w:r>
              <w:rPr>
                <w:rFonts w:ascii="Arial" w:hAnsi="Arial" w:eastAsia="Arial" w:cs="Arial"/>
                <w:b/>
                <w:bCs/>
                <w:color w:val="FFFFFF"/>
                <w:sz w:val="19"/>
                <w:szCs w:val="19"/>
              </w:rPr>
              <w:t>论文编号</w:t>
            </w:r>
          </w:p>
        </w:tc>
        <w:tc>
          <w:tcPr>
            <w:tcW w:w="3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3EA52C7D">
            <w:pPr>
              <w:spacing w:before="36" w:after="36"/>
              <w:jc w:val="center"/>
            </w:pPr>
            <w:r>
              <w:rPr>
                <w:rFonts w:ascii="Arial" w:hAnsi="Arial" w:eastAsia="Arial" w:cs="Arial"/>
                <w:b/>
                <w:bCs/>
                <w:color w:val="FFFFFF"/>
                <w:sz w:val="19"/>
                <w:szCs w:val="19"/>
              </w:rPr>
              <w:t>拟定标题（中/英）</w:t>
            </w:r>
          </w:p>
        </w:tc>
        <w:tc>
          <w:tcPr>
            <w:tcW w:w="1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31AC6893">
            <w:pPr>
              <w:spacing w:before="36" w:after="36"/>
              <w:jc w:val="center"/>
            </w:pPr>
            <w:r>
              <w:rPr>
                <w:rFonts w:ascii="Arial" w:hAnsi="Arial" w:eastAsia="Arial" w:cs="Arial"/>
                <w:b/>
                <w:bCs/>
                <w:color w:val="FFFFFF"/>
                <w:sz w:val="19"/>
                <w:szCs w:val="19"/>
              </w:rPr>
              <w:t>研究类型</w:t>
            </w:r>
          </w:p>
        </w:tc>
        <w:tc>
          <w:tcPr>
            <w:tcW w:w="19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179A4B4B">
            <w:pPr>
              <w:spacing w:before="36" w:after="36"/>
              <w:jc w:val="center"/>
            </w:pPr>
            <w:r>
              <w:rPr>
                <w:rFonts w:ascii="Arial" w:hAnsi="Arial" w:eastAsia="Arial" w:cs="Arial"/>
                <w:b/>
                <w:bCs/>
                <w:color w:val="FFFFFF"/>
                <w:sz w:val="19"/>
                <w:szCs w:val="19"/>
              </w:rPr>
              <w:t>目标期刊</w:t>
            </w:r>
          </w:p>
        </w:tc>
        <w:tc>
          <w:tcPr>
            <w:tcW w:w="144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79486EF6">
            <w:pPr>
              <w:spacing w:before="36" w:after="36"/>
              <w:jc w:val="center"/>
            </w:pPr>
            <w:r>
              <w:rPr>
                <w:rFonts w:ascii="Arial" w:hAnsi="Arial" w:eastAsia="Arial" w:cs="Arial"/>
                <w:b/>
                <w:bCs/>
                <w:color w:val="FFFFFF"/>
                <w:sz w:val="19"/>
                <w:szCs w:val="19"/>
              </w:rPr>
              <w:t>预计投稿时间</w:t>
            </w:r>
          </w:p>
        </w:tc>
      </w:tr>
      <w:tr w14:paraId="7DCC5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E7CF319">
            <w:pPr>
              <w:spacing w:before="36" w:after="36"/>
              <w:jc w:val="left"/>
            </w:pPr>
            <w:r>
              <w:rPr>
                <w:rFonts w:ascii="Arial" w:hAnsi="Arial" w:eastAsia="Arial" w:cs="Arial"/>
                <w:color w:val="222222"/>
                <w:sz w:val="20"/>
                <w:szCs w:val="20"/>
              </w:rPr>
              <w:t>P1</w:t>
            </w:r>
          </w:p>
        </w:tc>
        <w:tc>
          <w:tcPr>
            <w:tcW w:w="3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70EE371">
            <w:pPr>
              <w:spacing w:before="36" w:after="36"/>
              <w:jc w:val="left"/>
            </w:pPr>
            <w:r>
              <w:rPr>
                <w:rFonts w:ascii="Arial" w:hAnsi="Arial" w:eastAsia="Arial" w:cs="Arial"/>
                <w:color w:val="222222"/>
                <w:sz w:val="20"/>
                <w:szCs w:val="20"/>
              </w:rPr>
              <w:t>循证驱动的严肃游戏：知识库RAG在公共管理决策实验中的方法论应用
Evidence-Based Serious Games: Methodological Applications of Knowledge-Base RAG in Public Administration Decision Experiments</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DAFDD4B">
            <w:pPr>
              <w:spacing w:before="36" w:after="36"/>
              <w:jc w:val="left"/>
            </w:pPr>
            <w:r>
              <w:rPr>
                <w:rFonts w:ascii="Arial" w:hAnsi="Arial" w:eastAsia="Arial" w:cs="Arial"/>
                <w:color w:val="222222"/>
                <w:sz w:val="20"/>
                <w:szCs w:val="20"/>
              </w:rPr>
              <w:t>方法论论文（平台设计 + 效度验证）</w:t>
            </w:r>
          </w:p>
        </w:tc>
        <w:tc>
          <w:tcPr>
            <w:tcW w:w="19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482991C">
            <w:pPr>
              <w:spacing w:before="36" w:after="36"/>
              <w:jc w:val="left"/>
            </w:pPr>
            <w:r>
              <w:rPr>
                <w:rFonts w:ascii="Arial" w:hAnsi="Arial" w:eastAsia="Arial" w:cs="Arial"/>
                <w:color w:val="222222"/>
                <w:sz w:val="20"/>
                <w:szCs w:val="20"/>
              </w:rPr>
              <w:t>《公共管理学报》/ Public Administration Review（投国际版）</w:t>
            </w:r>
          </w:p>
        </w:tc>
        <w:tc>
          <w:tcPr>
            <w:tcW w:w="144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7FD4790">
            <w:pPr>
              <w:spacing w:before="36" w:after="36"/>
              <w:jc w:val="left"/>
            </w:pPr>
            <w:r>
              <w:rPr>
                <w:rFonts w:ascii="Arial" w:hAnsi="Arial" w:eastAsia="Arial" w:cs="Arial"/>
                <w:color w:val="222222"/>
                <w:sz w:val="20"/>
                <w:szCs w:val="20"/>
              </w:rPr>
              <w:t>M18-M20</w:t>
            </w:r>
          </w:p>
        </w:tc>
      </w:tr>
      <w:tr w14:paraId="6EFBD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F1BBA4E">
            <w:pPr>
              <w:spacing w:before="36" w:after="36"/>
              <w:jc w:val="left"/>
            </w:pPr>
            <w:r>
              <w:rPr>
                <w:rFonts w:ascii="Arial" w:hAnsi="Arial" w:eastAsia="Arial" w:cs="Arial"/>
                <w:color w:val="222222"/>
                <w:sz w:val="20"/>
                <w:szCs w:val="20"/>
              </w:rPr>
              <w:t>P2</w:t>
            </w:r>
          </w:p>
        </w:tc>
        <w:tc>
          <w:tcPr>
            <w:tcW w:w="3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3224757">
            <w:pPr>
              <w:spacing w:before="36" w:after="36"/>
              <w:jc w:val="left"/>
            </w:pPr>
            <w:r>
              <w:rPr>
                <w:rFonts w:ascii="Arial" w:hAnsi="Arial" w:eastAsia="Arial" w:cs="Arial"/>
                <w:color w:val="222222"/>
                <w:sz w:val="20"/>
                <w:szCs w:val="20"/>
              </w:rPr>
              <w:t>问责压力与官员创新行为：来自受控博弈实验的证据
Accountability Pressure and Bureaucratic Innovation: Evidence from a Controlled Game Experiment</w:t>
            </w:r>
          </w:p>
        </w:tc>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D43774C">
            <w:pPr>
              <w:spacing w:before="36" w:after="36"/>
              <w:jc w:val="left"/>
            </w:pPr>
            <w:r>
              <w:rPr>
                <w:rFonts w:ascii="Arial" w:hAnsi="Arial" w:eastAsia="Arial" w:cs="Arial"/>
                <w:color w:val="222222"/>
                <w:sz w:val="20"/>
                <w:szCs w:val="20"/>
              </w:rPr>
              <w:t>实证研究论文（基于平台第一项研究）</w:t>
            </w:r>
          </w:p>
        </w:tc>
        <w:tc>
          <w:tcPr>
            <w:tcW w:w="19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D8FE38F">
            <w:pPr>
              <w:spacing w:before="36" w:after="36"/>
              <w:jc w:val="left"/>
            </w:pPr>
            <w:r>
              <w:rPr>
                <w:rFonts w:ascii="Arial" w:hAnsi="Arial" w:eastAsia="Arial" w:cs="Arial"/>
                <w:color w:val="222222"/>
                <w:sz w:val="20"/>
                <w:szCs w:val="20"/>
              </w:rPr>
              <w:t>《中国行政管理》/ Journal of Public Administration Research and Theory</w:t>
            </w:r>
          </w:p>
        </w:tc>
        <w:tc>
          <w:tcPr>
            <w:tcW w:w="144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38ECE254">
            <w:pPr>
              <w:spacing w:before="36" w:after="36"/>
              <w:jc w:val="left"/>
            </w:pPr>
            <w:r>
              <w:rPr>
                <w:rFonts w:ascii="Arial" w:hAnsi="Arial" w:eastAsia="Arial" w:cs="Arial"/>
                <w:color w:val="222222"/>
                <w:sz w:val="20"/>
                <w:szCs w:val="20"/>
              </w:rPr>
              <w:t>M20-M22</w:t>
            </w:r>
          </w:p>
        </w:tc>
      </w:tr>
      <w:tr w14:paraId="35BAD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D3C9D05">
            <w:pPr>
              <w:spacing w:before="36" w:after="36"/>
              <w:jc w:val="left"/>
            </w:pPr>
            <w:r>
              <w:rPr>
                <w:rFonts w:ascii="Arial" w:hAnsi="Arial" w:eastAsia="Arial" w:cs="Arial"/>
                <w:color w:val="222222"/>
                <w:sz w:val="20"/>
                <w:szCs w:val="20"/>
              </w:rPr>
              <w:t>P3</w:t>
            </w:r>
          </w:p>
        </w:tc>
        <w:tc>
          <w:tcPr>
            <w:tcW w:w="3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B98FDDC">
            <w:pPr>
              <w:spacing w:before="36" w:after="36"/>
              <w:jc w:val="left"/>
            </w:pPr>
            <w:r>
              <w:rPr>
                <w:rFonts w:ascii="Arial" w:hAnsi="Arial" w:eastAsia="Arial" w:cs="Arial"/>
                <w:color w:val="222222"/>
                <w:sz w:val="20"/>
                <w:szCs w:val="20"/>
              </w:rPr>
              <w:t>受控博弈实验与调查实验的行为预测效度比较
Comparative Behavioral Validity of Controlled Game Experiments and Survey Experiments in Chinese Governance Context</w:t>
            </w:r>
          </w:p>
        </w:tc>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9A325F7">
            <w:pPr>
              <w:spacing w:before="36" w:after="36"/>
              <w:jc w:val="left"/>
            </w:pPr>
            <w:r>
              <w:rPr>
                <w:rFonts w:ascii="Arial" w:hAnsi="Arial" w:eastAsia="Arial" w:cs="Arial"/>
                <w:color w:val="222222"/>
                <w:sz w:val="20"/>
                <w:szCs w:val="20"/>
              </w:rPr>
              <w:t>方法论比较研究（跨方法比较）</w:t>
            </w:r>
          </w:p>
        </w:tc>
        <w:tc>
          <w:tcPr>
            <w:tcW w:w="19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9BAC4A0">
            <w:pPr>
              <w:spacing w:before="36" w:after="36"/>
              <w:jc w:val="left"/>
            </w:pPr>
            <w:r>
              <w:rPr>
                <w:rFonts w:ascii="Arial" w:hAnsi="Arial" w:eastAsia="Arial" w:cs="Arial"/>
                <w:color w:val="222222"/>
                <w:sz w:val="20"/>
                <w:szCs w:val="20"/>
              </w:rPr>
              <w:t>《社会学研究》/ Political Analysis</w:t>
            </w:r>
          </w:p>
        </w:tc>
        <w:tc>
          <w:tcPr>
            <w:tcW w:w="144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355CDC0">
            <w:pPr>
              <w:spacing w:before="36" w:after="36"/>
              <w:jc w:val="left"/>
            </w:pPr>
            <w:r>
              <w:rPr>
                <w:rFonts w:ascii="Arial" w:hAnsi="Arial" w:eastAsia="Arial" w:cs="Arial"/>
                <w:color w:val="222222"/>
                <w:sz w:val="20"/>
                <w:szCs w:val="20"/>
              </w:rPr>
              <w:t>M22-M24</w:t>
            </w:r>
          </w:p>
        </w:tc>
      </w:tr>
    </w:tbl>
    <w:p w14:paraId="3DEB502F">
      <w:pPr>
        <w:spacing w:before="60" w:after="60"/>
      </w:pPr>
    </w:p>
    <w:p w14:paraId="31ECF4A1">
      <w:pPr>
        <w:spacing w:before="80" w:after="80"/>
        <w:jc w:val="both"/>
      </w:pPr>
      <w:r>
        <w:rPr>
          <w:rFonts w:ascii="Arial" w:hAnsi="Arial" w:eastAsia="Arial" w:cs="Arial"/>
          <w:b w:val="0"/>
          <w:bCs w:val="0"/>
          <w:color w:val="111111"/>
          <w:sz w:val="22"/>
          <w:szCs w:val="22"/>
        </w:rPr>
        <w:t>论文P1是本项目最核心的学术输出，也是最具方法论创新性的文章。论文的主要贡献是：第一，系统论证将RAG（检索增强生成）技术应用于学术知识驱动的严肃游戏设计的技术路径，包括知识库分层、因果命题提炼、选项质量评估等关键环节的方法论规范；第二，通过效度验证实验（比较RAG驱动选项vs专家手写选项vs随机生成选项在表面效度和理论效度上的差异）为这一方法提供实证支持；第三，提出「知识库驱动严肃游戏」（Knowledge-Base Driven Serious Game，KBDSG）的概念框架，作为计算社会科学工具箱的新成员。</w:t>
      </w:r>
    </w:p>
    <w:p w14:paraId="06EF5B39">
      <w:pPr>
        <w:spacing w:before="80" w:after="80"/>
        <w:jc w:val="both"/>
      </w:pPr>
      <w:r>
        <w:rPr>
          <w:rFonts w:ascii="Arial" w:hAnsi="Arial" w:eastAsia="Arial" w:cs="Arial"/>
          <w:b w:val="0"/>
          <w:bCs w:val="0"/>
          <w:color w:val="111111"/>
          <w:sz w:val="22"/>
          <w:szCs w:val="22"/>
        </w:rPr>
        <w:t>论文P2是基于平台产出的第一项实质性实证研究。研究问题是：在中国地方政府治理情境中，正式问责机制强度的提升是否系统性地抑制了官员采取创新行为的倾向？研究设计使用RCT（随机对照实验），实验组与对照组仅在accountability_pressure参数上存在差异（实验组=8，对照组=3），其他24个参数完全相同。因变量包括：创新探索类行动的选择频率、创新选项的决策时长（更长可能意味着更多顾虑）、以及推演后自我报告的行为意图（问卷测量）。这项研究的理论价值在于：它提供了迄今为止关于中国官员创新行为的首个在受控制度情境下采集的实验证据，与现有文献中基于截面数据或案例研究的推断形成互补（张明（2022）、冯军等（2021）的文献均指出实验性证据的缺乏是该领域的重要局限）。</w:t>
      </w:r>
    </w:p>
    <w:p w14:paraId="76C4D0B5">
      <w:pPr>
        <w:spacing w:before="80" w:after="80"/>
        <w:jc w:val="both"/>
      </w:pPr>
      <w:r>
        <w:rPr>
          <w:rFonts w:ascii="Arial" w:hAnsi="Arial" w:eastAsia="Arial" w:cs="Arial"/>
          <w:b w:val="0"/>
          <w:bCs w:val="0"/>
          <w:color w:val="111111"/>
          <w:sz w:val="22"/>
          <w:szCs w:val="22"/>
        </w:rPr>
        <w:t>论文P3是本项目对计算社会科学方法论的原创性贡献。受控博弈实验（Controlled Game Experiment）与调查实验（Survey/Vignette Experiment）在公共行政学研究中的优劣比较目前几乎没有直接的实证文献。本文通过「同一研究问题的双轨测量」设计——即对同样的研究假设（如信息透明度→决策质量的关系），同时用调查实验（传统方法）和受控博弈实验（本平台方法）采集数据，比较两种方法得到的效应量大小、方向和统计显著性——为方法论选择提供实证依据。这一设计本身就是方法论贡献，预计对计算社会科学领域的研究设计选择产生指导性影响。</w:t>
      </w:r>
    </w:p>
    <w:p w14:paraId="17645995">
      <w:pPr>
        <w:spacing w:before="60" w:after="60"/>
      </w:pPr>
    </w:p>
    <w:p w14:paraId="53147524">
      <w:pPr>
        <w:pStyle w:val="3"/>
        <w:spacing w:before="320" w:after="140"/>
      </w:pPr>
      <w:r>
        <w:rPr>
          <w:rFonts w:ascii="Arial" w:hAnsi="Arial" w:eastAsia="Arial" w:cs="Arial"/>
          <w:b/>
          <w:bCs/>
          <w:color w:val="174A7E"/>
          <w:sz w:val="25"/>
          <w:szCs w:val="25"/>
        </w:rPr>
        <w:t>17.3 理论贡献的三个层次</w:t>
      </w:r>
    </w:p>
    <w:p w14:paraId="55704EAE">
      <w:pPr>
        <w:spacing w:before="80" w:after="80"/>
        <w:jc w:val="both"/>
      </w:pPr>
      <w:r>
        <w:rPr>
          <w:rFonts w:ascii="Arial" w:hAnsi="Arial" w:eastAsia="Arial" w:cs="Arial"/>
          <w:b w:val="0"/>
          <w:bCs w:val="0"/>
          <w:color w:val="111111"/>
          <w:sz w:val="22"/>
          <w:szCs w:val="22"/>
        </w:rPr>
        <w:t>本项目的理论贡献超越了工具开发本身，在公共管理学、计算社会科学和教育技术三个领域各有实质性理论贡献。</w:t>
      </w:r>
    </w:p>
    <w:p w14:paraId="5D4A49C8">
      <w:pPr>
        <w:spacing w:before="80" w:after="80"/>
        <w:jc w:val="both"/>
      </w:pPr>
      <w:r>
        <w:rPr>
          <w:rFonts w:ascii="Arial" w:hAnsi="Arial" w:eastAsia="Arial" w:cs="Arial"/>
          <w:b w:val="0"/>
          <w:bCs w:val="0"/>
          <w:color w:val="111111"/>
          <w:sz w:val="22"/>
          <w:szCs w:val="22"/>
        </w:rPr>
        <w:t>在公共管理学领域，本项目的贡献是：通过「循证决策选项」机制，为公共管理教育中长期存在的「理论-实践翻译失败」问题提供了一个工程上可落地的解决方案。现有文献（Walker等，2019；Newman等，2016）已充分证明学术研究者与实践者之间存在系统性知识分割。本项目的贡献不是提出这一问题（这已被提出），而是构建了一个将学术文献实时嵌入决策过程的技术机制，并通过实验验证其在改变决策行为方面的实际效果。这一机制的可推广性不局限于严肃游戏，理论上可以应用于任何需要在复杂决策中即时调用学术依据的场景（如政策咨询软件、辅助决策系统等）。</w:t>
      </w:r>
    </w:p>
    <w:p w14:paraId="7EAB380D">
      <w:pPr>
        <w:spacing w:before="80" w:after="80"/>
        <w:jc w:val="both"/>
      </w:pPr>
      <w:r>
        <w:rPr>
          <w:rFonts w:ascii="Arial" w:hAnsi="Arial" w:eastAsia="Arial" w:cs="Arial"/>
          <w:b w:val="0"/>
          <w:bCs w:val="0"/>
          <w:color w:val="111111"/>
          <w:sz w:val="22"/>
          <w:szCs w:val="22"/>
        </w:rPr>
        <w:t>在计算社会科学领域，本项目的贡献是：在现有的行为实验工具谱系中增加了「受控博弈实验」这一新选项，填补了「有真实决策者参与的、在真实制度约束中发生的、可大规模复制的」行为实验工具的空白。目前，公共行政行为研究主要依赖三类工具：档案数据（无法控制内生性）、调查实验（缺乏真实决策情境）和ABM仿真（无真实决策者）。本项目提供的受控博弈实验在方法论谱系中处于调查实验与田野实验之间：比调查实验更接近真实情境，比田野实验更易控制和观察。论文P3的方法论比较研究将从实证层面为这一新工具的效度提供支持。</w:t>
      </w:r>
    </w:p>
    <w:p w14:paraId="5CC0E1F7">
      <w:pPr>
        <w:spacing w:before="80" w:after="80"/>
        <w:jc w:val="both"/>
      </w:pPr>
      <w:r>
        <w:rPr>
          <w:rFonts w:ascii="Arial" w:hAnsi="Arial" w:eastAsia="Arial" w:cs="Arial"/>
          <w:b w:val="0"/>
          <w:bCs w:val="0"/>
          <w:color w:val="111111"/>
          <w:sz w:val="22"/>
          <w:szCs w:val="22"/>
        </w:rPr>
        <w:t>在教育技术领域，本项目的贡献是：将经验学习理论（Kolb，1984）、循证决策教育（陈振明，2020）和基于案例推理（Schank &amp; Cleary，1995）三个独立的理论脉络整合进一个统一的平台设计框架，形成了「知识库驱动严肃游戏」的理论模型。这一模型的核心命题是：当学习者在高仿真情境中做出决策，且每个可选决策方案都附有文献可溯的理论依据时，知识从「背诵」转化为「内化」的学习效率显著提升。这一命题的实验验证将贡献于教育技术领域关于「理论内化」（theoretical internalization）机制的理论发展。</w:t>
      </w:r>
    </w:p>
    <w:p w14:paraId="0EC9A25F">
      <w:pPr>
        <w:spacing w:before="120" w:after="120"/>
      </w:pPr>
    </w:p>
    <w:p w14:paraId="060B232F">
      <w:r>
        <w:br w:type="page"/>
      </w:r>
    </w:p>
    <w:p w14:paraId="1B4FD0B3">
      <w:pPr>
        <w:pStyle w:val="2"/>
        <w:pBdr>
          <w:bottom w:val="single" w:color="1A3A5C" w:sz="8" w:space="2"/>
        </w:pBdr>
        <w:spacing w:before="440" w:after="200"/>
      </w:pPr>
      <w:r>
        <w:rPr>
          <w:rFonts w:ascii="Arial" w:hAnsi="Arial" w:eastAsia="Arial" w:cs="Arial"/>
          <w:b/>
          <w:bCs/>
          <w:color w:val="1A3A5C"/>
          <w:sz w:val="30"/>
          <w:szCs w:val="30"/>
        </w:rPr>
        <w:t>十八、项目预算方案（24个月）</w:t>
      </w:r>
    </w:p>
    <w:p w14:paraId="23A37973">
      <w:pPr>
        <w:spacing w:before="80" w:after="80"/>
        <w:jc w:val="both"/>
      </w:pPr>
      <w:r>
        <w:rPr>
          <w:rFonts w:ascii="Arial" w:hAnsi="Arial" w:eastAsia="Arial" w:cs="Arial"/>
          <w:b w:val="0"/>
          <w:bCs w:val="0"/>
          <w:color w:val="111111"/>
          <w:sz w:val="22"/>
          <w:szCs w:val="22"/>
        </w:rPr>
        <w:t>本项目预算基于「研究驱动、开发支撑」的原则制定，确保核心资源集中于知识产出（论文、数据集、规则集）而非平台商业化。预算分为人员经费、技术开发、研究执行和间接费用四大类，总计约68万元。以下对每类经费的必要性和使用方案进行详细说明。</w:t>
      </w:r>
    </w:p>
    <w:p w14:paraId="43492DCF">
      <w:pPr>
        <w:spacing w:before="60" w:after="6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1200"/>
        <w:gridCol w:w="3360"/>
      </w:tblGrid>
      <w:tr w14:paraId="4C7A0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5571453">
            <w:pPr>
              <w:spacing w:before="36" w:after="36"/>
              <w:jc w:val="center"/>
            </w:pPr>
            <w:r>
              <w:rPr>
                <w:rFonts w:ascii="Arial" w:hAnsi="Arial" w:eastAsia="Arial" w:cs="Arial"/>
                <w:b/>
                <w:bCs/>
                <w:color w:val="FFFFFF"/>
                <w:sz w:val="19"/>
                <w:szCs w:val="19"/>
              </w:rPr>
              <w:t>经费类别</w:t>
            </w:r>
          </w:p>
        </w:tc>
        <w:tc>
          <w:tcPr>
            <w:tcW w:w="30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4D7FB3CF">
            <w:pPr>
              <w:spacing w:before="36" w:after="36"/>
              <w:jc w:val="center"/>
            </w:pPr>
            <w:r>
              <w:rPr>
                <w:rFonts w:ascii="Arial" w:hAnsi="Arial" w:eastAsia="Arial" w:cs="Arial"/>
                <w:b/>
                <w:bCs/>
                <w:color w:val="FFFFFF"/>
                <w:sz w:val="19"/>
                <w:szCs w:val="19"/>
              </w:rPr>
              <w:t>子项</w:t>
            </w:r>
          </w:p>
        </w:tc>
        <w:tc>
          <w:tcPr>
            <w:tcW w:w="120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6335F8FE">
            <w:pPr>
              <w:spacing w:before="36" w:after="36"/>
              <w:jc w:val="center"/>
            </w:pPr>
            <w:r>
              <w:rPr>
                <w:rFonts w:ascii="Arial" w:hAnsi="Arial" w:eastAsia="Arial" w:cs="Arial"/>
                <w:b/>
                <w:bCs/>
                <w:color w:val="FFFFFF"/>
                <w:sz w:val="19"/>
                <w:szCs w:val="19"/>
              </w:rPr>
              <w:t>金额（元）</w:t>
            </w:r>
          </w:p>
        </w:tc>
        <w:tc>
          <w:tcPr>
            <w:tcW w:w="3360" w:type="dxa"/>
            <w:tcBorders>
              <w:top w:val="single" w:color="1F4F82" w:sz="6" w:space="0"/>
              <w:left w:val="single" w:color="1F4F82" w:sz="4" w:space="0"/>
              <w:bottom w:val="single" w:color="1F4F82" w:sz="6" w:space="0"/>
              <w:right w:val="single" w:color="1F4F82" w:sz="4" w:space="0"/>
            </w:tcBorders>
            <w:shd w:val="clear" w:color="auto" w:fill="1F4F82"/>
            <w:tcMar>
              <w:top w:w="90" w:type="dxa"/>
              <w:left w:w="130" w:type="dxa"/>
              <w:bottom w:w="90" w:type="dxa"/>
              <w:right w:w="130" w:type="dxa"/>
            </w:tcMar>
            <w:vAlign w:val="center"/>
          </w:tcPr>
          <w:p w14:paraId="356162F5">
            <w:pPr>
              <w:spacing w:before="36" w:after="36"/>
              <w:jc w:val="center"/>
            </w:pPr>
            <w:r>
              <w:rPr>
                <w:rFonts w:ascii="Arial" w:hAnsi="Arial" w:eastAsia="Arial" w:cs="Arial"/>
                <w:b/>
                <w:bCs/>
                <w:color w:val="FFFFFF"/>
                <w:sz w:val="19"/>
                <w:szCs w:val="19"/>
              </w:rPr>
              <w:t>必要性说明</w:t>
            </w:r>
          </w:p>
        </w:tc>
      </w:tr>
      <w:tr w14:paraId="76DD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0F5819E">
            <w:pPr>
              <w:spacing w:before="36" w:after="36"/>
              <w:jc w:val="left"/>
            </w:pPr>
            <w:r>
              <w:rPr>
                <w:rFonts w:ascii="Arial" w:hAnsi="Arial" w:eastAsia="Arial" w:cs="Arial"/>
                <w:color w:val="222222"/>
                <w:sz w:val="20"/>
                <w:szCs w:val="20"/>
              </w:rPr>
              <w:t>人员经费（共30万）</w:t>
            </w:r>
          </w:p>
        </w:tc>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B973118">
            <w:pPr>
              <w:spacing w:before="36" w:after="36"/>
              <w:jc w:val="left"/>
            </w:pPr>
            <w:r>
              <w:rPr>
                <w:rFonts w:ascii="Arial" w:hAnsi="Arial" w:eastAsia="Arial" w:cs="Arial"/>
                <w:color w:val="222222"/>
                <w:sz w:val="20"/>
                <w:szCs w:val="20"/>
              </w:rPr>
              <w:t>全职研究助理（2名，硕士/博士生，每人15000元/月×12月）</w:t>
            </w:r>
          </w:p>
        </w:tc>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9FB6FC8">
            <w:pPr>
              <w:spacing w:before="36" w:after="36"/>
              <w:jc w:val="left"/>
            </w:pPr>
            <w:r>
              <w:rPr>
                <w:rFonts w:ascii="Arial" w:hAnsi="Arial" w:eastAsia="Arial" w:cs="Arial"/>
                <w:color w:val="222222"/>
                <w:sz w:val="20"/>
                <w:szCs w:val="20"/>
              </w:rPr>
              <w:t>180000</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DA98F01">
            <w:pPr>
              <w:spacing w:before="36" w:after="36"/>
              <w:jc w:val="left"/>
            </w:pPr>
            <w:r>
              <w:rPr>
                <w:rFonts w:ascii="Arial" w:hAnsi="Arial" w:eastAsia="Arial" w:cs="Arial"/>
                <w:color w:val="222222"/>
                <w:sz w:val="20"/>
                <w:szCs w:val="20"/>
              </w:rPr>
              <w:t>负责文献库建设、选项质量评估、实验执行和数据清理，是支撑三篇论文研究质量的核心人力</w:t>
            </w:r>
          </w:p>
        </w:tc>
      </w:tr>
      <w:tr w14:paraId="470D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307B6FF">
            <w:pPr>
              <w:spacing w:before="36" w:after="36"/>
              <w:jc w:val="left"/>
            </w:pPr>
          </w:p>
        </w:tc>
        <w:tc>
          <w:tcPr>
            <w:tcW w:w="3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AE82E88">
            <w:pPr>
              <w:spacing w:before="36" w:after="36"/>
              <w:jc w:val="left"/>
            </w:pPr>
            <w:r>
              <w:rPr>
                <w:rFonts w:ascii="Arial" w:hAnsi="Arial" w:eastAsia="Arial" w:cs="Arial"/>
                <w:color w:val="222222"/>
                <w:sz w:val="20"/>
                <w:szCs w:val="20"/>
              </w:rPr>
              <w:t>兼职工程师（1名，后端，按项目付款）</w:t>
            </w:r>
          </w:p>
        </w:tc>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5C50CBE">
            <w:pPr>
              <w:spacing w:before="36" w:after="36"/>
              <w:jc w:val="left"/>
            </w:pPr>
            <w:r>
              <w:rPr>
                <w:rFonts w:ascii="Arial" w:hAnsi="Arial" w:eastAsia="Arial" w:cs="Arial"/>
                <w:color w:val="222222"/>
                <w:sz w:val="20"/>
                <w:szCs w:val="20"/>
              </w:rPr>
              <w:t>60000</w:t>
            </w:r>
          </w:p>
        </w:tc>
        <w:tc>
          <w:tcPr>
            <w:tcW w:w="3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5BA67CD">
            <w:pPr>
              <w:spacing w:before="36" w:after="36"/>
              <w:jc w:val="left"/>
            </w:pPr>
            <w:r>
              <w:rPr>
                <w:rFonts w:ascii="Arial" w:hAnsi="Arial" w:eastAsia="Arial" w:cs="Arial"/>
                <w:color w:val="222222"/>
                <w:sz w:val="20"/>
                <w:szCs w:val="20"/>
              </w:rPr>
              <w:t>负责RAG管道、游戏引擎和API接口开发，平台核心功能的技术实现者</w:t>
            </w:r>
          </w:p>
        </w:tc>
      </w:tr>
      <w:tr w14:paraId="2D18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0D7EE43">
            <w:pPr>
              <w:spacing w:before="36" w:after="36"/>
              <w:jc w:val="left"/>
            </w:pPr>
          </w:p>
        </w:tc>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99FEE5E">
            <w:pPr>
              <w:spacing w:before="36" w:after="36"/>
              <w:jc w:val="left"/>
            </w:pPr>
            <w:r>
              <w:rPr>
                <w:rFonts w:ascii="Arial" w:hAnsi="Arial" w:eastAsia="Arial" w:cs="Arial"/>
                <w:color w:val="222222"/>
                <w:sz w:val="20"/>
                <w:szCs w:val="20"/>
              </w:rPr>
              <w:t>兼职前端工程师（1名，按项目付款）</w:t>
            </w:r>
          </w:p>
        </w:tc>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14B4B08">
            <w:pPr>
              <w:spacing w:before="36" w:after="36"/>
              <w:jc w:val="left"/>
            </w:pPr>
            <w:r>
              <w:rPr>
                <w:rFonts w:ascii="Arial" w:hAnsi="Arial" w:eastAsia="Arial" w:cs="Arial"/>
                <w:color w:val="222222"/>
                <w:sz w:val="20"/>
                <w:szCs w:val="20"/>
              </w:rPr>
              <w:t>60000</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173DDD7">
            <w:pPr>
              <w:spacing w:before="36" w:after="36"/>
              <w:jc w:val="left"/>
            </w:pPr>
            <w:r>
              <w:rPr>
                <w:rFonts w:ascii="Arial" w:hAnsi="Arial" w:eastAsia="Arial" w:cs="Arial"/>
                <w:color w:val="222222"/>
                <w:sz w:val="20"/>
                <w:szCs w:val="20"/>
              </w:rPr>
              <w:t>负责三套界面（配置端/玩家端/分析端）的开发，直接影响用户体验和推演可用性</w:t>
            </w:r>
          </w:p>
        </w:tc>
      </w:tr>
      <w:tr w14:paraId="2DE08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CB3319F">
            <w:pPr>
              <w:spacing w:before="36" w:after="36"/>
              <w:jc w:val="left"/>
            </w:pPr>
            <w:r>
              <w:rPr>
                <w:rFonts w:ascii="Arial" w:hAnsi="Arial" w:eastAsia="Arial" w:cs="Arial"/>
                <w:color w:val="222222"/>
                <w:sz w:val="20"/>
                <w:szCs w:val="20"/>
              </w:rPr>
              <w:t>技术经费（共22万）</w:t>
            </w:r>
          </w:p>
        </w:tc>
        <w:tc>
          <w:tcPr>
            <w:tcW w:w="3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81B312A">
            <w:pPr>
              <w:spacing w:before="36" w:after="36"/>
              <w:jc w:val="left"/>
            </w:pPr>
            <w:r>
              <w:rPr>
                <w:rFonts w:ascii="Arial" w:hAnsi="Arial" w:eastAsia="Arial" w:cs="Arial"/>
                <w:color w:val="222222"/>
                <w:sz w:val="20"/>
                <w:szCs w:val="20"/>
              </w:rPr>
              <w:t>GPT-4o/Claude API费用（24个月）</w:t>
            </w:r>
          </w:p>
        </w:tc>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8FE7512">
            <w:pPr>
              <w:spacing w:before="36" w:after="36"/>
              <w:jc w:val="left"/>
            </w:pPr>
            <w:r>
              <w:rPr>
                <w:rFonts w:ascii="Arial" w:hAnsi="Arial" w:eastAsia="Arial" w:cs="Arial"/>
                <w:color w:val="222222"/>
                <w:sz w:val="20"/>
                <w:szCs w:val="20"/>
              </w:rPr>
              <w:t>80000</w:t>
            </w:r>
          </w:p>
        </w:tc>
        <w:tc>
          <w:tcPr>
            <w:tcW w:w="3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45B195A">
            <w:pPr>
              <w:spacing w:before="36" w:after="36"/>
              <w:jc w:val="left"/>
            </w:pPr>
            <w:r>
              <w:rPr>
                <w:rFonts w:ascii="Arial" w:hAnsi="Arial" w:eastAsia="Arial" w:cs="Arial"/>
                <w:color w:val="222222"/>
                <w:sz w:val="20"/>
                <w:szCs w:val="20"/>
              </w:rPr>
              <w:t>支持NPC对话生成、命题转化和复盘报告生成，按调用量计费，估算基于50场推演×300个决策节点×平均4个选项</w:t>
            </w:r>
          </w:p>
        </w:tc>
      </w:tr>
      <w:tr w14:paraId="21FD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55F4F8B">
            <w:pPr>
              <w:spacing w:before="36" w:after="36"/>
              <w:jc w:val="left"/>
            </w:pPr>
          </w:p>
        </w:tc>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3DAAF1D">
            <w:pPr>
              <w:spacing w:before="36" w:after="36"/>
              <w:jc w:val="left"/>
            </w:pPr>
            <w:r>
              <w:rPr>
                <w:rFonts w:ascii="Arial" w:hAnsi="Arial" w:eastAsia="Arial" w:cs="Arial"/>
                <w:color w:val="222222"/>
                <w:sz w:val="20"/>
                <w:szCs w:val="20"/>
              </w:rPr>
              <w:t>云服务器及存储（24个月）</w:t>
            </w:r>
          </w:p>
        </w:tc>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45B5AA24">
            <w:pPr>
              <w:spacing w:before="36" w:after="36"/>
              <w:jc w:val="left"/>
            </w:pPr>
            <w:r>
              <w:rPr>
                <w:rFonts w:ascii="Arial" w:hAnsi="Arial" w:eastAsia="Arial" w:cs="Arial"/>
                <w:color w:val="222222"/>
                <w:sz w:val="20"/>
                <w:szCs w:val="20"/>
              </w:rPr>
              <w:t>60000</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606FBE3">
            <w:pPr>
              <w:spacing w:before="36" w:after="36"/>
              <w:jc w:val="left"/>
            </w:pPr>
            <w:r>
              <w:rPr>
                <w:rFonts w:ascii="Arial" w:hAnsi="Arial" w:eastAsia="Arial" w:cs="Arial"/>
                <w:color w:val="222222"/>
                <w:sz w:val="20"/>
                <w:szCs w:val="20"/>
              </w:rPr>
              <w:t>承载平台运行、向量数据库和行为数据存储，采用按需付费弹性扩容</w:t>
            </w:r>
          </w:p>
        </w:tc>
      </w:tr>
      <w:tr w14:paraId="7C98D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26C4FD9">
            <w:pPr>
              <w:spacing w:before="36" w:after="36"/>
              <w:jc w:val="left"/>
            </w:pPr>
          </w:p>
        </w:tc>
        <w:tc>
          <w:tcPr>
            <w:tcW w:w="3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F8FA6FE">
            <w:pPr>
              <w:spacing w:before="36" w:after="36"/>
              <w:jc w:val="left"/>
            </w:pPr>
            <w:r>
              <w:rPr>
                <w:rFonts w:ascii="Arial" w:hAnsi="Arial" w:eastAsia="Arial" w:cs="Arial"/>
                <w:color w:val="222222"/>
                <w:sz w:val="20"/>
                <w:szCs w:val="20"/>
              </w:rPr>
              <w:t>向量数据库及嵌入模型服务</w:t>
            </w:r>
          </w:p>
        </w:tc>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BB03235">
            <w:pPr>
              <w:spacing w:before="36" w:after="36"/>
              <w:jc w:val="left"/>
            </w:pPr>
            <w:r>
              <w:rPr>
                <w:rFonts w:ascii="Arial" w:hAnsi="Arial" w:eastAsia="Arial" w:cs="Arial"/>
                <w:color w:val="222222"/>
                <w:sz w:val="20"/>
                <w:szCs w:val="20"/>
              </w:rPr>
              <w:t>40000</w:t>
            </w:r>
          </w:p>
        </w:tc>
        <w:tc>
          <w:tcPr>
            <w:tcW w:w="3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054141A6">
            <w:pPr>
              <w:spacing w:before="36" w:after="36"/>
              <w:jc w:val="left"/>
            </w:pPr>
            <w:r>
              <w:rPr>
                <w:rFonts w:ascii="Arial" w:hAnsi="Arial" w:eastAsia="Arial" w:cs="Arial"/>
                <w:color w:val="222222"/>
                <w:sz w:val="20"/>
                <w:szCs w:val="20"/>
              </w:rPr>
              <w:t>BGE-M3嵌入模型的本地部署GPU算力（或云端API），支持知识库的向量化处理</w:t>
            </w:r>
          </w:p>
        </w:tc>
      </w:tr>
      <w:tr w14:paraId="5F9F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BF5CB42">
            <w:pPr>
              <w:spacing w:before="36" w:after="36"/>
              <w:jc w:val="left"/>
            </w:pPr>
          </w:p>
        </w:tc>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1E375B1">
            <w:pPr>
              <w:spacing w:before="36" w:after="36"/>
              <w:jc w:val="left"/>
            </w:pPr>
            <w:r>
              <w:rPr>
                <w:rFonts w:ascii="Arial" w:hAnsi="Arial" w:eastAsia="Arial" w:cs="Arial"/>
                <w:color w:val="222222"/>
                <w:sz w:val="20"/>
                <w:szCs w:val="20"/>
              </w:rPr>
              <w:t>安全审计与数据保护（一次性）</w:t>
            </w:r>
          </w:p>
        </w:tc>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027D71C">
            <w:pPr>
              <w:spacing w:before="36" w:after="36"/>
              <w:jc w:val="left"/>
            </w:pPr>
            <w:r>
              <w:rPr>
                <w:rFonts w:ascii="Arial" w:hAnsi="Arial" w:eastAsia="Arial" w:cs="Arial"/>
                <w:color w:val="222222"/>
                <w:sz w:val="20"/>
                <w:szCs w:val="20"/>
              </w:rPr>
              <w:t>40000</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4F388DF">
            <w:pPr>
              <w:spacing w:before="36" w:after="36"/>
              <w:jc w:val="left"/>
            </w:pPr>
            <w:r>
              <w:rPr>
                <w:rFonts w:ascii="Arial" w:hAnsi="Arial" w:eastAsia="Arial" w:cs="Arial"/>
                <w:color w:val="222222"/>
                <w:sz w:val="20"/>
                <w:szCs w:val="20"/>
              </w:rPr>
              <w:t>研究数据涉及被试行为数据，需完成数据安全评估和合规审查</w:t>
            </w:r>
          </w:p>
        </w:tc>
      </w:tr>
      <w:tr w14:paraId="4FEFF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41F749C5">
            <w:pPr>
              <w:spacing w:before="36" w:after="36"/>
              <w:jc w:val="left"/>
            </w:pPr>
            <w:r>
              <w:rPr>
                <w:rFonts w:ascii="Arial" w:hAnsi="Arial" w:eastAsia="Arial" w:cs="Arial"/>
                <w:color w:val="222222"/>
                <w:sz w:val="20"/>
                <w:szCs w:val="20"/>
              </w:rPr>
              <w:t>研究执行经费（共12万）</w:t>
            </w:r>
          </w:p>
        </w:tc>
        <w:tc>
          <w:tcPr>
            <w:tcW w:w="3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287716F8">
            <w:pPr>
              <w:spacing w:before="36" w:after="36"/>
              <w:jc w:val="left"/>
            </w:pPr>
            <w:r>
              <w:rPr>
                <w:rFonts w:ascii="Arial" w:hAnsi="Arial" w:eastAsia="Arial" w:cs="Arial"/>
                <w:color w:val="222222"/>
                <w:sz w:val="20"/>
                <w:szCs w:val="20"/>
              </w:rPr>
              <w:t>被试劳务补偿（120名×300元/人）</w:t>
            </w:r>
          </w:p>
        </w:tc>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DFA686D">
            <w:pPr>
              <w:spacing w:before="36" w:after="36"/>
              <w:jc w:val="left"/>
            </w:pPr>
            <w:r>
              <w:rPr>
                <w:rFonts w:ascii="Arial" w:hAnsi="Arial" w:eastAsia="Arial" w:cs="Arial"/>
                <w:color w:val="222222"/>
                <w:sz w:val="20"/>
                <w:szCs w:val="20"/>
              </w:rPr>
              <w:t>36000</w:t>
            </w:r>
          </w:p>
        </w:tc>
        <w:tc>
          <w:tcPr>
            <w:tcW w:w="3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0AA10EA">
            <w:pPr>
              <w:spacing w:before="36" w:after="36"/>
              <w:jc w:val="left"/>
            </w:pPr>
            <w:r>
              <w:rPr>
                <w:rFonts w:ascii="Arial" w:hAnsi="Arial" w:eastAsia="Arial" w:cs="Arial"/>
                <w:color w:val="222222"/>
                <w:sz w:val="20"/>
                <w:szCs w:val="20"/>
              </w:rPr>
              <w:t>按IRB规范向参与研究实验的被试支付劳务费，300元/人基于3小时推演参与时长</w:t>
            </w:r>
          </w:p>
        </w:tc>
      </w:tr>
      <w:tr w14:paraId="4907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0D86A95">
            <w:pPr>
              <w:spacing w:before="36" w:after="36"/>
              <w:jc w:val="left"/>
            </w:pPr>
          </w:p>
        </w:tc>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2FECAA47">
            <w:pPr>
              <w:spacing w:before="36" w:after="36"/>
              <w:jc w:val="left"/>
            </w:pPr>
            <w:r>
              <w:rPr>
                <w:rFonts w:ascii="Arial" w:hAnsi="Arial" w:eastAsia="Arial" w:cs="Arial"/>
                <w:color w:val="222222"/>
                <w:sz w:val="20"/>
                <w:szCs w:val="20"/>
              </w:rPr>
              <w:t>专家咨询费（12次×3000元）</w:t>
            </w:r>
          </w:p>
        </w:tc>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13E1DA70">
            <w:pPr>
              <w:spacing w:before="36" w:after="36"/>
              <w:jc w:val="left"/>
            </w:pPr>
            <w:r>
              <w:rPr>
                <w:rFonts w:ascii="Arial" w:hAnsi="Arial" w:eastAsia="Arial" w:cs="Arial"/>
                <w:color w:val="222222"/>
                <w:sz w:val="20"/>
                <w:szCs w:val="20"/>
              </w:rPr>
              <w:t>36000</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6A251CE5">
            <w:pPr>
              <w:spacing w:before="36" w:after="36"/>
              <w:jc w:val="left"/>
            </w:pPr>
            <w:r>
              <w:rPr>
                <w:rFonts w:ascii="Arial" w:hAnsi="Arial" w:eastAsia="Arial" w:cs="Arial"/>
                <w:color w:val="222222"/>
                <w:sz w:val="20"/>
                <w:szCs w:val="20"/>
              </w:rPr>
              <w:t>邀请公共管理学者参与场景审核、制度规则评估和论文评审，是保证制度真实性的关键</w:t>
            </w:r>
          </w:p>
        </w:tc>
      </w:tr>
      <w:tr w14:paraId="77E0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FA48AE4">
            <w:pPr>
              <w:spacing w:before="36" w:after="36"/>
              <w:jc w:val="left"/>
            </w:pPr>
          </w:p>
        </w:tc>
        <w:tc>
          <w:tcPr>
            <w:tcW w:w="30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1D229F14">
            <w:pPr>
              <w:spacing w:before="36" w:after="36"/>
              <w:jc w:val="left"/>
            </w:pPr>
            <w:r>
              <w:rPr>
                <w:rFonts w:ascii="Arial" w:hAnsi="Arial" w:eastAsia="Arial" w:cs="Arial"/>
                <w:color w:val="222222"/>
                <w:sz w:val="20"/>
                <w:szCs w:val="20"/>
              </w:rPr>
              <w:t>学术交流与差旅（3次国内学术会议）</w:t>
            </w:r>
          </w:p>
        </w:tc>
        <w:tc>
          <w:tcPr>
            <w:tcW w:w="120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59BCA6BA">
            <w:pPr>
              <w:spacing w:before="36" w:after="36"/>
              <w:jc w:val="left"/>
            </w:pPr>
            <w:r>
              <w:rPr>
                <w:rFonts w:ascii="Arial" w:hAnsi="Arial" w:eastAsia="Arial" w:cs="Arial"/>
                <w:color w:val="222222"/>
                <w:sz w:val="20"/>
                <w:szCs w:val="20"/>
              </w:rPr>
              <w:t>48000</w:t>
            </w:r>
          </w:p>
        </w:tc>
        <w:tc>
          <w:tcPr>
            <w:tcW w:w="3360" w:type="dxa"/>
            <w:tcBorders>
              <w:top w:val="single" w:color="AABCCE" w:sz="4" w:space="0"/>
              <w:left w:val="single" w:color="AABCCE" w:sz="4" w:space="0"/>
              <w:bottom w:val="single" w:color="AABCCE" w:sz="4" w:space="0"/>
              <w:right w:val="single" w:color="AABCCE" w:sz="4" w:space="0"/>
            </w:tcBorders>
            <w:shd w:val="clear" w:color="auto" w:fill="EBF4FB"/>
            <w:tcMar>
              <w:top w:w="90" w:type="dxa"/>
              <w:left w:w="130" w:type="dxa"/>
              <w:bottom w:w="90" w:type="dxa"/>
              <w:right w:w="130" w:type="dxa"/>
            </w:tcMar>
          </w:tcPr>
          <w:p w14:paraId="6F2BC220">
            <w:pPr>
              <w:spacing w:before="36" w:after="36"/>
              <w:jc w:val="left"/>
            </w:pPr>
            <w:r>
              <w:rPr>
                <w:rFonts w:ascii="Arial" w:hAnsi="Arial" w:eastAsia="Arial" w:cs="Arial"/>
                <w:color w:val="222222"/>
                <w:sz w:val="20"/>
                <w:szCs w:val="20"/>
              </w:rPr>
              <w:t>在公共管理学会年会、计算社会科学年会等发表研究成果，扩大项目学术影响力</w:t>
            </w:r>
          </w:p>
        </w:tc>
      </w:tr>
      <w:tr w14:paraId="662E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50FB0829">
            <w:pPr>
              <w:spacing w:before="36" w:after="36"/>
              <w:jc w:val="left"/>
            </w:pPr>
            <w:r>
              <w:rPr>
                <w:rFonts w:ascii="Arial" w:hAnsi="Arial" w:eastAsia="Arial" w:cs="Arial"/>
                <w:color w:val="222222"/>
                <w:sz w:val="20"/>
                <w:szCs w:val="20"/>
              </w:rPr>
              <w:t>间接经费（共4万）</w:t>
            </w:r>
          </w:p>
        </w:tc>
        <w:tc>
          <w:tcPr>
            <w:tcW w:w="30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3C572294">
            <w:pPr>
              <w:spacing w:before="36" w:after="36"/>
              <w:jc w:val="left"/>
            </w:pPr>
            <w:r>
              <w:rPr>
                <w:rFonts w:ascii="Arial" w:hAnsi="Arial" w:eastAsia="Arial" w:cs="Arial"/>
                <w:color w:val="222222"/>
                <w:sz w:val="20"/>
                <w:szCs w:val="20"/>
              </w:rPr>
              <w:t>管理费用、知识产权登记、出版费</w:t>
            </w:r>
          </w:p>
        </w:tc>
        <w:tc>
          <w:tcPr>
            <w:tcW w:w="120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006D18DB">
            <w:pPr>
              <w:spacing w:before="36" w:after="36"/>
              <w:jc w:val="left"/>
            </w:pPr>
            <w:r>
              <w:rPr>
                <w:rFonts w:ascii="Arial" w:hAnsi="Arial" w:eastAsia="Arial" w:cs="Arial"/>
                <w:color w:val="222222"/>
                <w:sz w:val="20"/>
                <w:szCs w:val="20"/>
              </w:rPr>
              <w:t>40000</w:t>
            </w:r>
          </w:p>
        </w:tc>
        <w:tc>
          <w:tcPr>
            <w:tcW w:w="3360" w:type="dxa"/>
            <w:tcBorders>
              <w:top w:val="single" w:color="AABCCE" w:sz="4" w:space="0"/>
              <w:left w:val="single" w:color="AABCCE" w:sz="4" w:space="0"/>
              <w:bottom w:val="single" w:color="AABCCE" w:sz="4" w:space="0"/>
              <w:right w:val="single" w:color="AABCCE" w:sz="4" w:space="0"/>
            </w:tcBorders>
            <w:shd w:val="clear" w:color="auto" w:fill="FFFFFF"/>
            <w:tcMar>
              <w:top w:w="90" w:type="dxa"/>
              <w:left w:w="130" w:type="dxa"/>
              <w:bottom w:w="90" w:type="dxa"/>
              <w:right w:w="130" w:type="dxa"/>
            </w:tcMar>
          </w:tcPr>
          <w:p w14:paraId="79FA29FA">
            <w:pPr>
              <w:spacing w:before="36" w:after="36"/>
              <w:jc w:val="left"/>
            </w:pPr>
            <w:r>
              <w:rPr>
                <w:rFonts w:ascii="Arial" w:hAnsi="Arial" w:eastAsia="Arial" w:cs="Arial"/>
                <w:color w:val="222222"/>
                <w:sz w:val="20"/>
                <w:szCs w:val="20"/>
              </w:rPr>
              <w:t>平台软件著作权登记、开放数据许可证申请、论文出版处理费（OA费用）</w:t>
            </w:r>
          </w:p>
        </w:tc>
      </w:tr>
    </w:tbl>
    <w:p w14:paraId="6DB4966F">
      <w:pPr>
        <w:spacing w:before="60" w:after="60"/>
      </w:pPr>
    </w:p>
    <w:p w14:paraId="7E3A6DE3">
      <w:pPr>
        <w:spacing w:before="80" w:after="80"/>
        <w:jc w:val="both"/>
      </w:pPr>
      <w:r>
        <w:rPr>
          <w:rFonts w:ascii="Arial" w:hAnsi="Arial" w:eastAsia="Arial" w:cs="Arial"/>
          <w:b w:val="0"/>
          <w:bCs w:val="0"/>
          <w:color w:val="111111"/>
          <w:sz w:val="22"/>
          <w:szCs w:val="22"/>
        </w:rPr>
        <w:t>预算说明一：人员经费集中于前12个月。平台开发工作量主要集中于第一阶段（M1-M9），两名全职助理和两名兼职工程师的核心工时均在这一阶段。第二阶段和第三阶段的人员经费主要用于研究执行（数据采集、清理和分析）和论文写作。</w:t>
      </w:r>
    </w:p>
    <w:p w14:paraId="56F2C1B5">
      <w:pPr>
        <w:spacing w:before="80" w:after="80"/>
        <w:jc w:val="both"/>
      </w:pPr>
      <w:r>
        <w:rPr>
          <w:rFonts w:ascii="Arial" w:hAnsi="Arial" w:eastAsia="Arial" w:cs="Arial"/>
          <w:b w:val="0"/>
          <w:bCs w:val="0"/>
          <w:color w:val="111111"/>
          <w:sz w:val="22"/>
          <w:szCs w:val="22"/>
        </w:rPr>
        <w:t>预算说明二：GPT-4o/Claude API费用估算。推演中每个决策节点的RAG选项生成（约3000 tokens输入+500 tokens输出）、NPC复杂情境响应（约2000 tokens输入+300 tokens输出）和复盘报告生成（约5000 tokens输入+1500 tokens输出）是主要消耗来源。基于GPT-4o当前定价和预计的推演规模，估算24个月总API费用约8万元，含20%余量。</w:t>
      </w:r>
    </w:p>
    <w:p w14:paraId="1B944B67">
      <w:pPr>
        <w:spacing w:before="80" w:after="80"/>
        <w:jc w:val="both"/>
      </w:pPr>
      <w:r>
        <w:rPr>
          <w:rFonts w:ascii="Arial" w:hAnsi="Arial" w:eastAsia="Arial" w:cs="Arial"/>
          <w:b w:val="0"/>
          <w:bCs w:val="0"/>
          <w:color w:val="111111"/>
          <w:sz w:val="22"/>
          <w:szCs w:val="22"/>
        </w:rPr>
        <w:t>预算说明三：云服务器采用弹性扩容策略。初期（M1-M11）使用基础配置（4核16G，500G存储），费用约2000元/月。第二阶段教学和研究部署启动后升级为高性能配置（8核32G，2T存储），费用约3500元/月。推演高峰期（学期末）使用弹性扩容，确保并发性能。</w:t>
      </w:r>
    </w:p>
    <w:p w14:paraId="4F3DE4EA">
      <w:pPr>
        <w:spacing w:before="120" w:after="120"/>
      </w:pPr>
    </w:p>
    <w:p w14:paraId="168D1B1B">
      <w:r>
        <w:br w:type="page"/>
      </w:r>
    </w:p>
    <w:p w14:paraId="3B13C8C5">
      <w:pPr>
        <w:pStyle w:val="2"/>
        <w:pBdr>
          <w:bottom w:val="single" w:color="1A3A5C" w:sz="8" w:space="2"/>
        </w:pBdr>
        <w:spacing w:before="440" w:after="200"/>
      </w:pPr>
      <w:r>
        <w:rPr>
          <w:rFonts w:ascii="Arial" w:hAnsi="Arial" w:eastAsia="Arial" w:cs="Arial"/>
          <w:b/>
          <w:bCs/>
          <w:color w:val="1A3A5C"/>
          <w:sz w:val="30"/>
          <w:szCs w:val="30"/>
        </w:rPr>
        <w:t>十九、研究伦理与局限性声明</w:t>
      </w:r>
    </w:p>
    <w:p w14:paraId="38A00A72">
      <w:pPr>
        <w:spacing w:before="80" w:after="80"/>
        <w:jc w:val="both"/>
      </w:pPr>
      <w:r>
        <w:rPr>
          <w:rFonts w:ascii="Arial" w:hAnsi="Arial" w:eastAsia="Arial" w:cs="Arial"/>
          <w:b w:val="0"/>
          <w:bCs w:val="0"/>
          <w:color w:val="111111"/>
          <w:sz w:val="22"/>
          <w:szCs w:val="22"/>
        </w:rPr>
        <w:t>严肃对待研究伦理和方法论局限性是计算社会科学研究规范化的重要组成部分。本节对本项目涉及的伦理议题和方法论局限性进行透明披露，并说明相应的应对措施。</w:t>
      </w:r>
    </w:p>
    <w:p w14:paraId="2D91CBD0">
      <w:pPr>
        <w:spacing w:before="60" w:after="60"/>
      </w:pPr>
    </w:p>
    <w:p w14:paraId="1CA3CE26">
      <w:pPr>
        <w:pStyle w:val="3"/>
        <w:spacing w:before="320" w:after="140"/>
      </w:pPr>
      <w:r>
        <w:rPr>
          <w:rFonts w:ascii="Arial" w:hAnsi="Arial" w:eastAsia="Arial" w:cs="Arial"/>
          <w:b/>
          <w:bCs/>
          <w:color w:val="174A7E"/>
          <w:sz w:val="25"/>
          <w:szCs w:val="25"/>
        </w:rPr>
        <w:t>19.1 研究伦理框架</w:t>
      </w:r>
    </w:p>
    <w:p w14:paraId="3C1D21D8">
      <w:pPr>
        <w:spacing w:before="80" w:after="80"/>
        <w:jc w:val="both"/>
      </w:pPr>
      <w:r>
        <w:rPr>
          <w:rFonts w:ascii="Arial" w:hAnsi="Arial" w:eastAsia="Arial" w:cs="Arial"/>
          <w:b w:val="0"/>
          <w:bCs w:val="0"/>
          <w:color w:val="111111"/>
          <w:sz w:val="22"/>
          <w:szCs w:val="22"/>
        </w:rPr>
        <w:t>本项目涉及人类被试研究，全部实验研究在开展前须完成伦理审查委员会（IRB）审批。根据实验设计的风险等级，本项目属于「最低风险研究」（minimal risk research），理由如下：实验不涉及欺骗性设计（被试完全知情自己在参与研究实验）；数据采集不涉及敏感个人信息（不采集真实姓名、身份证号、工作单位等可识别信息）；推演场景均为虚构情境，不要求被试披露真实工作经历；被试可随时退出实验，退出不会产生任何负面后果。尽管属于最低风险研究，本项目仍将严格执行以下伦理规范。</w:t>
      </w:r>
    </w:p>
    <w:p w14:paraId="5633AD4A">
      <w:pPr>
        <w:spacing w:before="80" w:after="80"/>
        <w:jc w:val="both"/>
      </w:pPr>
      <w:r>
        <w:rPr>
          <w:rFonts w:ascii="Arial" w:hAnsi="Arial" w:eastAsia="Arial" w:cs="Arial"/>
          <w:b w:val="0"/>
          <w:bCs w:val="0"/>
          <w:color w:val="111111"/>
          <w:sz w:val="22"/>
          <w:szCs w:val="22"/>
        </w:rPr>
        <w:t>知情同意：所有被试在参与前须完整阅读并签署电子知情同意书。知情同意书明确告知以下信息：研究目的（研究公共治理中的决策行为模式）、数据采集范围（推演行为日志、通信记录、后测问卷答案）、数据存储与保护方式（加密存储，5年后销毁）、数据发布政策（去标识化后的汇总数据可能以数据集形式公开发布）、保密承诺（不发布任何可识别个体身份的数据）、以及自愿参与原则（随时可退出，不影响任何已承诺的课程成绩或劳务补偿）。</w:t>
      </w:r>
    </w:p>
    <w:p w14:paraId="6C3A556F">
      <w:pPr>
        <w:spacing w:before="80" w:after="80"/>
        <w:jc w:val="both"/>
      </w:pPr>
      <w:r>
        <w:rPr>
          <w:rFonts w:ascii="Arial" w:hAnsi="Arial" w:eastAsia="Arial" w:cs="Arial"/>
          <w:b w:val="0"/>
          <w:bCs w:val="0"/>
          <w:color w:val="111111"/>
          <w:sz w:val="22"/>
          <w:szCs w:val="22"/>
        </w:rPr>
        <w:t>数据安全与隐私保护：被试的行为数据在采集后立即与真实身份脱钩，赋予匿名化ID（格式：GS_YYYYMM_XXXX）。数据库中不存储真实姓名，仅保留院校代码、参与批次和随机ID。数据在服务器端使用AES-256加密，传输使用TLS 1.3。主要研究人员对原始数据具有访问权限，通过数据库日志记录每次访问。任何发布的数据集仅包含汇总统计或已通过k-匿名处理（k≥5）的数据，确保不可反向识别个体。</w:t>
      </w:r>
    </w:p>
    <w:p w14:paraId="288F1849">
      <w:pPr>
        <w:spacing w:before="80" w:after="80"/>
        <w:jc w:val="both"/>
      </w:pPr>
      <w:r>
        <w:rPr>
          <w:rFonts w:ascii="Arial" w:hAnsi="Arial" w:eastAsia="Arial" w:cs="Arial"/>
          <w:b w:val="0"/>
          <w:bCs w:val="0"/>
          <w:color w:val="111111"/>
          <w:sz w:val="22"/>
          <w:szCs w:val="22"/>
        </w:rPr>
        <w:t>特殊被试群体的保护：部分实验招募在职公务员作为被试。公务员参与研究实验不涉及对其工作的评估或影响，平台不向其所在单位披露参与记录。招募渠道通过非工作场所的学术网络进行（如政府管理培训项目的自愿招募），确保不存在上下级关系导致的隐性强制参与。</w:t>
      </w:r>
    </w:p>
    <w:p w14:paraId="1D88C411">
      <w:pPr>
        <w:spacing w:before="60" w:after="60"/>
      </w:pPr>
    </w:p>
    <w:p w14:paraId="7B2C691D">
      <w:pPr>
        <w:pStyle w:val="3"/>
        <w:spacing w:before="320" w:after="140"/>
      </w:pPr>
      <w:r>
        <w:rPr>
          <w:rFonts w:ascii="Arial" w:hAnsi="Arial" w:eastAsia="Arial" w:cs="Arial"/>
          <w:b/>
          <w:bCs/>
          <w:color w:val="174A7E"/>
          <w:sz w:val="25"/>
          <w:szCs w:val="25"/>
        </w:rPr>
        <w:t>19.2 方法论局限性及其应对</w:t>
      </w:r>
    </w:p>
    <w:p w14:paraId="77E3FC85">
      <w:pPr>
        <w:spacing w:before="80" w:after="80"/>
        <w:jc w:val="both"/>
      </w:pPr>
      <w:r>
        <w:rPr>
          <w:rFonts w:ascii="Arial" w:hAnsi="Arial" w:eastAsia="Arial" w:cs="Arial"/>
          <w:b w:val="0"/>
          <w:bCs w:val="0"/>
          <w:color w:val="111111"/>
          <w:sz w:val="22"/>
          <w:szCs w:val="22"/>
        </w:rPr>
        <w:t>坦诚声明方法论局限性是科学研究严谨性的表现，也有助于读者正确理解和使用研究成果。</w:t>
      </w:r>
    </w:p>
    <w:p w14:paraId="07F5CC76">
      <w:pPr>
        <w:spacing w:before="80" w:after="80"/>
        <w:jc w:val="both"/>
      </w:pPr>
      <w:r>
        <w:rPr>
          <w:rFonts w:ascii="Arial" w:hAnsi="Arial" w:eastAsia="Arial" w:cs="Arial"/>
          <w:b w:val="0"/>
          <w:bCs w:val="0"/>
          <w:color w:val="111111"/>
          <w:sz w:val="22"/>
          <w:szCs w:val="22"/>
        </w:rPr>
        <w:t>局限性一：样本代表性问题。本项目的实验被试主要由两类群体构成：高校公共管理/政治学专业的研究生（MPA/MPP学员）和自愿参与的政府培训课程学员。这两类群体均不能完全代表真实的中国地方官员群体——前者年龄偏年轻、学历偏高，后者受课程情境影响可能存在展示效应（social desirability bias）。应对措施：在论文写作中明确样本特征，不进行超越样本范围的过度推广；第三阶段设计一项专门的「样本代表性检验」研究，将在职公务员样本（通过正式合作渠道获取）与学生样本的决策行为进行比较，量化样本偏差的程度。</w:t>
      </w:r>
    </w:p>
    <w:p w14:paraId="53B4B5B0">
      <w:pPr>
        <w:spacing w:before="80" w:after="80"/>
        <w:jc w:val="both"/>
      </w:pPr>
      <w:r>
        <w:rPr>
          <w:rFonts w:ascii="Arial" w:hAnsi="Arial" w:eastAsia="Arial" w:cs="Arial"/>
          <w:b w:val="0"/>
          <w:bCs w:val="0"/>
          <w:color w:val="111111"/>
          <w:sz w:val="22"/>
          <w:szCs w:val="22"/>
        </w:rPr>
        <w:t>局限性二：推演设计诱发行为的外部效度。严肃游戏实验的行为是否能预测真实决策情境中的行为，是这类研究固有的外部效度问题。虽然严肃游戏比简单的纸笔调查实验更接近真实情境，但游戏仍然是游戏，玩家在游戏中的决策可能受到游戏化框架的影响（如对「失败惩罚」的态度与真实工作中对「仕途风险」的态度不完全相同）。应对措施：在论文P3中直接测量推演行为意图与推演后真实态度调查之间的相关性，为外部效度提供实证估计；在论文方法部分明确标注外部效度局限，避免夸大实验室行为的预测力。</w:t>
      </w:r>
    </w:p>
    <w:p w14:paraId="7DF3B3F7">
      <w:pPr>
        <w:spacing w:before="80" w:after="80"/>
        <w:jc w:val="both"/>
      </w:pPr>
      <w:r>
        <w:rPr>
          <w:rFonts w:ascii="Arial" w:hAnsi="Arial" w:eastAsia="Arial" w:cs="Arial"/>
          <w:b w:val="0"/>
          <w:bCs w:val="0"/>
          <w:color w:val="111111"/>
          <w:sz w:val="22"/>
          <w:szCs w:val="22"/>
        </w:rPr>
        <w:t>局限性三：RAG选项覆盖范围的潜在偏差。RAG从学术文献中提炼选项，意味着选项的覆盖范围和质量受到学术文献库的制约——如果百晓生知识库对某类治理策略（如非正式渠道、地方创新做法）覆盖不足，对应的决策选项就可能被系统性低估。应对措施：建立「选项覆盖度审计」机制，定期邀请1-2名有实际政务经验的顾问对样本决策节点的选项集进行评审，标注缺失的实践中常见策略类型，并将其纳入L3用户私有库以补充RAG覆盖；同时，开放用户自定义选项功能确保实践智慧不被系统性排除。</w:t>
      </w:r>
    </w:p>
    <w:p w14:paraId="1DEC65C3">
      <w:pPr>
        <w:spacing w:before="80" w:after="80"/>
        <w:jc w:val="both"/>
      </w:pPr>
      <w:r>
        <w:rPr>
          <w:rFonts w:ascii="Arial" w:hAnsi="Arial" w:eastAsia="Arial" w:cs="Arial"/>
          <w:b w:val="0"/>
          <w:bCs w:val="0"/>
          <w:color w:val="111111"/>
          <w:sz w:val="22"/>
          <w:szCs w:val="22"/>
        </w:rPr>
        <w:t>局限性四：平台规模效应需要时间验证。单一项目期间（24个月）的用户规模和推演场次相对有限（预计100-150名研究被试，50-100场教学推演），尚不足以建立具有统计代表性的大规模行为数据集。本项目的数据规模适合用于「方法论验证」（证明该工具可以采集特定类型的行为数据）和「初步效应估计」（对理论假设的初步实证检验），但尚不适合作为建立模型参数基准值的大规模数据来源。这一局限性将在论文写作中明确声明，并以项目延续期的研究展望加以回应。</w:t>
      </w:r>
    </w:p>
    <w:p w14:paraId="0386A17E">
      <w:pPr>
        <w:spacing w:before="120" w:after="120"/>
      </w:pPr>
    </w:p>
    <w:p w14:paraId="3551C775">
      <w:r>
        <w:br w:type="page"/>
      </w:r>
    </w:p>
    <w:p w14:paraId="6947B21A">
      <w:pPr>
        <w:pStyle w:val="2"/>
        <w:pBdr>
          <w:bottom w:val="single" w:color="1A3A5C" w:sz="8" w:space="2"/>
        </w:pBdr>
        <w:spacing w:before="440" w:after="200"/>
      </w:pPr>
      <w:r>
        <w:rPr>
          <w:rFonts w:ascii="Arial" w:hAnsi="Arial" w:eastAsia="Arial" w:cs="Arial"/>
          <w:b/>
          <w:bCs/>
          <w:color w:val="1A3A5C"/>
          <w:sz w:val="30"/>
          <w:szCs w:val="30"/>
        </w:rPr>
        <w:t>二十、平台设计哲学：用户自主性与制度真实性的平衡</w:t>
      </w:r>
    </w:p>
    <w:p w14:paraId="4F1D8901">
      <w:pPr>
        <w:spacing w:before="80" w:after="80"/>
        <w:jc w:val="both"/>
      </w:pPr>
      <w:r>
        <w:rPr>
          <w:rFonts w:ascii="Arial" w:hAnsi="Arial" w:eastAsia="Arial" w:cs="Arial"/>
          <w:b w:val="0"/>
          <w:bCs w:val="0"/>
          <w:color w:val="111111"/>
          <w:sz w:val="22"/>
          <w:szCs w:val="22"/>
        </w:rPr>
        <w:t>政通推演坊的设计哲学可以概括为：「在制度约束之内，给予用户最大自由度」。这一哲学体现了两个相互张力的设计原则之间的刻意平衡，理解这一平衡是理解平台所有具体设计决策的关键。</w:t>
      </w:r>
    </w:p>
    <w:p w14:paraId="260F8A3F">
      <w:pPr>
        <w:spacing w:before="60" w:after="60"/>
      </w:pPr>
    </w:p>
    <w:p w14:paraId="06D51CBF">
      <w:pPr>
        <w:pStyle w:val="3"/>
        <w:spacing w:before="320" w:after="140"/>
      </w:pPr>
      <w:r>
        <w:rPr>
          <w:rFonts w:ascii="Arial" w:hAnsi="Arial" w:eastAsia="Arial" w:cs="Arial"/>
          <w:b/>
          <w:bCs/>
          <w:color w:val="174A7E"/>
          <w:sz w:val="25"/>
          <w:szCs w:val="25"/>
        </w:rPr>
        <w:t>20.1 为什么制度框架不可绕过</w:t>
      </w:r>
    </w:p>
    <w:p w14:paraId="15868A56">
      <w:pPr>
        <w:spacing w:before="80" w:after="80"/>
        <w:jc w:val="both"/>
      </w:pPr>
      <w:r>
        <w:rPr>
          <w:rFonts w:ascii="Arial" w:hAnsi="Arial" w:eastAsia="Arial" w:cs="Arial"/>
          <w:b w:val="0"/>
          <w:bCs w:val="0"/>
          <w:color w:val="111111"/>
          <w:sz w:val="22"/>
          <w:szCs w:val="22"/>
        </w:rPr>
        <w:t>政通推演坊与市面上大多数「沙盒式」角色扮演游戏的根本区别，在于平台的「制度底座」（L1框架层）是不可修改的。用户可以自由定义场景主题、角色设置、博弈规则，但所有推演必须发生在中国国家治理的六大制度模块所界定的约束条件之内。这一设计决定来自对平台研究价值的根本判断。</w:t>
      </w:r>
    </w:p>
    <w:p w14:paraId="61DB526E">
      <w:pPr>
        <w:spacing w:before="80" w:after="80"/>
        <w:jc w:val="both"/>
      </w:pPr>
      <w:r>
        <w:rPr>
          <w:rFonts w:ascii="Arial" w:hAnsi="Arial" w:eastAsia="Arial" w:cs="Arial"/>
          <w:b w:val="0"/>
          <w:bCs w:val="0"/>
          <w:color w:val="111111"/>
          <w:sz w:val="22"/>
          <w:szCs w:val="22"/>
        </w:rPr>
        <w:t>如果制度约束可以被绕过，平台的行为数据将失去「制度情境」这一关键的外部效度保障——研究者将无法判断观察到的决策行为究竟反映了「在中国制度情境中的行政决策逻辑」，还是反映了「在某个虚构规则体系中的任意博弈策略」。周雪光（2013）对中国官僚体制研究的系统性贡献告诉我们，制度约束本身（而非行为者偏好）是解释中国治理行为的第一要素。绕过制度约束的严肃游戏，其行为数据对理解中国治理的贡献将大打折扣。</w:t>
      </w:r>
    </w:p>
    <w:p w14:paraId="6D0F4D3C">
      <w:pPr>
        <w:spacing w:before="80" w:after="80"/>
        <w:jc w:val="both"/>
      </w:pPr>
      <w:r>
        <w:rPr>
          <w:rFonts w:ascii="Arial" w:hAnsi="Arial" w:eastAsia="Arial" w:cs="Arial"/>
          <w:b w:val="0"/>
          <w:bCs w:val="0"/>
          <w:color w:val="111111"/>
          <w:sz w:val="22"/>
          <w:szCs w:val="22"/>
        </w:rPr>
        <w:t>因此，制度底座的不可修改性不是对用户自由的限制，而是对研究有效性的保障。它确保了无论用户设计什么样的场景，平台产出的行为数据都在中国制度语境下具有可解读性和可比较性。</w:t>
      </w:r>
    </w:p>
    <w:p w14:paraId="0D66E867">
      <w:pPr>
        <w:spacing w:before="60" w:after="60"/>
      </w:pPr>
    </w:p>
    <w:p w14:paraId="440CABA6">
      <w:pPr>
        <w:pStyle w:val="3"/>
        <w:spacing w:before="320" w:after="140"/>
      </w:pPr>
      <w:r>
        <w:rPr>
          <w:rFonts w:ascii="Arial" w:hAnsi="Arial" w:eastAsia="Arial" w:cs="Arial"/>
          <w:b/>
          <w:bCs/>
          <w:color w:val="174A7E"/>
          <w:sz w:val="25"/>
          <w:szCs w:val="25"/>
        </w:rPr>
        <w:t>20.2 为什么内容选择权交给用户</w:t>
      </w:r>
    </w:p>
    <w:p w14:paraId="1E3D3A92">
      <w:pPr>
        <w:spacing w:before="80" w:after="80"/>
        <w:jc w:val="both"/>
      </w:pPr>
      <w:r>
        <w:rPr>
          <w:rFonts w:ascii="Arial" w:hAnsi="Arial" w:eastAsia="Arial" w:cs="Arial"/>
          <w:b w:val="0"/>
          <w:bCs w:val="0"/>
          <w:color w:val="111111"/>
          <w:sz w:val="22"/>
          <w:szCs w:val="22"/>
        </w:rPr>
        <w:t>在制度框架不可绕过的前提下，平台将所有内容选择权交给用户，包括场景主题（教师决定推演什么议题）、角色设置（教师决定谁参与博弈）、指标权重（教师决定什么算「好的结果」）、推演规则（教师决定允许什么行为）、知识库关联（教师决定哪些文献是相关的）。这一设计决定来自对平台使用场景多样性的务实判断。</w:t>
      </w:r>
    </w:p>
    <w:p w14:paraId="1676CB21">
      <w:pPr>
        <w:spacing w:before="80" w:after="80"/>
        <w:jc w:val="both"/>
      </w:pPr>
      <w:r>
        <w:rPr>
          <w:rFonts w:ascii="Arial" w:hAnsi="Arial" w:eastAsia="Arial" w:cs="Arial"/>
          <w:b w:val="0"/>
          <w:bCs w:val="0"/>
          <w:color w:val="111111"/>
          <w:sz w:val="22"/>
          <w:szCs w:val="22"/>
        </w:rPr>
        <w:t>公共管理学科的课程主题横跨政策分析、组织行为、地方治理、行政法制、比较行政等多个方向，不同课程的教学目标、理论重点和学生背景差异显著。一个固定剧本的严肃游戏只能服务于极少数课程，而一个可配置的推演引擎可以服务于几乎所有需要「模拟制度内博弈」的课程。平台提供的模板和种子场景只是「降低上手成本」的工具，不是「强制使用的内容」——正如PPT软件提供主题模板，但没有人认为主题模板是PPT的核心价值。</w:t>
      </w:r>
    </w:p>
    <w:p w14:paraId="66D7FE1D">
      <w:pPr>
        <w:spacing w:before="80" w:after="80"/>
        <w:jc w:val="both"/>
      </w:pPr>
      <w:r>
        <w:rPr>
          <w:rFonts w:ascii="Arial" w:hAnsi="Arial" w:eastAsia="Arial" w:cs="Arial"/>
          <w:b w:val="0"/>
          <w:bCs w:val="0"/>
          <w:color w:val="111111"/>
          <w:sz w:val="22"/>
          <w:szCs w:val="22"/>
        </w:rPr>
        <w:t>对于研究者而言，内容可配置性同样是方法论上的必要条件。不同的研究假设需要不同的实验处理（通过参数差异实现），不同的研究对象需要不同的场景背景（以确保被试的可信度），不同的研究问题需要不同的指标设计（以确保测量有效性）。一个内容固定的平台只能支持设计者预设的研究问题，而一个全参数可配置的平台才能支持研究者的任意研究设计。</w:t>
      </w:r>
    </w:p>
    <w:p w14:paraId="340CA975">
      <w:pPr>
        <w:spacing w:before="60" w:after="60"/>
      </w:pPr>
    </w:p>
    <w:p w14:paraId="144A8D9A">
      <w:pPr>
        <w:pStyle w:val="3"/>
        <w:spacing w:before="320" w:after="140"/>
      </w:pPr>
      <w:r>
        <w:rPr>
          <w:rFonts w:ascii="Arial" w:hAnsi="Arial" w:eastAsia="Arial" w:cs="Arial"/>
          <w:b/>
          <w:bCs/>
          <w:color w:val="174A7E"/>
          <w:sz w:val="25"/>
          <w:szCs w:val="25"/>
        </w:rPr>
        <w:t>20.3 「推荐即非强制」：平台对用户自主性的系统性尊重</w:t>
      </w:r>
    </w:p>
    <w:p w14:paraId="5C3A0F70">
      <w:pPr>
        <w:spacing w:before="80" w:after="80"/>
        <w:jc w:val="both"/>
      </w:pPr>
      <w:r>
        <w:rPr>
          <w:rFonts w:ascii="Arial" w:hAnsi="Arial" w:eastAsia="Arial" w:cs="Arial"/>
          <w:b w:val="0"/>
          <w:bCs w:val="0"/>
          <w:color w:val="111111"/>
          <w:sz w:val="22"/>
          <w:szCs w:val="22"/>
        </w:rPr>
        <w:t>平台的每一处「推荐」设计都刻意与「强制」保持清晰边界，以下举例说明这一原则的具体体现。</w:t>
      </w:r>
    </w:p>
    <w:p w14:paraId="4C1F8A0C">
      <w:pPr>
        <w:spacing w:before="80" w:after="80"/>
        <w:jc w:val="both"/>
      </w:pPr>
      <w:r>
        <w:rPr>
          <w:rFonts w:ascii="Arial" w:hAnsi="Arial" w:eastAsia="Arial" w:cs="Arial"/>
          <w:b w:val="0"/>
          <w:bCs w:val="0"/>
          <w:color w:val="111111"/>
          <w:sz w:val="22"/>
          <w:szCs w:val="22"/>
        </w:rPr>
        <w:t>关于种子场景：平台提供8个种子场景，每个场景都有完整的预设配置（背景文本、角色体系、参数默认值、事件卡库）。但教师可以选择：完全不使用任何种子场景，从零创建；使用种子场景的部分元素（如只借用角色体系，自定义背景文本）；或将种子场景作为对照基准（A组使用种子场景，B组使用修改版）。种子场景在配置界面标注「推荐」，但配置流程的每一步都提供「跳过/自定义」选项。</w:t>
      </w:r>
    </w:p>
    <w:p w14:paraId="3F92EAE3">
      <w:pPr>
        <w:spacing w:before="80" w:after="80"/>
        <w:jc w:val="both"/>
      </w:pPr>
      <w:r>
        <w:rPr>
          <w:rFonts w:ascii="Arial" w:hAnsi="Arial" w:eastAsia="Arial" w:cs="Arial"/>
          <w:b w:val="0"/>
          <w:bCs w:val="0"/>
          <w:color w:val="111111"/>
          <w:sz w:val="22"/>
          <w:szCs w:val="22"/>
        </w:rPr>
        <w:t>关于五维指标：平台的默认设置使用CLR/IGA/PSR/ARC/STS五个维度，并提供了这五个维度的理论依据和测量规范。但教师可以选择：调整各角色在五个维度上的权重（使不同角色有不同的KPI侧重）；关闭其中一个或多个维度（不纳入得分计算）；完全不使用预设指标，在后测问卷中使用自定义测量量表代替游戏内指标。研究者可以完全关闭游戏内指标显示，避免实时反馈影响被试决策，改为依赖行为日志进行事后分析。</w:t>
      </w:r>
    </w:p>
    <w:p w14:paraId="72571651">
      <w:pPr>
        <w:spacing w:before="80" w:after="80"/>
        <w:jc w:val="both"/>
      </w:pPr>
      <w:r>
        <w:rPr>
          <w:rFonts w:ascii="Arial" w:hAnsi="Arial" w:eastAsia="Arial" w:cs="Arial"/>
          <w:b w:val="0"/>
          <w:bCs w:val="0"/>
          <w:color w:val="111111"/>
          <w:sz w:val="22"/>
          <w:szCs w:val="22"/>
        </w:rPr>
        <w:t>关于RAG决策选项：RAG动态提炼是平台的核心创新，但不是强制机制。教师可以选择：关闭RAG，完全使用手动预设的选项（适合对特定决策选项有精确控制需求的情境）；RAG与手动预设并行（部分选项由RAG提炼，部分由教师预设，适合兼顾覆盖面和精确性的情境）；纯RAG（全部选项动态生成，适合强调理论驱动和覆盖面的情境）。此外，玩家可以在教师授权下提交自定义选项，使实践经验进入博弈过程，不被学术文献的覆盖范围所局限。</w:t>
      </w:r>
    </w:p>
    <w:p w14:paraId="59AA972D">
      <w:pPr>
        <w:spacing w:before="80" w:after="80"/>
        <w:jc w:val="both"/>
      </w:pPr>
      <w:r>
        <w:rPr>
          <w:rFonts w:ascii="Arial" w:hAnsi="Arial" w:eastAsia="Arial" w:cs="Arial"/>
          <w:b w:val="0"/>
          <w:bCs w:val="0"/>
          <w:color w:val="111111"/>
          <w:sz w:val="22"/>
          <w:szCs w:val="22"/>
        </w:rPr>
        <w:t>关于得分与排名：平台默认生成每位玩家的最终得分，但教师可以选择在复盘界面不展示排名，只展示指标轨迹（避免过度竞争化影响学习动机）；或完全关闭得分功能（纯过程导向，适合强调合作的教学设计）。研究者在研究模式下通常会关闭得分展示，以避免得分激励干扰自然决策行为。</w:t>
      </w:r>
    </w:p>
    <w:p w14:paraId="69B287B0">
      <w:pPr>
        <w:spacing w:before="120" w:after="120"/>
      </w:pPr>
    </w:p>
    <w:p w14:paraId="45145E70">
      <w:r>
        <w:br w:type="page"/>
      </w:r>
    </w:p>
    <w:p w14:paraId="26BA42D8">
      <w:pPr>
        <w:pStyle w:val="2"/>
        <w:pBdr>
          <w:bottom w:val="single" w:color="1A3A5C" w:sz="8" w:space="2"/>
        </w:pBdr>
        <w:spacing w:before="440" w:after="200"/>
      </w:pPr>
      <w:r>
        <w:rPr>
          <w:rFonts w:ascii="Arial" w:hAnsi="Arial" w:eastAsia="Arial" w:cs="Arial"/>
          <w:b/>
          <w:bCs/>
          <w:color w:val="1A3A5C"/>
          <w:sz w:val="30"/>
          <w:szCs w:val="30"/>
        </w:rPr>
        <w:t>二十一、平台治理机制：知识质量保障与可持续运营</w:t>
      </w:r>
    </w:p>
    <w:p w14:paraId="1AE1B12B">
      <w:pPr>
        <w:spacing w:before="80" w:after="80"/>
        <w:jc w:val="both"/>
      </w:pPr>
      <w:r>
        <w:rPr>
          <w:rFonts w:ascii="Arial" w:hAnsi="Arial" w:eastAsia="Arial" w:cs="Arial"/>
          <w:b w:val="0"/>
          <w:bCs w:val="0"/>
          <w:color w:val="111111"/>
          <w:sz w:val="22"/>
          <w:szCs w:val="22"/>
        </w:rPr>
        <w:t>政通推演坊不只是一个技术系统，也是一个「知识生产基础设施」。平台的长期价值取决于其知识库质量、场景库质量和行为数据质量能否持续保持在学术级别。为此，平台需要建立一套治理机制，协调开发团队、学术顾问、用户社区和外部合作机构之间的关系。</w:t>
      </w:r>
    </w:p>
    <w:p w14:paraId="28BCE091">
      <w:pPr>
        <w:spacing w:before="60" w:after="60"/>
      </w:pPr>
    </w:p>
    <w:p w14:paraId="06E9CA3F">
      <w:pPr>
        <w:pStyle w:val="3"/>
        <w:spacing w:before="320" w:after="140"/>
      </w:pPr>
      <w:r>
        <w:rPr>
          <w:rFonts w:ascii="Arial" w:hAnsi="Arial" w:eastAsia="Arial" w:cs="Arial"/>
          <w:b/>
          <w:bCs/>
          <w:color w:val="174A7E"/>
          <w:sz w:val="25"/>
          <w:szCs w:val="25"/>
        </w:rPr>
        <w:t>21.1 学术顾问委员会</w:t>
      </w:r>
    </w:p>
    <w:p w14:paraId="352FA6BD">
      <w:pPr>
        <w:spacing w:before="80" w:after="80"/>
        <w:jc w:val="both"/>
      </w:pPr>
      <w:r>
        <w:rPr>
          <w:rFonts w:ascii="Arial" w:hAnsi="Arial" w:eastAsia="Arial" w:cs="Arial"/>
          <w:b w:val="0"/>
          <w:bCs w:val="0"/>
          <w:color w:val="111111"/>
          <w:sz w:val="22"/>
          <w:szCs w:val="22"/>
        </w:rPr>
        <w:t>平台成立由5-7名学者组成的「学术顾问委员会」，负责对平台的核心知识质量进行监督。委员会成员应覆盖以下专业方向：公共行政学（侧重中国政府体制研究）、政治学（侧重地方治理与官员激励）、计算社会科学（侧重实验研究设计）和教育技术（侧重严肃游戏与学习效果）。委员会的主要职责包括：参与六大制度模块规则集的年度审查和更新；对L1、L2知识库的选刊标准进行制度性认定；对「旗舰场景清河记」的年度维护提供内容意见；以及对场景贡献社区（GovSim Commons）提交的外部场景进行同行评审。委员会每年召开两次正式会议（可线上），每次会议前由项目团队提交书面报告。</w:t>
      </w:r>
    </w:p>
    <w:p w14:paraId="727414AF">
      <w:pPr>
        <w:spacing w:before="60" w:after="60"/>
      </w:pPr>
    </w:p>
    <w:p w14:paraId="39B2326D">
      <w:pPr>
        <w:pStyle w:val="3"/>
        <w:spacing w:before="320" w:after="140"/>
      </w:pPr>
      <w:r>
        <w:rPr>
          <w:rFonts w:ascii="Arial" w:hAnsi="Arial" w:eastAsia="Arial" w:cs="Arial"/>
          <w:b/>
          <w:bCs/>
          <w:color w:val="174A7E"/>
          <w:sz w:val="25"/>
          <w:szCs w:val="25"/>
        </w:rPr>
        <w:t>21.2 知识库质量标准</w:t>
      </w:r>
    </w:p>
    <w:p w14:paraId="26E810ED">
      <w:pPr>
        <w:spacing w:before="80" w:after="80"/>
        <w:jc w:val="both"/>
      </w:pPr>
      <w:r>
        <w:rPr>
          <w:rFonts w:ascii="Arial" w:hAnsi="Arial" w:eastAsia="Arial" w:cs="Arial"/>
          <w:b w:val="0"/>
          <w:bCs w:val="0"/>
          <w:color w:val="111111"/>
          <w:sz w:val="22"/>
          <w:szCs w:val="22"/>
        </w:rPr>
        <w:t>百晓生知识库中用于政通推演坊RAG检索的文献（L1公共大库和L2主题专库）须满足以下质量标准，由学术顾问委员会制定并年度更新。</w:t>
      </w:r>
    </w:p>
    <w:p w14:paraId="6C3352A6">
      <w:pPr>
        <w:spacing w:before="80" w:after="80"/>
        <w:jc w:val="both"/>
      </w:pPr>
      <w:r>
        <w:rPr>
          <w:rFonts w:ascii="Arial" w:hAnsi="Arial" w:eastAsia="Arial" w:cs="Arial"/>
          <w:b w:val="0"/>
          <w:bCs w:val="0"/>
          <w:color w:val="111111"/>
          <w:sz w:val="22"/>
          <w:szCs w:val="22"/>
        </w:rPr>
        <w:t>L1公共大库的选刊标准：纳入在CSSCI（中文社会科学引文索引）或SSCI/A&amp;HCI（国际社会科学引文索引）收录期刊上发表的公共管理、政治学、行政法学相关论文；纳入权威出版社（国内高校出版社、人民出版社、商务印书馆；国际MIT Press、Oxford UP、Cambridge UP等）出版的专著中涉及中国治理制度的章节（以命题为单位提炼）；排除工作论文（除非已被大量引用，如引用数&gt;500）；优先纳入近10年文献（2015年后），但经典奠基性文献（如周黎安2007、冯仕政2011等）不受时限约束。</w:t>
      </w:r>
    </w:p>
    <w:p w14:paraId="4EC8E0A8">
      <w:pPr>
        <w:spacing w:before="80" w:after="80"/>
        <w:jc w:val="both"/>
      </w:pPr>
      <w:r>
        <w:rPr>
          <w:rFonts w:ascii="Arial" w:hAnsi="Arial" w:eastAsia="Arial" w:cs="Arial"/>
          <w:b w:val="0"/>
          <w:bCs w:val="0"/>
          <w:color w:val="111111"/>
          <w:sz w:val="22"/>
          <w:szCs w:val="22"/>
        </w:rPr>
        <w:t>L2主题专库的选刊标准：在满足L1标准的基础上，额外要求文献与该主题的直接相关性（由学科顾问评定，要求「高度相关」）；每个主题专库维持50-100篇核心文献，既不过于稀少（避免覆盖面不足）也不过于冗余（避免检索噪声过多）；每个主题专库设一名「主题负责学者」（委员会成员或委员推荐的学科专家），负责该主题的文献更新和质量监督。</w:t>
      </w:r>
    </w:p>
    <w:p w14:paraId="29F643FE">
      <w:pPr>
        <w:spacing w:before="80" w:after="80"/>
        <w:jc w:val="both"/>
      </w:pPr>
      <w:r>
        <w:rPr>
          <w:rFonts w:ascii="Arial" w:hAnsi="Arial" w:eastAsia="Arial" w:cs="Arial"/>
          <w:b w:val="0"/>
          <w:bCs w:val="0"/>
          <w:color w:val="111111"/>
          <w:sz w:val="22"/>
          <w:szCs w:val="22"/>
        </w:rPr>
        <w:t>L3私有库的质量提示：L3是用户上传的私有文献，平台不对其质量做强制审核（用户对自己上传的内容负责），但系统会提示用户：上传的文献来自学术出版物的选项将自动获得「学术来源」标注，其他来源（政策文本、新闻报道、内部材料）将获得相应标注，所有标注均会在玩家查看「理论依据」时一并展示，帮助玩家判断证据质量。</w:t>
      </w:r>
    </w:p>
    <w:p w14:paraId="5BA222B4">
      <w:pPr>
        <w:spacing w:before="60" w:after="60"/>
      </w:pPr>
    </w:p>
    <w:p w14:paraId="087E56BF">
      <w:pPr>
        <w:pStyle w:val="3"/>
        <w:spacing w:before="320" w:after="140"/>
      </w:pPr>
      <w:r>
        <w:rPr>
          <w:rFonts w:ascii="Arial" w:hAnsi="Arial" w:eastAsia="Arial" w:cs="Arial"/>
          <w:b/>
          <w:bCs/>
          <w:color w:val="174A7E"/>
          <w:sz w:val="25"/>
          <w:szCs w:val="25"/>
        </w:rPr>
        <w:t>21.3 用户反馈与迭代机制</w:t>
      </w:r>
    </w:p>
    <w:p w14:paraId="02FCCE4A">
      <w:pPr>
        <w:spacing w:before="80" w:after="80"/>
        <w:jc w:val="both"/>
      </w:pPr>
      <w:r>
        <w:rPr>
          <w:rFonts w:ascii="Arial" w:hAnsi="Arial" w:eastAsia="Arial" w:cs="Arial"/>
          <w:b w:val="0"/>
          <w:bCs w:val="0"/>
          <w:color w:val="111111"/>
          <w:sz w:val="22"/>
          <w:szCs w:val="22"/>
        </w:rPr>
        <w:t>平台建立系统性的用户反馈收集机制，确保每次更新都有明确的用户驱动理由，而非开发团队的主观判断。反馈机制分为三个层次。</w:t>
      </w:r>
    </w:p>
    <w:p w14:paraId="41318D8F">
      <w:pPr>
        <w:spacing w:before="80" w:after="80"/>
        <w:jc w:val="both"/>
      </w:pPr>
      <w:r>
        <w:rPr>
          <w:rFonts w:ascii="Arial" w:hAnsi="Arial" w:eastAsia="Arial" w:cs="Arial"/>
          <w:b w:val="0"/>
          <w:bCs w:val="0"/>
          <w:color w:val="111111"/>
          <w:sz w:val="22"/>
          <w:szCs w:val="22"/>
        </w:rPr>
        <w:t>第一层：场景内实时反馈。推演结束后，玩家和教师均可对RAG选项的质量进行即时评分（1-5星，附可选文字评论）。系统对评分数据进行汇总：当某个决策节点的平均选项质量评分低于3.5星（超过10次评分样本），系统自动标记该节点为「需要审查」，并在下一次人工审查时优先处理。这一机制确保平台的知识质量问题能够被及时发现，而不只是依赖研究团队的主动检查。</w:t>
      </w:r>
    </w:p>
    <w:p w14:paraId="581A5E3E">
      <w:pPr>
        <w:spacing w:before="80" w:after="80"/>
        <w:jc w:val="both"/>
      </w:pPr>
      <w:r>
        <w:rPr>
          <w:rFonts w:ascii="Arial" w:hAnsi="Arial" w:eastAsia="Arial" w:cs="Arial"/>
          <w:b w:val="0"/>
          <w:bCs w:val="0"/>
          <w:color w:val="111111"/>
          <w:sz w:val="22"/>
          <w:szCs w:val="22"/>
        </w:rPr>
        <w:t>第二层：季度用户调查。每季度向活跃用户（教师/研究者）发送15题的短问卷，测量平台在「场景真实性」「配置便利性」「选项理论质量」「数据导出可用性」等维度的用户满意度（1-5分NPS量表）。每季度调查结果整理为「季度改进备忘录」，由项目团队讨论并确定下一迭代周期的优化优先级。</w:t>
      </w:r>
    </w:p>
    <w:p w14:paraId="3A9BB6CC">
      <w:pPr>
        <w:spacing w:before="80" w:after="80"/>
        <w:jc w:val="both"/>
      </w:pPr>
      <w:r>
        <w:rPr>
          <w:rFonts w:ascii="Arial" w:hAnsi="Arial" w:eastAsia="Arial" w:cs="Arial"/>
          <w:b w:val="0"/>
          <w:bCs w:val="0"/>
          <w:color w:val="111111"/>
          <w:sz w:val="22"/>
          <w:szCs w:val="22"/>
        </w:rPr>
        <w:t>第三层：年度功能路线图更新。每年发布「年度功能路线图」，列出下一年度计划新增的功能和改进项，并说明每项改进的用户需求来源（来自哪类用户的哪项反馈）。路线图在发布前征集用户意见（开放评论期2周），允许用户为不同功能优先级投票，最终路线图反映用户投票结果与开发可行性的综合权衡。</w:t>
      </w:r>
    </w:p>
    <w:p w14:paraId="2DEF7735">
      <w:pPr>
        <w:spacing w:before="120" w:after="120"/>
      </w:pPr>
    </w:p>
    <w:p w14:paraId="2EE17831">
      <w:r>
        <w:br w:type="page"/>
      </w:r>
    </w:p>
    <w:p w14:paraId="0C9918F8">
      <w:pPr>
        <w:pStyle w:val="2"/>
        <w:pBdr>
          <w:bottom w:val="single" w:color="1A3A5C" w:sz="8" w:space="2"/>
        </w:pBdr>
        <w:spacing w:before="440" w:after="200"/>
      </w:pPr>
      <w:r>
        <w:rPr>
          <w:rFonts w:ascii="Arial" w:hAnsi="Arial" w:eastAsia="Arial" w:cs="Arial"/>
          <w:b/>
          <w:bCs/>
          <w:color w:val="1A3A5C"/>
          <w:sz w:val="30"/>
          <w:szCs w:val="30"/>
        </w:rPr>
        <w:t>二十二、竞品分析深化：政通推演坊的不可替代性</w:t>
      </w:r>
    </w:p>
    <w:p w14:paraId="3BA56562">
      <w:pPr>
        <w:spacing w:before="80" w:after="80"/>
        <w:jc w:val="both"/>
      </w:pPr>
      <w:r>
        <w:rPr>
          <w:rFonts w:ascii="Arial" w:hAnsi="Arial" w:eastAsia="Arial" w:cs="Arial"/>
          <w:b w:val="0"/>
          <w:bCs w:val="0"/>
          <w:color w:val="111111"/>
          <w:sz w:val="22"/>
          <w:szCs w:val="22"/>
        </w:rPr>
        <w:t>本节在前文竞品分析的基础上，进一步从评审者视角梳理政通推演坊相对于现有工具的不可替代性。需要说明的是，政通推演坊不是现有工具的替代品，而是对现有工具矩阵的补充——它填补了一个此前不存在的方法论空白，而不是要取代调查实验、案例研究或ABM仿真。</w:t>
      </w:r>
    </w:p>
    <w:p w14:paraId="20708BFD">
      <w:pPr>
        <w:spacing w:before="60" w:after="60"/>
      </w:pPr>
    </w:p>
    <w:p w14:paraId="03D30F12">
      <w:pPr>
        <w:pStyle w:val="3"/>
        <w:spacing w:before="320" w:after="140"/>
      </w:pPr>
      <w:r>
        <w:rPr>
          <w:rFonts w:ascii="Arial" w:hAnsi="Arial" w:eastAsia="Arial" w:cs="Arial"/>
          <w:b/>
          <w:bCs/>
          <w:color w:val="174A7E"/>
          <w:sz w:val="25"/>
          <w:szCs w:val="25"/>
        </w:rPr>
        <w:t>22.1 与国内现有公共管理教学工具的比较</w:t>
      </w:r>
    </w:p>
    <w:p w14:paraId="0F7BFE69">
      <w:pPr>
        <w:spacing w:before="80" w:after="80"/>
        <w:jc w:val="both"/>
      </w:pPr>
      <w:r>
        <w:rPr>
          <w:rFonts w:ascii="Arial" w:hAnsi="Arial" w:eastAsia="Arial" w:cs="Arial"/>
          <w:b w:val="0"/>
          <w:bCs w:val="0"/>
          <w:color w:val="111111"/>
          <w:sz w:val="22"/>
          <w:szCs w:val="22"/>
        </w:rPr>
        <w:t>国内公共管理教学中现有的角色扮演和情境模拟工具主要有三类：线下剧本杀/角色扮演（无技术平台支持）、固定剧本的教学案例视频/动画（单向传播，无互动）、以及基于Flash或简单网页的决策树游戏（通常针对单一场景，无研究功能）。政通推演坊与这些工具的核心区别在于：第一，多人实时博弈——真实的制度互动需要多角色同时在场，博弈性是制度约束下决策行为最难以在单人游戏中复现的要素；第二，循证选项——现有工具的决策选项均依赖设计者经验，无法保证理论覆盖面的系统性；第三，研究级数据采集——国内现有教学工具普遍不具备行为数据采集和分析功能，无法支持科学研究。</w:t>
      </w:r>
    </w:p>
    <w:p w14:paraId="3A0725A2">
      <w:pPr>
        <w:spacing w:before="80" w:after="80"/>
        <w:jc w:val="both"/>
      </w:pPr>
      <w:r>
        <w:rPr>
          <w:rFonts w:ascii="Arial" w:hAnsi="Arial" w:eastAsia="Arial" w:cs="Arial"/>
          <w:b w:val="0"/>
          <w:bCs w:val="0"/>
          <w:color w:val="111111"/>
          <w:sz w:val="22"/>
          <w:szCs w:val="22"/>
        </w:rPr>
        <w:t>国内最接近的参照是部分高校公共管理系开展的线下「政策模拟法庭」或「治理演练」，这些活动具有高度的教师参与和即兴创作空间，但缺乏系统化支撑，难以重复和扩展，也无法产出规范的研究数据。政通推演坊可以视为将这类活动数字化、系统化和研究化的技术基础设施。</w:t>
      </w:r>
    </w:p>
    <w:p w14:paraId="33A5BE1D">
      <w:pPr>
        <w:spacing w:before="60" w:after="60"/>
      </w:pPr>
    </w:p>
    <w:p w14:paraId="7FC25F93">
      <w:pPr>
        <w:pStyle w:val="3"/>
        <w:spacing w:before="320" w:after="140"/>
      </w:pPr>
      <w:r>
        <w:rPr>
          <w:rFonts w:ascii="Arial" w:hAnsi="Arial" w:eastAsia="Arial" w:cs="Arial"/>
          <w:b/>
          <w:bCs/>
          <w:color w:val="174A7E"/>
          <w:sz w:val="25"/>
          <w:szCs w:val="25"/>
        </w:rPr>
        <w:t>22.2 与国际政策博弈平台的比较</w:t>
      </w:r>
    </w:p>
    <w:p w14:paraId="7624AC31">
      <w:pPr>
        <w:spacing w:before="80" w:after="80"/>
        <w:jc w:val="both"/>
      </w:pPr>
      <w:r>
        <w:rPr>
          <w:rFonts w:ascii="Arial" w:hAnsi="Arial" w:eastAsia="Arial" w:cs="Arial"/>
          <w:b w:val="0"/>
          <w:bCs w:val="0"/>
          <w:color w:val="111111"/>
          <w:sz w:val="22"/>
          <w:szCs w:val="22"/>
        </w:rPr>
        <w:t>国际上，政策博弈和治理模拟领域有若干成熟平台，代表性的包括：荷兰代尔夫特理工大学的「Trilemma」政策博弈（Duke &amp; Geurts，2004）、哈佛肯尼迪学院的「Exercise and Simulation」项目、以及近年AI社会仿真平台如Generative Agents（Park等，2023，UIST）。</w:t>
      </w:r>
    </w:p>
    <w:p w14:paraId="7861FECD">
      <w:pPr>
        <w:spacing w:before="80" w:after="80"/>
        <w:jc w:val="both"/>
      </w:pPr>
      <w:r>
        <w:rPr>
          <w:rFonts w:ascii="Arial" w:hAnsi="Arial" w:eastAsia="Arial" w:cs="Arial"/>
          <w:b w:val="0"/>
          <w:bCs w:val="0"/>
          <w:color w:val="111111"/>
          <w:sz w:val="22"/>
          <w:szCs w:val="22"/>
        </w:rPr>
        <w:t>政通推演坊与这些平台的主要区别在于：其一，中国制度情境的内生性——现有国际平台均设计于西方政治-行政制度背景下，将其用于中国治理情境不可避免地会引入制度错配（如忽视党政双轨结构、晋升锦标赛激励、压力型体制等关键制度特征）；其二，知识库循证机制——现有平台的决策选项均由设计者手写，政通推演坊是迄今为止唯一将RAG技术嵌入决策选项生成的平台；其三，研究可扩展性——Generative Agents等AI仿真平台提供的是AI模拟的行为数据，而非真实决策者的行为数据，方法论性质根本不同。</w:t>
      </w:r>
    </w:p>
    <w:p w14:paraId="5B46A8D9">
      <w:pPr>
        <w:spacing w:before="80" w:after="80"/>
        <w:jc w:val="both"/>
      </w:pPr>
      <w:r>
        <w:rPr>
          <w:rFonts w:ascii="Arial" w:hAnsi="Arial" w:eastAsia="Arial" w:cs="Arial"/>
          <w:b w:val="0"/>
          <w:bCs w:val="0"/>
          <w:color w:val="111111"/>
          <w:sz w:val="22"/>
          <w:szCs w:val="22"/>
        </w:rPr>
        <w:t>这一比较再次确认了政通推演坊的方法论定位：它不是国际工具的本土复制，而是专门为中国治理制度研究和教育设计的原创工具。</w:t>
      </w:r>
    </w:p>
    <w:p w14:paraId="4CB51B0F">
      <w:pPr>
        <w:spacing w:before="60" w:after="60"/>
      </w:pPr>
    </w:p>
    <w:p w14:paraId="5973559F">
      <w:pPr>
        <w:pStyle w:val="3"/>
        <w:spacing w:before="320" w:after="140"/>
      </w:pPr>
      <w:r>
        <w:rPr>
          <w:rFonts w:ascii="Arial" w:hAnsi="Arial" w:eastAsia="Arial" w:cs="Arial"/>
          <w:b/>
          <w:bCs/>
          <w:color w:val="174A7E"/>
          <w:sz w:val="25"/>
          <w:szCs w:val="25"/>
        </w:rPr>
        <w:t>22.3 综合方法论定位图</w:t>
      </w: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992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8899AA" w:sz="4" w:space="0"/>
              <w:left w:val="single" w:color="336699" w:sz="8" w:space="0"/>
              <w:bottom w:val="single" w:color="8899AA" w:sz="4" w:space="0"/>
              <w:right w:val="single" w:color="8899AA" w:sz="4" w:space="0"/>
            </w:tcBorders>
            <w:shd w:val="clear" w:color="auto" w:fill="F3F7FA"/>
            <w:tcMar>
              <w:top w:w="120" w:type="dxa"/>
              <w:left w:w="220" w:type="dxa"/>
              <w:bottom w:w="120" w:type="dxa"/>
              <w:right w:w="180" w:type="dxa"/>
            </w:tcMar>
          </w:tcPr>
          <w:p w14:paraId="765E9C5D">
            <w:pPr>
              <w:spacing w:before="60" w:after="100"/>
            </w:pPr>
            <w:r>
              <w:rPr>
                <w:rFonts w:ascii="Arial" w:hAnsi="Arial" w:eastAsia="Arial" w:cs="Arial"/>
                <w:b/>
                <w:bCs/>
                <w:color w:val="1A3A5C"/>
                <w:sz w:val="21"/>
                <w:szCs w:val="21"/>
              </w:rPr>
              <w:t>▌ 研究方法谱系定位</w:t>
            </w:r>
          </w:p>
          <w:p w14:paraId="2F30458C">
            <w:pPr>
              <w:spacing w:before="16" w:after="16"/>
            </w:pPr>
            <w:r>
              <w:rPr>
                <w:rFonts w:ascii="Courier New" w:hAnsi="Courier New" w:eastAsia="Courier New" w:cs="Courier New"/>
                <w:color w:val="1A2233"/>
                <w:sz w:val="19"/>
                <w:szCs w:val="19"/>
              </w:rPr>
              <w:t xml:space="preserve">  「受控博弈实验」在研究方法谱系中的位置</w:t>
            </w:r>
          </w:p>
          <w:p w14:paraId="4C8F7A56">
            <w:pPr>
              <w:spacing w:before="16" w:after="16"/>
            </w:pPr>
            <w:r>
              <w:rPr>
                <w:rFonts w:ascii="Courier New" w:hAnsi="Courier New" w:eastAsia="Courier New" w:cs="Courier New"/>
                <w:color w:val="1A2233"/>
                <w:sz w:val="19"/>
                <w:szCs w:val="19"/>
              </w:rPr>
              <w:t xml:space="preserve">  ═══════════════════════════════════════════════════════════════</w:t>
            </w:r>
          </w:p>
          <w:p w14:paraId="62C5F2B1">
            <w:pPr>
              <w:spacing w:before="16" w:after="16"/>
            </w:pPr>
          </w:p>
          <w:p w14:paraId="59A2A558">
            <w:pPr>
              <w:spacing w:before="16" w:after="16"/>
            </w:pPr>
            <w:r>
              <w:rPr>
                <w:rFonts w:ascii="Courier New" w:hAnsi="Courier New" w:eastAsia="Courier New" w:cs="Courier New"/>
                <w:color w:val="1A2233"/>
                <w:sz w:val="19"/>
                <w:szCs w:val="19"/>
              </w:rPr>
              <w:t xml:space="preserve">  外部效度高                                      外部效度低</w:t>
            </w:r>
          </w:p>
          <w:p w14:paraId="31D274D8">
            <w:pPr>
              <w:spacing w:before="16" w:after="16"/>
            </w:pPr>
            <w:r>
              <w:rPr>
                <w:rFonts w:ascii="Courier New" w:hAnsi="Courier New" w:eastAsia="Courier New" w:cs="Courier New"/>
                <w:color w:val="1A2233"/>
                <w:sz w:val="19"/>
                <w:szCs w:val="19"/>
              </w:rPr>
              <w:t xml:space="preserve">  ←─────────────────────────────────────────────────────────→</w:t>
            </w:r>
          </w:p>
          <w:p w14:paraId="29A96AA0">
            <w:pPr>
              <w:spacing w:before="16" w:after="16"/>
            </w:pPr>
          </w:p>
          <w:p w14:paraId="2FDCB0CF">
            <w:pPr>
              <w:spacing w:before="16" w:after="16"/>
            </w:pPr>
            <w:r>
              <w:rPr>
                <w:rFonts w:ascii="Courier New" w:hAnsi="Courier New" w:eastAsia="Courier New" w:cs="Courier New"/>
                <w:color w:val="1A2233"/>
                <w:sz w:val="19"/>
                <w:szCs w:val="19"/>
              </w:rPr>
              <w:t xml:space="preserve">  田野实验        受控博弈实验        调查实验         问卷调查</w:t>
            </w:r>
          </w:p>
          <w:p w14:paraId="5D177BEC">
            <w:pPr>
              <w:spacing w:before="16" w:after="16"/>
            </w:pPr>
            <w:r>
              <w:rPr>
                <w:rFonts w:ascii="Courier New" w:hAnsi="Courier New" w:eastAsia="Courier New" w:cs="Courier New"/>
                <w:color w:val="1A2233"/>
                <w:sz w:val="19"/>
                <w:szCs w:val="19"/>
              </w:rPr>
              <w:t xml:space="preserve">  [Field Exp]    [GovSim Studio]    [Survey Exp]    [Survey]</w:t>
            </w:r>
          </w:p>
          <w:p w14:paraId="623B7E25">
            <w:pPr>
              <w:spacing w:before="16" w:after="16"/>
            </w:pPr>
            <w:r>
              <w:rPr>
                <w:rFonts w:ascii="Courier New" w:hAnsi="Courier New" w:eastAsia="Courier New" w:cs="Courier New"/>
                <w:color w:val="1A2233"/>
                <w:sz w:val="19"/>
                <w:szCs w:val="19"/>
              </w:rPr>
              <w:t xml:space="preserve">     高成本           ★本项目          低成本          最低成本</w:t>
            </w:r>
          </w:p>
          <w:p w14:paraId="57A0981C">
            <w:pPr>
              <w:spacing w:before="16" w:after="16"/>
            </w:pPr>
            <w:r>
              <w:rPr>
                <w:rFonts w:ascii="Courier New" w:hAnsi="Courier New" w:eastAsia="Courier New" w:cs="Courier New"/>
                <w:color w:val="1A2233"/>
                <w:sz w:val="19"/>
                <w:szCs w:val="19"/>
              </w:rPr>
              <w:t xml:space="preserve">     难复制           中等成本          易复制           无行为</w:t>
            </w:r>
          </w:p>
          <w:p w14:paraId="79EC4265">
            <w:pPr>
              <w:spacing w:before="16" w:after="16"/>
            </w:pPr>
            <w:r>
              <w:rPr>
                <w:rFonts w:ascii="Courier New" w:hAnsi="Courier New" w:eastAsia="Courier New" w:cs="Courier New"/>
                <w:color w:val="1A2233"/>
                <w:sz w:val="19"/>
                <w:szCs w:val="19"/>
              </w:rPr>
              <w:t xml:space="preserve">     有博弈           可复制            无博弈           无情境</w:t>
            </w:r>
          </w:p>
          <w:p w14:paraId="7B33A305">
            <w:pPr>
              <w:spacing w:before="16" w:after="16"/>
            </w:pPr>
            <w:r>
              <w:rPr>
                <w:rFonts w:ascii="Courier New" w:hAnsi="Courier New" w:eastAsia="Courier New" w:cs="Courier New"/>
                <w:color w:val="1A2233"/>
                <w:sz w:val="19"/>
                <w:szCs w:val="19"/>
              </w:rPr>
              <w:t xml:space="preserve">     有情境           有博弈            有情境</w:t>
            </w:r>
          </w:p>
          <w:p w14:paraId="2C394EB2">
            <w:pPr>
              <w:spacing w:before="16" w:after="16"/>
            </w:pPr>
            <w:r>
              <w:rPr>
                <w:rFonts w:ascii="Courier New" w:hAnsi="Courier New" w:eastAsia="Courier New" w:cs="Courier New"/>
                <w:color w:val="1A2233"/>
                <w:sz w:val="19"/>
                <w:szCs w:val="19"/>
              </w:rPr>
              <w:t xml:space="preserve">     难控制           可控制            高控制</w:t>
            </w:r>
          </w:p>
          <w:p w14:paraId="6404B29E">
            <w:pPr>
              <w:spacing w:before="16" w:after="16"/>
            </w:pPr>
          </w:p>
          <w:p w14:paraId="42510566">
            <w:pPr>
              <w:spacing w:before="16" w:after="16"/>
            </w:pPr>
            <w:r>
              <w:rPr>
                <w:rFonts w:ascii="Courier New" w:hAnsi="Courier New" w:eastAsia="Courier New" w:cs="Courier New"/>
                <w:color w:val="1A2233"/>
                <w:sz w:val="19"/>
                <w:szCs w:val="19"/>
              </w:rPr>
              <w:t xml:space="preserve">  控制度低                                          控制度高</w:t>
            </w:r>
          </w:p>
          <w:p w14:paraId="123A971F">
            <w:pPr>
              <w:spacing w:before="16" w:after="16"/>
            </w:pPr>
          </w:p>
          <w:p w14:paraId="550860BC">
            <w:pPr>
              <w:spacing w:before="16" w:after="16"/>
            </w:pPr>
            <w:r>
              <w:rPr>
                <w:rFonts w:ascii="Courier New" w:hAnsi="Courier New" w:eastAsia="Courier New" w:cs="Courier New"/>
                <w:color w:val="1A2233"/>
                <w:sz w:val="19"/>
                <w:szCs w:val="19"/>
              </w:rPr>
              <w:t xml:space="preserve">  ────────────────────────────────────────────────────────</w:t>
            </w:r>
          </w:p>
          <w:p w14:paraId="5B41C4E1">
            <w:pPr>
              <w:spacing w:before="16" w:after="16"/>
            </w:pPr>
            <w:r>
              <w:rPr>
                <w:rFonts w:ascii="Courier New" w:hAnsi="Courier New" w:eastAsia="Courier New" w:cs="Courier New"/>
                <w:color w:val="1A2233"/>
                <w:sz w:val="19"/>
                <w:szCs w:val="19"/>
              </w:rPr>
              <w:t xml:space="preserve">  ABM仿真          受控博弈实验       实验室博弈实验</w:t>
            </w:r>
          </w:p>
          <w:p w14:paraId="47097A05">
            <w:pPr>
              <w:spacing w:before="16" w:after="16"/>
            </w:pPr>
            <w:r>
              <w:rPr>
                <w:rFonts w:ascii="Courier New" w:hAnsi="Courier New" w:eastAsia="Courier New" w:cs="Courier New"/>
                <w:color w:val="1A2233"/>
                <w:sz w:val="19"/>
                <w:szCs w:val="19"/>
              </w:rPr>
              <w:t xml:space="preserve">  [Agent ABM]     [GovSim Studio]   [Lab Experiment]</w:t>
            </w:r>
          </w:p>
          <w:p w14:paraId="6D87D892">
            <w:pPr>
              <w:spacing w:before="16" w:after="16"/>
            </w:pPr>
            <w:r>
              <w:rPr>
                <w:rFonts w:ascii="Courier New" w:hAnsi="Courier New" w:eastAsia="Courier New" w:cs="Courier New"/>
                <w:color w:val="1A2233"/>
                <w:sz w:val="19"/>
                <w:szCs w:val="19"/>
              </w:rPr>
              <w:t xml:space="preserve">   无真实决策者      ★本项目           有真实决策者</w:t>
            </w:r>
          </w:p>
          <w:p w14:paraId="66D44A9F">
            <w:pPr>
              <w:spacing w:before="16" w:after="16"/>
            </w:pPr>
            <w:r>
              <w:rPr>
                <w:rFonts w:ascii="Courier New" w:hAnsi="Courier New" w:eastAsia="Courier New" w:cs="Courier New"/>
                <w:color w:val="1A2233"/>
                <w:sz w:val="19"/>
                <w:szCs w:val="19"/>
              </w:rPr>
              <w:t xml:space="preserve">   无制度情境        有真实决策者       无制度情境</w:t>
            </w:r>
          </w:p>
          <w:p w14:paraId="40F50AB6">
            <w:pPr>
              <w:spacing w:before="16" w:after="16"/>
            </w:pPr>
            <w:r>
              <w:rPr>
                <w:rFonts w:ascii="Courier New" w:hAnsi="Courier New" w:eastAsia="Courier New" w:cs="Courier New"/>
                <w:color w:val="1A2233"/>
                <w:sz w:val="19"/>
                <w:szCs w:val="19"/>
              </w:rPr>
              <w:t xml:space="preserve">   可超大规模        有制度情境         小样本</w:t>
            </w:r>
          </w:p>
          <w:p w14:paraId="57B32648">
            <w:pPr>
              <w:spacing w:before="16" w:after="16"/>
            </w:pPr>
            <w:r>
              <w:rPr>
                <w:rFonts w:ascii="Courier New" w:hAnsi="Courier New" w:eastAsia="Courier New" w:cs="Courier New"/>
                <w:color w:val="1A2233"/>
                <w:sz w:val="19"/>
                <w:szCs w:val="19"/>
              </w:rPr>
              <w:t xml:space="preserve">                   中等规模</w:t>
            </w:r>
          </w:p>
        </w:tc>
      </w:tr>
    </w:tbl>
    <w:p w14:paraId="19F3A9CB">
      <w:pPr>
        <w:spacing w:before="120" w:after="120"/>
      </w:pPr>
    </w:p>
    <w:p w14:paraId="3193EF2C">
      <w:r>
        <w:br w:type="page"/>
      </w:r>
    </w:p>
    <w:p w14:paraId="227FC6B5">
      <w:pPr>
        <w:pStyle w:val="2"/>
        <w:pBdr>
          <w:bottom w:val="single" w:color="1A3A5C" w:sz="8" w:space="2"/>
        </w:pBdr>
        <w:spacing w:before="440" w:after="200"/>
      </w:pPr>
      <w:r>
        <w:rPr>
          <w:rFonts w:ascii="Arial" w:hAnsi="Arial" w:eastAsia="Arial" w:cs="Arial"/>
          <w:b/>
          <w:bCs/>
          <w:color w:val="1A3A5C"/>
          <w:sz w:val="30"/>
          <w:szCs w:val="30"/>
        </w:rPr>
        <w:t>二十三、参考文献</w:t>
      </w:r>
    </w:p>
    <w:p w14:paraId="0EBD2ACD">
      <w:pPr>
        <w:spacing w:before="80" w:after="80"/>
        <w:jc w:val="both"/>
      </w:pPr>
      <w:r>
        <w:rPr>
          <w:rFonts w:ascii="Arial" w:hAnsi="Arial" w:eastAsia="Arial" w:cs="Arial"/>
          <w:b w:val="0"/>
          <w:bCs w:val="0"/>
          <w:color w:val="111111"/>
          <w:sz w:val="22"/>
          <w:szCs w:val="22"/>
        </w:rPr>
        <w:t>以下按中英文分列。中文文献按作者姓氏拼音排序，英文文献按作者姓氏字母顺序排序。带DOI链接的文献已在文中对应位置用随文注标注（作者，年份）。</w:t>
      </w:r>
    </w:p>
    <w:p w14:paraId="62806116">
      <w:pPr>
        <w:spacing w:before="60" w:after="60"/>
      </w:pPr>
    </w:p>
    <w:p w14:paraId="12CA18C7">
      <w:pPr>
        <w:pStyle w:val="3"/>
        <w:spacing w:before="320" w:after="140"/>
      </w:pPr>
      <w:r>
        <w:rPr>
          <w:rFonts w:ascii="Arial" w:hAnsi="Arial" w:eastAsia="Arial" w:cs="Arial"/>
          <w:b/>
          <w:bCs/>
          <w:color w:val="174A7E"/>
          <w:sz w:val="25"/>
          <w:szCs w:val="25"/>
        </w:rPr>
        <w:t>中文文献</w:t>
      </w:r>
    </w:p>
    <w:p w14:paraId="227CA1B6">
      <w:pPr>
        <w:spacing w:before="60" w:after="60"/>
      </w:pPr>
    </w:p>
    <w:p w14:paraId="04B1443D">
      <w:pPr>
        <w:spacing w:before="80" w:after="80"/>
        <w:jc w:val="both"/>
      </w:pPr>
      <w:r>
        <w:rPr>
          <w:rFonts w:ascii="Arial" w:hAnsi="Arial" w:eastAsia="Arial" w:cs="Arial"/>
          <w:b w:val="0"/>
          <w:bCs w:val="0"/>
          <w:color w:val="111111"/>
          <w:sz w:val="22"/>
          <w:szCs w:val="22"/>
        </w:rPr>
        <w:t>曹正汉（2011）.中国上下分治的治理体制及其稳定机制.《社会学研究》，（1），1-40.</w:t>
      </w:r>
    </w:p>
    <w:p w14:paraId="7F5AC36A">
      <w:pPr>
        <w:spacing w:before="80" w:after="80"/>
        <w:jc w:val="both"/>
      </w:pPr>
      <w:r>
        <w:rPr>
          <w:rFonts w:ascii="Arial" w:hAnsi="Arial" w:eastAsia="Arial" w:cs="Arial"/>
          <w:b w:val="0"/>
          <w:bCs w:val="0"/>
          <w:color w:val="111111"/>
          <w:sz w:val="22"/>
          <w:szCs w:val="22"/>
        </w:rPr>
        <w:t>陈振明（2020）.第三代政策科学的主要特征与发展方向.《中国行政管理》，（8），4-11.</w:t>
      </w:r>
    </w:p>
    <w:p w14:paraId="0EFFB939">
      <w:pPr>
        <w:spacing w:before="80" w:after="80"/>
        <w:jc w:val="both"/>
      </w:pPr>
      <w:r>
        <w:rPr>
          <w:rFonts w:ascii="Arial" w:hAnsi="Arial" w:eastAsia="Arial" w:cs="Arial"/>
          <w:b w:val="0"/>
          <w:bCs w:val="0"/>
          <w:color w:val="111111"/>
          <w:sz w:val="22"/>
          <w:szCs w:val="22"/>
        </w:rPr>
        <w:t>冯仕政（2011）.中国国家运动的形成与变异：基于政体的整体性解释.《开放时代》，（1），73-97.</w:t>
      </w:r>
    </w:p>
    <w:p w14:paraId="648D3B17">
      <w:pPr>
        <w:spacing w:before="80" w:after="80"/>
        <w:jc w:val="both"/>
      </w:pPr>
      <w:r>
        <w:rPr>
          <w:rFonts w:ascii="Arial" w:hAnsi="Arial" w:eastAsia="Arial" w:cs="Arial"/>
          <w:b w:val="0"/>
          <w:bCs w:val="0"/>
          <w:color w:val="111111"/>
          <w:sz w:val="22"/>
          <w:szCs w:val="22"/>
        </w:rPr>
        <w:t>冯军、刘旭、张强（2021）.问责机制与地方政府创新：一项准实验研究.《公共行政评论》，14（3），12-34.</w:t>
      </w:r>
    </w:p>
    <w:p w14:paraId="4500049E">
      <w:pPr>
        <w:spacing w:before="80" w:after="80"/>
        <w:jc w:val="both"/>
      </w:pPr>
      <w:r>
        <w:rPr>
          <w:rFonts w:ascii="Arial" w:hAnsi="Arial" w:eastAsia="Arial" w:cs="Arial"/>
          <w:b w:val="0"/>
          <w:bCs w:val="0"/>
          <w:color w:val="111111"/>
          <w:sz w:val="22"/>
          <w:szCs w:val="22"/>
        </w:rPr>
        <w:t>方雷、卢腾（2024）.《当代中国政治学概论》（第二版）.北京：人民出版社.</w:t>
      </w:r>
    </w:p>
    <w:p w14:paraId="22E77AFD">
      <w:pPr>
        <w:spacing w:before="80" w:after="80"/>
        <w:jc w:val="both"/>
      </w:pPr>
      <w:r>
        <w:rPr>
          <w:rFonts w:ascii="Arial" w:hAnsi="Arial" w:eastAsia="Arial" w:cs="Arial"/>
          <w:b w:val="0"/>
          <w:bCs w:val="0"/>
          <w:color w:val="111111"/>
          <w:sz w:val="22"/>
          <w:szCs w:val="22"/>
        </w:rPr>
        <w:t>何艳玲（2018）.城市治理中的政策工具选择：基于三个城市的比较案例研究.《公共管理学报》，15（1），32-46.</w:t>
      </w:r>
    </w:p>
    <w:p w14:paraId="32E66707">
      <w:pPr>
        <w:spacing w:before="80" w:after="80"/>
        <w:jc w:val="both"/>
      </w:pPr>
      <w:r>
        <w:rPr>
          <w:rFonts w:ascii="Arial" w:hAnsi="Arial" w:eastAsia="Arial" w:cs="Arial"/>
          <w:b w:val="0"/>
          <w:bCs w:val="0"/>
          <w:color w:val="111111"/>
          <w:sz w:val="22"/>
          <w:szCs w:val="22"/>
        </w:rPr>
        <w:t>景跃进、陈明明、肖滨（2024）.《当代中国政府与政治》（第二版）.北京：中国人民大学出版社.</w:t>
      </w:r>
    </w:p>
    <w:p w14:paraId="4E04E79A">
      <w:pPr>
        <w:spacing w:before="80" w:after="80"/>
        <w:jc w:val="both"/>
      </w:pPr>
      <w:r>
        <w:rPr>
          <w:rFonts w:ascii="Arial" w:hAnsi="Arial" w:eastAsia="Arial" w:cs="Arial"/>
          <w:b w:val="0"/>
          <w:bCs w:val="0"/>
          <w:color w:val="111111"/>
          <w:sz w:val="22"/>
          <w:szCs w:val="22"/>
        </w:rPr>
        <w:t>孔繁斌（2014）.政府信息公开的政治学逻辑——以行政法制为中心的分析.《政治学研究》，（3），77-88.</w:t>
      </w:r>
    </w:p>
    <w:p w14:paraId="735DCA38">
      <w:pPr>
        <w:spacing w:before="80" w:after="80"/>
        <w:jc w:val="both"/>
      </w:pPr>
      <w:r>
        <w:rPr>
          <w:rFonts w:ascii="Arial" w:hAnsi="Arial" w:eastAsia="Arial" w:cs="Arial"/>
          <w:b w:val="0"/>
          <w:bCs w:val="0"/>
          <w:color w:val="111111"/>
          <w:sz w:val="22"/>
          <w:szCs w:val="22"/>
        </w:rPr>
        <w:t>马剑银（2015）.跨区域环境治理的府际协作机制.《中国行政管理》，（9），60-65.</w:t>
      </w:r>
    </w:p>
    <w:p w14:paraId="791C0FCA">
      <w:pPr>
        <w:spacing w:before="80" w:after="80"/>
        <w:jc w:val="both"/>
      </w:pPr>
      <w:r>
        <w:rPr>
          <w:rFonts w:ascii="Arial" w:hAnsi="Arial" w:eastAsia="Arial" w:cs="Arial"/>
          <w:b w:val="0"/>
          <w:bCs w:val="0"/>
          <w:color w:val="111111"/>
          <w:sz w:val="22"/>
          <w:szCs w:val="22"/>
        </w:rPr>
        <w:t>荣敬本等（1998）.《从压力型体制向民主合作体制的转变——县乡两级政治体制改革》.北京：中央编译出版社.</w:t>
      </w:r>
    </w:p>
    <w:p w14:paraId="39CF1C43">
      <w:pPr>
        <w:spacing w:before="80" w:after="80"/>
        <w:jc w:val="both"/>
      </w:pPr>
      <w:r>
        <w:rPr>
          <w:rFonts w:ascii="Arial" w:hAnsi="Arial" w:eastAsia="Arial" w:cs="Arial"/>
          <w:b w:val="0"/>
          <w:bCs w:val="0"/>
          <w:color w:val="111111"/>
          <w:sz w:val="22"/>
          <w:szCs w:val="22"/>
        </w:rPr>
        <w:t>王绍光（2011）.政府信任与公共政策：理论与实证研究.《社会科学》，（12），3-16.</w:t>
      </w:r>
    </w:p>
    <w:p w14:paraId="1469F139">
      <w:pPr>
        <w:spacing w:before="80" w:after="80"/>
        <w:jc w:val="both"/>
      </w:pPr>
      <w:r>
        <w:rPr>
          <w:rFonts w:ascii="Arial" w:hAnsi="Arial" w:eastAsia="Arial" w:cs="Arial"/>
          <w:b w:val="0"/>
          <w:bCs w:val="0"/>
          <w:color w:val="111111"/>
          <w:sz w:val="22"/>
          <w:szCs w:val="22"/>
        </w:rPr>
        <w:t>魏娜（2003）.我国城市社区治理模式：发展演变与制度创新.《中国人民大学学报》，（1），135-140.</w:t>
      </w:r>
    </w:p>
    <w:p w14:paraId="264102A9">
      <w:pPr>
        <w:spacing w:before="80" w:after="80"/>
        <w:jc w:val="both"/>
      </w:pPr>
      <w:r>
        <w:rPr>
          <w:rFonts w:ascii="Arial" w:hAnsi="Arial" w:eastAsia="Arial" w:cs="Arial"/>
          <w:b w:val="0"/>
          <w:bCs w:val="0"/>
          <w:color w:val="111111"/>
          <w:sz w:val="22"/>
          <w:szCs w:val="22"/>
        </w:rPr>
        <w:t>杨雪冬（2012）.压力型体制：一个概念的简单回顾与辨析.《中央党校学报》，16（4），54-59.</w:t>
      </w:r>
    </w:p>
    <w:p w14:paraId="5A92D34B">
      <w:pPr>
        <w:spacing w:before="80" w:after="80"/>
        <w:jc w:val="both"/>
      </w:pPr>
      <w:r>
        <w:rPr>
          <w:rFonts w:ascii="Arial" w:hAnsi="Arial" w:eastAsia="Arial" w:cs="Arial"/>
          <w:b w:val="0"/>
          <w:bCs w:val="0"/>
          <w:color w:val="111111"/>
          <w:sz w:val="22"/>
          <w:szCs w:val="22"/>
        </w:rPr>
        <w:t>徐现祥、王贤彬、舒元（2007）.地方官员与经济增长——来自中国省长、省委书记交流的证据.《经济研究》，（9），18-31.</w:t>
      </w:r>
    </w:p>
    <w:p w14:paraId="418371F6">
      <w:pPr>
        <w:spacing w:before="80" w:after="80"/>
        <w:jc w:val="both"/>
      </w:pPr>
      <w:r>
        <w:rPr>
          <w:rFonts w:ascii="Arial" w:hAnsi="Arial" w:eastAsia="Arial" w:cs="Arial"/>
          <w:b w:val="0"/>
          <w:bCs w:val="0"/>
          <w:color w:val="111111"/>
          <w:sz w:val="22"/>
          <w:szCs w:val="22"/>
        </w:rPr>
        <w:t>展江（2010）.中国媒体发展与媒体自由.《新闻大学》，（1），1-15.</w:t>
      </w:r>
    </w:p>
    <w:p w14:paraId="5D075136">
      <w:pPr>
        <w:spacing w:before="80" w:after="80"/>
        <w:jc w:val="both"/>
      </w:pPr>
      <w:r>
        <w:rPr>
          <w:rFonts w:ascii="Arial" w:hAnsi="Arial" w:eastAsia="Arial" w:cs="Arial"/>
          <w:b w:val="0"/>
          <w:bCs w:val="0"/>
          <w:color w:val="111111"/>
          <w:sz w:val="22"/>
          <w:szCs w:val="22"/>
        </w:rPr>
        <w:t>张明（2022）.基层官员的创新行为与政治激励：来自田野实验的证据.《中国行政管理》，（4），22-31.</w:t>
      </w:r>
    </w:p>
    <w:p w14:paraId="7EB626A3">
      <w:pPr>
        <w:spacing w:before="80" w:after="80"/>
        <w:jc w:val="both"/>
      </w:pPr>
      <w:r>
        <w:rPr>
          <w:rFonts w:ascii="Arial" w:hAnsi="Arial" w:eastAsia="Arial" w:cs="Arial"/>
          <w:b w:val="0"/>
          <w:bCs w:val="0"/>
          <w:color w:val="111111"/>
          <w:sz w:val="22"/>
          <w:szCs w:val="22"/>
        </w:rPr>
        <w:t>赵鼎新（2006）.社会运动与革命：理论更新和中国经验.《开放时代》，（4），5-23.</w:t>
      </w:r>
    </w:p>
    <w:p w14:paraId="7245EC52">
      <w:pPr>
        <w:spacing w:before="80" w:after="80"/>
        <w:jc w:val="both"/>
      </w:pPr>
      <w:r>
        <w:rPr>
          <w:rFonts w:ascii="Arial" w:hAnsi="Arial" w:eastAsia="Arial" w:cs="Arial"/>
          <w:b w:val="0"/>
          <w:bCs w:val="0"/>
          <w:color w:val="111111"/>
          <w:sz w:val="22"/>
          <w:szCs w:val="22"/>
        </w:rPr>
        <w:t>周雪光（2013）.国家治理逻辑与中国官僚体制：一个韦伯理论视角.《开放时代》，（3），5-28.</w:t>
      </w:r>
    </w:p>
    <w:p w14:paraId="360B0476">
      <w:pPr>
        <w:spacing w:before="80" w:after="80"/>
        <w:jc w:val="both"/>
      </w:pPr>
      <w:r>
        <w:rPr>
          <w:rFonts w:ascii="Arial" w:hAnsi="Arial" w:eastAsia="Arial" w:cs="Arial"/>
          <w:b w:val="0"/>
          <w:bCs w:val="0"/>
          <w:color w:val="111111"/>
          <w:sz w:val="22"/>
          <w:szCs w:val="22"/>
        </w:rPr>
        <w:t>周黎安（2007）.中国地方官员的晋升锦标赛模式研究.《经济研究》，（7），36-50.</w:t>
      </w:r>
    </w:p>
    <w:p w14:paraId="32252A04">
      <w:pPr>
        <w:spacing w:before="80" w:after="80"/>
        <w:jc w:val="both"/>
      </w:pPr>
      <w:r>
        <w:rPr>
          <w:rFonts w:ascii="Arial" w:hAnsi="Arial" w:eastAsia="Arial" w:cs="Arial"/>
          <w:b w:val="0"/>
          <w:bCs w:val="0"/>
          <w:color w:val="111111"/>
          <w:sz w:val="22"/>
          <w:szCs w:val="22"/>
        </w:rPr>
        <w:t>朱旭峰、朱亚鹏（2021）.央地关系变革与政策创新扩散.《政治学研究》，（4），13-28.</w:t>
      </w:r>
    </w:p>
    <w:p w14:paraId="170D7CA4">
      <w:pPr>
        <w:spacing w:before="60" w:after="60"/>
      </w:pPr>
    </w:p>
    <w:p w14:paraId="22FB31B5">
      <w:pPr>
        <w:pStyle w:val="3"/>
        <w:spacing w:before="320" w:after="140"/>
      </w:pPr>
      <w:r>
        <w:rPr>
          <w:rFonts w:ascii="Arial" w:hAnsi="Arial" w:eastAsia="Arial" w:cs="Arial"/>
          <w:b/>
          <w:bCs/>
          <w:color w:val="174A7E"/>
          <w:sz w:val="25"/>
          <w:szCs w:val="25"/>
        </w:rPr>
        <w:t>英文文献</w:t>
      </w:r>
    </w:p>
    <w:p w14:paraId="684D45A1">
      <w:pPr>
        <w:spacing w:before="60" w:after="60"/>
      </w:pPr>
    </w:p>
    <w:p w14:paraId="735AFABD">
      <w:pPr>
        <w:spacing w:before="80" w:after="80"/>
        <w:jc w:val="both"/>
      </w:pPr>
      <w:r>
        <w:rPr>
          <w:rFonts w:ascii="Arial" w:hAnsi="Arial" w:eastAsia="Arial" w:cs="Arial"/>
          <w:b w:val="0"/>
          <w:bCs w:val="0"/>
          <w:color w:val="111111"/>
          <w:sz w:val="22"/>
          <w:szCs w:val="22"/>
        </w:rPr>
        <w:t>Adcock, R., &amp; Collier, D. (2001). Measurement validity: A shared standard for qualitative and quantitative research. American Political Science Review, 95(3), 529-546. https://doi.org/10.1017/S0003055401003100</w:t>
      </w:r>
    </w:p>
    <w:p w14:paraId="622B0834">
      <w:pPr>
        <w:spacing w:before="80" w:after="80"/>
        <w:jc w:val="both"/>
      </w:pPr>
      <w:r>
        <w:rPr>
          <w:rFonts w:ascii="Arial" w:hAnsi="Arial" w:eastAsia="Arial" w:cs="Arial"/>
          <w:b w:val="0"/>
          <w:bCs w:val="0"/>
          <w:color w:val="111111"/>
          <w:sz w:val="22"/>
          <w:szCs w:val="22"/>
        </w:rPr>
        <w:t>Ansell, C., &amp; Gash, A. (2008). Collaborative governance in theory and practice. Journal of Public Administration Research and Theory, 18(4), 543-571. https://doi.org/10.1093/jopart/mum032</w:t>
      </w:r>
    </w:p>
    <w:p w14:paraId="59926935">
      <w:pPr>
        <w:spacing w:before="80" w:after="80"/>
        <w:jc w:val="both"/>
      </w:pPr>
      <w:r>
        <w:rPr>
          <w:rFonts w:ascii="Arial" w:hAnsi="Arial" w:eastAsia="Arial" w:cs="Arial"/>
          <w:b w:val="0"/>
          <w:bCs w:val="0"/>
          <w:color w:val="111111"/>
          <w:sz w:val="22"/>
          <w:szCs w:val="22"/>
        </w:rPr>
        <w:t>Axelrod, R. (1984). The evolution of cooperation. Basic Books.</w:t>
      </w:r>
    </w:p>
    <w:p w14:paraId="24610A13">
      <w:pPr>
        <w:spacing w:before="80" w:after="80"/>
        <w:jc w:val="both"/>
      </w:pPr>
      <w:r>
        <w:rPr>
          <w:rFonts w:ascii="Arial" w:hAnsi="Arial" w:eastAsia="Arial" w:cs="Arial"/>
          <w:b w:val="0"/>
          <w:bCs w:val="0"/>
          <w:color w:val="111111"/>
          <w:sz w:val="22"/>
          <w:szCs w:val="22"/>
        </w:rPr>
        <w:t>Bisbee, J., Clinton, J., Dorff, C., Kenkel, B., &amp; Larson, J. (2024). Synthetic replacements for human survey data? The perils of large language models. Political Analysis, 32(4), 534-544.</w:t>
      </w:r>
    </w:p>
    <w:p w14:paraId="48527FEE">
      <w:pPr>
        <w:spacing w:before="80" w:after="80"/>
        <w:jc w:val="both"/>
      </w:pPr>
      <w:r>
        <w:rPr>
          <w:rFonts w:ascii="Arial" w:hAnsi="Arial" w:eastAsia="Arial" w:cs="Arial"/>
          <w:b w:val="0"/>
          <w:bCs w:val="0"/>
          <w:color w:val="111111"/>
          <w:sz w:val="22"/>
          <w:szCs w:val="22"/>
        </w:rPr>
        <w:t>Bovens, M. (2007). Analysing and assessing accountability: A conceptual framework. European Law Journal, 13(4), 447-468.</w:t>
      </w:r>
    </w:p>
    <w:p w14:paraId="538D39C5">
      <w:pPr>
        <w:spacing w:before="80" w:after="80"/>
        <w:jc w:val="both"/>
      </w:pPr>
      <w:r>
        <w:rPr>
          <w:rFonts w:ascii="Arial" w:hAnsi="Arial" w:eastAsia="Arial" w:cs="Arial"/>
          <w:b w:val="0"/>
          <w:bCs w:val="0"/>
          <w:color w:val="111111"/>
          <w:sz w:val="22"/>
          <w:szCs w:val="22"/>
        </w:rPr>
        <w:t>Cabinet Office. (1999). Modernising government. Cm 4310. HMSO.</w:t>
      </w:r>
    </w:p>
    <w:p w14:paraId="1F1010A8">
      <w:pPr>
        <w:spacing w:before="80" w:after="80"/>
        <w:jc w:val="both"/>
      </w:pPr>
      <w:r>
        <w:rPr>
          <w:rFonts w:ascii="Arial" w:hAnsi="Arial" w:eastAsia="Arial" w:cs="Arial"/>
          <w:b w:val="0"/>
          <w:bCs w:val="0"/>
          <w:color w:val="111111"/>
          <w:sz w:val="22"/>
          <w:szCs w:val="22"/>
        </w:rPr>
        <w:t>Caplan, N. (1979). The two-communities theory and knowledge utilization. American Behavioral Scientist, 22(3), 459-470.</w:t>
      </w:r>
    </w:p>
    <w:p w14:paraId="0A9BAD52">
      <w:pPr>
        <w:spacing w:before="80" w:after="80"/>
        <w:jc w:val="both"/>
      </w:pPr>
      <w:r>
        <w:rPr>
          <w:rFonts w:ascii="Arial" w:hAnsi="Arial" w:eastAsia="Arial" w:cs="Arial"/>
          <w:b w:val="0"/>
          <w:bCs w:val="0"/>
          <w:color w:val="111111"/>
          <w:sz w:val="22"/>
          <w:szCs w:val="22"/>
        </w:rPr>
        <w:t>Clark, D. B., Tanner-Smith, E. E., &amp; Killingsworth, S. S. (2016). Digital games, design, and learning. Review of Educational Research, 86(1), 79-122. https://doi.org/10.3102/0034654315582065</w:t>
      </w:r>
    </w:p>
    <w:p w14:paraId="709047AA">
      <w:pPr>
        <w:spacing w:before="80" w:after="80"/>
        <w:jc w:val="both"/>
      </w:pPr>
      <w:r>
        <w:rPr>
          <w:rFonts w:ascii="Arial" w:hAnsi="Arial" w:eastAsia="Arial" w:cs="Arial"/>
          <w:b w:val="0"/>
          <w:bCs w:val="0"/>
          <w:color w:val="111111"/>
          <w:sz w:val="22"/>
          <w:szCs w:val="22"/>
        </w:rPr>
        <w:t>Coppock, A., Leeper, T. J., &amp; Mullinix, K. J. (2018). Generalizability of heterogeneous treatment effect estimates across samples. PNAS, 115(49), 12441-12446.</w:t>
      </w:r>
    </w:p>
    <w:p w14:paraId="6AD57BDA">
      <w:pPr>
        <w:spacing w:before="80" w:after="80"/>
        <w:jc w:val="both"/>
      </w:pPr>
      <w:r>
        <w:rPr>
          <w:rFonts w:ascii="Arial" w:hAnsi="Arial" w:eastAsia="Arial" w:cs="Arial"/>
          <w:b w:val="0"/>
          <w:bCs w:val="0"/>
          <w:color w:val="111111"/>
          <w:sz w:val="22"/>
          <w:szCs w:val="22"/>
        </w:rPr>
        <w:t>Duke, R. D., &amp; Geurts, J. L. A. (2004). Policy games for strategic management. Dutch University Press.</w:t>
      </w:r>
    </w:p>
    <w:p w14:paraId="39BE14E6">
      <w:pPr>
        <w:spacing w:before="80" w:after="80"/>
        <w:jc w:val="both"/>
      </w:pPr>
      <w:r>
        <w:rPr>
          <w:rFonts w:ascii="Arial" w:hAnsi="Arial" w:eastAsia="Arial" w:cs="Arial"/>
          <w:b w:val="0"/>
          <w:bCs w:val="0"/>
          <w:color w:val="111111"/>
          <w:sz w:val="22"/>
          <w:szCs w:val="22"/>
        </w:rPr>
        <w:t>Falk, A., &amp; Heckman, J. J. (2009). Lab experiments are a major source of knowledge in the social sciences. Science, 326(5952), 535-538.</w:t>
      </w:r>
    </w:p>
    <w:p w14:paraId="197C43EE">
      <w:pPr>
        <w:spacing w:before="80" w:after="80"/>
        <w:jc w:val="both"/>
      </w:pPr>
      <w:r>
        <w:rPr>
          <w:rFonts w:ascii="Arial" w:hAnsi="Arial" w:eastAsia="Arial" w:cs="Arial"/>
          <w:b w:val="0"/>
          <w:bCs w:val="0"/>
          <w:color w:val="111111"/>
          <w:sz w:val="22"/>
          <w:szCs w:val="22"/>
        </w:rPr>
        <w:t>Feiock, R. C. (2013). The institutional collective action framework. Policy Studies Journal, 41(3), 397-425. https://doi.org/10.1111/psj.12023</w:t>
      </w:r>
    </w:p>
    <w:p w14:paraId="2A6D86C0">
      <w:pPr>
        <w:spacing w:before="80" w:after="80"/>
        <w:jc w:val="both"/>
      </w:pPr>
      <w:r>
        <w:rPr>
          <w:rFonts w:ascii="Arial" w:hAnsi="Arial" w:eastAsia="Arial" w:cs="Arial"/>
          <w:b w:val="0"/>
          <w:bCs w:val="0"/>
          <w:color w:val="111111"/>
          <w:sz w:val="22"/>
          <w:szCs w:val="22"/>
        </w:rPr>
        <w:t>Garris, R., Ahlers, R., &amp; Driskell, J. E. (2002). Games, motivation, and learning: A research and practice model. Simulation &amp; Gaming, 33(4), 441-467.</w:t>
      </w:r>
    </w:p>
    <w:p w14:paraId="41E88F2B">
      <w:pPr>
        <w:spacing w:before="80" w:after="80"/>
        <w:jc w:val="both"/>
      </w:pPr>
      <w:r>
        <w:rPr>
          <w:rFonts w:ascii="Arial" w:hAnsi="Arial" w:eastAsia="Arial" w:cs="Arial"/>
          <w:b w:val="0"/>
          <w:bCs w:val="0"/>
          <w:color w:val="111111"/>
          <w:sz w:val="22"/>
          <w:szCs w:val="22"/>
        </w:rPr>
        <w:t>Hainmueller, J., Hangartner, D., &amp; Yamamoto, T. (2015). Validating vignette and conjoint survey experiments against real-world behavior. PNAS, 112(8), 2395-2400.</w:t>
      </w:r>
    </w:p>
    <w:p w14:paraId="59F968EA">
      <w:pPr>
        <w:spacing w:before="80" w:after="80"/>
        <w:jc w:val="both"/>
      </w:pPr>
      <w:r>
        <w:rPr>
          <w:rFonts w:ascii="Arial" w:hAnsi="Arial" w:eastAsia="Arial" w:cs="Arial"/>
          <w:b w:val="0"/>
          <w:bCs w:val="0"/>
          <w:color w:val="111111"/>
          <w:sz w:val="22"/>
          <w:szCs w:val="22"/>
        </w:rPr>
        <w:t>Heilmann, S. (2008). From local experiments to national policy: The origins of China's distinctive policy process. The China Journal, 59, 1-30.</w:t>
      </w:r>
    </w:p>
    <w:p w14:paraId="089F25FB">
      <w:pPr>
        <w:spacing w:before="80" w:after="80"/>
        <w:jc w:val="both"/>
      </w:pPr>
      <w:r>
        <w:rPr>
          <w:rFonts w:ascii="Arial" w:hAnsi="Arial" w:eastAsia="Arial" w:cs="Arial"/>
          <w:b w:val="0"/>
          <w:bCs w:val="0"/>
          <w:color w:val="111111"/>
          <w:sz w:val="22"/>
          <w:szCs w:val="22"/>
        </w:rPr>
        <w:t>Jensen, M. C., &amp; Meckling, W. H. (1976). Theory of the firm: Managerial behavior, agency costs and ownership structure. Journal of Financial Economics, 3(4), 305-360.</w:t>
      </w:r>
    </w:p>
    <w:p w14:paraId="50E748E1">
      <w:pPr>
        <w:spacing w:before="80" w:after="80"/>
        <w:jc w:val="both"/>
      </w:pPr>
      <w:r>
        <w:rPr>
          <w:rFonts w:ascii="Arial" w:hAnsi="Arial" w:eastAsia="Arial" w:cs="Arial"/>
          <w:b w:val="0"/>
          <w:bCs w:val="0"/>
          <w:color w:val="111111"/>
          <w:sz w:val="22"/>
          <w:szCs w:val="22"/>
        </w:rPr>
        <w:t>Kahneman, D. (2011). Thinking, fast and slow. Farrar, Straus and Giroux.</w:t>
      </w:r>
    </w:p>
    <w:p w14:paraId="13940C0C">
      <w:pPr>
        <w:spacing w:before="80" w:after="80"/>
        <w:jc w:val="both"/>
      </w:pPr>
      <w:r>
        <w:rPr>
          <w:rFonts w:ascii="Arial" w:hAnsi="Arial" w:eastAsia="Arial" w:cs="Arial"/>
          <w:b w:val="0"/>
          <w:bCs w:val="0"/>
          <w:color w:val="111111"/>
          <w:sz w:val="22"/>
          <w:szCs w:val="22"/>
        </w:rPr>
        <w:t>King, G., Pan, J., &amp; Roberts, M. E. (2013). How censorship in China allows government criticism but silences collective expression. American Political Science Review, 107(2), 326-343. https://doi.org/10.1017/S0003055413000014</w:t>
      </w:r>
    </w:p>
    <w:p w14:paraId="0C0176EC">
      <w:pPr>
        <w:spacing w:before="80" w:after="80"/>
        <w:jc w:val="both"/>
      </w:pPr>
      <w:r>
        <w:rPr>
          <w:rFonts w:ascii="Arial" w:hAnsi="Arial" w:eastAsia="Arial" w:cs="Arial"/>
          <w:b w:val="0"/>
          <w:bCs w:val="0"/>
          <w:color w:val="111111"/>
          <w:sz w:val="22"/>
          <w:szCs w:val="22"/>
        </w:rPr>
        <w:t>Kingdon, J. W. (1984). Agendas, alternatives, and public policies. Little, Brown.</w:t>
      </w:r>
    </w:p>
    <w:p w14:paraId="00140F4E">
      <w:pPr>
        <w:spacing w:before="80" w:after="80"/>
        <w:jc w:val="both"/>
      </w:pPr>
      <w:r>
        <w:rPr>
          <w:rFonts w:ascii="Arial" w:hAnsi="Arial" w:eastAsia="Arial" w:cs="Arial"/>
          <w:b w:val="0"/>
          <w:bCs w:val="0"/>
          <w:color w:val="111111"/>
          <w:sz w:val="22"/>
          <w:szCs w:val="22"/>
        </w:rPr>
        <w:t>Kolb, D. A. (1984). Experiential learning: Experience as the source of learning and development. Prentice-Hall.</w:t>
      </w:r>
    </w:p>
    <w:p w14:paraId="37BF9E85">
      <w:pPr>
        <w:spacing w:before="80" w:after="80"/>
        <w:jc w:val="both"/>
      </w:pPr>
      <w:r>
        <w:rPr>
          <w:rFonts w:ascii="Arial" w:hAnsi="Arial" w:eastAsia="Arial" w:cs="Arial"/>
          <w:b w:val="0"/>
          <w:bCs w:val="0"/>
          <w:color w:val="111111"/>
          <w:sz w:val="22"/>
          <w:szCs w:val="22"/>
        </w:rPr>
        <w:t>Lewis-Beck, M. S., Bryman, A., &amp; Liao, T. F. (Eds.). (2004). The SAGE encyclopedia of social science research methods. SAGE.</w:t>
      </w:r>
    </w:p>
    <w:p w14:paraId="43B65DEA">
      <w:pPr>
        <w:spacing w:before="80" w:after="80"/>
        <w:jc w:val="both"/>
      </w:pPr>
      <w:r>
        <w:rPr>
          <w:rFonts w:ascii="Arial" w:hAnsi="Arial" w:eastAsia="Arial" w:cs="Arial"/>
          <w:b w:val="0"/>
          <w:bCs w:val="0"/>
          <w:color w:val="111111"/>
          <w:sz w:val="22"/>
          <w:szCs w:val="22"/>
        </w:rPr>
        <w:t>Lipsky, M. (1980). Street-level bureaucracy: Dilemmas of the individual in public services. Russell Sage Foundation.</w:t>
      </w:r>
    </w:p>
    <w:p w14:paraId="3B884E2C">
      <w:pPr>
        <w:spacing w:before="80" w:after="80"/>
        <w:jc w:val="both"/>
      </w:pPr>
      <w:r>
        <w:rPr>
          <w:rFonts w:ascii="Arial" w:hAnsi="Arial" w:eastAsia="Arial" w:cs="Arial"/>
          <w:b w:val="0"/>
          <w:bCs w:val="0"/>
          <w:color w:val="111111"/>
          <w:sz w:val="22"/>
          <w:szCs w:val="22"/>
        </w:rPr>
        <w:t>Mayer, I., Warmelink, H., &amp; Bekebrede, G. (2013). A critical appraisal of Dutch national policies on the use of serious games for safety. Simulation &amp; Gaming, 44(6), 783-823.</w:t>
      </w:r>
    </w:p>
    <w:p w14:paraId="4FD841E9">
      <w:pPr>
        <w:spacing w:before="80" w:after="80"/>
        <w:jc w:val="both"/>
      </w:pPr>
      <w:r>
        <w:rPr>
          <w:rFonts w:ascii="Arial" w:hAnsi="Arial" w:eastAsia="Arial" w:cs="Arial"/>
          <w:b w:val="0"/>
          <w:bCs w:val="0"/>
          <w:color w:val="111111"/>
          <w:sz w:val="22"/>
          <w:szCs w:val="22"/>
        </w:rPr>
        <w:t>Millstone, E. (2009). Science, risk and governance: Radical rhetorics and the realities of reform in food safety governance. Research Policy, 38(4), 624-636.</w:t>
      </w:r>
    </w:p>
    <w:p w14:paraId="3E9A58F0">
      <w:pPr>
        <w:spacing w:before="80" w:after="80"/>
        <w:jc w:val="both"/>
      </w:pPr>
      <w:r>
        <w:rPr>
          <w:rFonts w:ascii="Arial" w:hAnsi="Arial" w:eastAsia="Arial" w:cs="Arial"/>
          <w:b w:val="0"/>
          <w:bCs w:val="0"/>
          <w:color w:val="111111"/>
          <w:sz w:val="22"/>
          <w:szCs w:val="22"/>
        </w:rPr>
        <w:t>Mutz, D. C. (2011). Population-based survey experiments. Princeton University Press.</w:t>
      </w:r>
    </w:p>
    <w:p w14:paraId="10BF054C">
      <w:pPr>
        <w:spacing w:before="80" w:after="80"/>
        <w:jc w:val="both"/>
      </w:pPr>
      <w:r>
        <w:rPr>
          <w:rFonts w:ascii="Arial" w:hAnsi="Arial" w:eastAsia="Arial" w:cs="Arial"/>
          <w:b w:val="0"/>
          <w:bCs w:val="0"/>
          <w:color w:val="111111"/>
          <w:sz w:val="22"/>
          <w:szCs w:val="22"/>
        </w:rPr>
        <w:t>Newman, J., Cherney, A., &amp; Head, B. W. (2016). Do policy makers use academic research? Public Administration Review, 76(1), 136-148. https://doi.org/10.1111/puar.12464</w:t>
      </w:r>
    </w:p>
    <w:p w14:paraId="66414903">
      <w:pPr>
        <w:spacing w:before="80" w:after="80"/>
        <w:jc w:val="both"/>
      </w:pPr>
      <w:r>
        <w:rPr>
          <w:rFonts w:ascii="Arial" w:hAnsi="Arial" w:eastAsia="Arial" w:cs="Arial"/>
          <w:b w:val="0"/>
          <w:bCs w:val="0"/>
          <w:color w:val="111111"/>
          <w:sz w:val="22"/>
          <w:szCs w:val="22"/>
        </w:rPr>
        <w:t>O'Brien, K. J., &amp; Li, L. (1999). Selective policy implementation in rural China. Comparative Politics, 31(2), 167-186.</w:t>
      </w:r>
    </w:p>
    <w:p w14:paraId="2F4010F7">
      <w:pPr>
        <w:spacing w:before="80" w:after="80"/>
        <w:jc w:val="both"/>
      </w:pPr>
      <w:r>
        <w:rPr>
          <w:rFonts w:ascii="Arial" w:hAnsi="Arial" w:eastAsia="Arial" w:cs="Arial"/>
          <w:b w:val="0"/>
          <w:bCs w:val="0"/>
          <w:color w:val="111111"/>
          <w:sz w:val="22"/>
          <w:szCs w:val="22"/>
        </w:rPr>
        <w:t>Olson, M. (1965). The logic of collective action: Public goods and the theory of groups. Harvard University Press.</w:t>
      </w:r>
    </w:p>
    <w:p w14:paraId="536EB559">
      <w:pPr>
        <w:spacing w:before="80" w:after="80"/>
        <w:jc w:val="both"/>
      </w:pPr>
      <w:r>
        <w:rPr>
          <w:rFonts w:ascii="Arial" w:hAnsi="Arial" w:eastAsia="Arial" w:cs="Arial"/>
          <w:b w:val="0"/>
          <w:bCs w:val="0"/>
          <w:color w:val="111111"/>
          <w:sz w:val="22"/>
          <w:szCs w:val="22"/>
        </w:rPr>
        <w:t>Ostrom, E. (1990). Governing the commons: The evolution of institutions for collective action. Cambridge University Press.</w:t>
      </w:r>
    </w:p>
    <w:p w14:paraId="3A3B2B9C">
      <w:pPr>
        <w:spacing w:before="80" w:after="80"/>
        <w:jc w:val="both"/>
      </w:pPr>
      <w:r>
        <w:rPr>
          <w:rFonts w:ascii="Arial" w:hAnsi="Arial" w:eastAsia="Arial" w:cs="Arial"/>
          <w:b w:val="0"/>
          <w:bCs w:val="0"/>
          <w:color w:val="111111"/>
          <w:sz w:val="22"/>
          <w:szCs w:val="22"/>
        </w:rPr>
        <w:t>Park, J. S., O'Brien, J., Cai, C. J., Morris, M. R., Liang, P., &amp; Bernstein, M. S. (2023). Generative agents: Interactive simulacra of human behavior. In Proceedings of UIST 2023. https://doi.org/10.1145/3586183.3606763</w:t>
      </w:r>
    </w:p>
    <w:p w14:paraId="3F123F1E">
      <w:pPr>
        <w:spacing w:before="80" w:after="80"/>
        <w:jc w:val="both"/>
      </w:pPr>
      <w:r>
        <w:rPr>
          <w:rFonts w:ascii="Arial" w:hAnsi="Arial" w:eastAsia="Arial" w:cs="Arial"/>
          <w:b w:val="0"/>
          <w:bCs w:val="0"/>
          <w:color w:val="111111"/>
          <w:sz w:val="22"/>
          <w:szCs w:val="22"/>
        </w:rPr>
        <w:t>Pawson, R. (2006). Evidence-based policy: A realist perspective. SAGE.</w:t>
      </w:r>
    </w:p>
    <w:p w14:paraId="7E5D063A">
      <w:pPr>
        <w:spacing w:before="80" w:after="80"/>
        <w:jc w:val="both"/>
      </w:pPr>
      <w:r>
        <w:rPr>
          <w:rFonts w:ascii="Arial" w:hAnsi="Arial" w:eastAsia="Arial" w:cs="Arial"/>
          <w:b w:val="0"/>
          <w:bCs w:val="0"/>
          <w:color w:val="111111"/>
          <w:sz w:val="22"/>
          <w:szCs w:val="22"/>
        </w:rPr>
        <w:t>Putnam, R. D. (1993). Making democracy work: Civic traditions in modern Italy. Princeton University Press.</w:t>
      </w:r>
    </w:p>
    <w:p w14:paraId="56051942">
      <w:pPr>
        <w:spacing w:before="80" w:after="80"/>
        <w:jc w:val="both"/>
      </w:pPr>
      <w:r>
        <w:rPr>
          <w:rFonts w:ascii="Arial" w:hAnsi="Arial" w:eastAsia="Arial" w:cs="Arial"/>
          <w:b w:val="0"/>
          <w:bCs w:val="0"/>
          <w:color w:val="111111"/>
          <w:sz w:val="22"/>
          <w:szCs w:val="22"/>
        </w:rPr>
        <w:t>Quidt, J. de, Haushofer, J., &amp; Roth, C. (2018). Measuring and bounding experimenter demand. American Economic Review, 108(11), 3266-3302.</w:t>
      </w:r>
    </w:p>
    <w:p w14:paraId="0B3CFF86">
      <w:pPr>
        <w:spacing w:before="80" w:after="80"/>
        <w:jc w:val="both"/>
      </w:pPr>
      <w:r>
        <w:rPr>
          <w:rFonts w:ascii="Arial" w:hAnsi="Arial" w:eastAsia="Arial" w:cs="Arial"/>
          <w:b w:val="0"/>
          <w:bCs w:val="0"/>
          <w:color w:val="111111"/>
          <w:sz w:val="22"/>
          <w:szCs w:val="22"/>
        </w:rPr>
        <w:t>Sabatier, P. A. (1988). An advocacy coalition framework of policy change and the role of policy-oriented learning therein. Policy Sciences, 21(2-3), 129-168.</w:t>
      </w:r>
    </w:p>
    <w:p w14:paraId="0430C164">
      <w:pPr>
        <w:spacing w:before="80" w:after="80"/>
        <w:jc w:val="both"/>
      </w:pPr>
      <w:r>
        <w:rPr>
          <w:rFonts w:ascii="Arial" w:hAnsi="Arial" w:eastAsia="Arial" w:cs="Arial"/>
          <w:b w:val="0"/>
          <w:bCs w:val="0"/>
          <w:color w:val="111111"/>
          <w:sz w:val="22"/>
          <w:szCs w:val="22"/>
        </w:rPr>
        <w:t>Sailer, M., &amp; Homner, L. (2020). The gamification of learning: A meta-analysis. Educational Psychology Review, 32(1), 77-112.</w:t>
      </w:r>
    </w:p>
    <w:p w14:paraId="7FDB5768">
      <w:pPr>
        <w:spacing w:before="80" w:after="80"/>
        <w:jc w:val="both"/>
      </w:pPr>
      <w:r>
        <w:rPr>
          <w:rFonts w:ascii="Arial" w:hAnsi="Arial" w:eastAsia="Arial" w:cs="Arial"/>
          <w:b w:val="0"/>
          <w:bCs w:val="0"/>
          <w:color w:val="111111"/>
          <w:sz w:val="22"/>
          <w:szCs w:val="22"/>
        </w:rPr>
        <w:t>Schank, R. C., &amp; Cleary, C. (1995). Engines for education. Lawrence Erlbaum Associates.</w:t>
      </w:r>
    </w:p>
    <w:p w14:paraId="4AB10F1F">
      <w:pPr>
        <w:spacing w:before="80" w:after="80"/>
        <w:jc w:val="both"/>
      </w:pPr>
      <w:r>
        <w:rPr>
          <w:rFonts w:ascii="Arial" w:hAnsi="Arial" w:eastAsia="Arial" w:cs="Arial"/>
          <w:b w:val="0"/>
          <w:bCs w:val="0"/>
          <w:color w:val="111111"/>
          <w:sz w:val="22"/>
          <w:szCs w:val="22"/>
        </w:rPr>
        <w:t>Simon, H. A. (1957). Models of man: Social and rational. Wiley.</w:t>
      </w:r>
    </w:p>
    <w:p w14:paraId="1183A556">
      <w:pPr>
        <w:spacing w:before="80" w:after="80"/>
        <w:jc w:val="both"/>
      </w:pPr>
      <w:r>
        <w:rPr>
          <w:rFonts w:ascii="Arial" w:hAnsi="Arial" w:eastAsia="Arial" w:cs="Arial"/>
          <w:b w:val="0"/>
          <w:bCs w:val="0"/>
          <w:color w:val="111111"/>
          <w:sz w:val="22"/>
          <w:szCs w:val="22"/>
        </w:rPr>
        <w:t>Spires, A. J. (2011). Contingent symbiosis and civil society in an authoritarian state. American Journal of Sociology, 117(1), 1-45.</w:t>
      </w:r>
    </w:p>
    <w:p w14:paraId="3F6C027D">
      <w:pPr>
        <w:spacing w:before="80" w:after="80"/>
        <w:jc w:val="both"/>
      </w:pPr>
      <w:r>
        <w:rPr>
          <w:rFonts w:ascii="Arial" w:hAnsi="Arial" w:eastAsia="Arial" w:cs="Arial"/>
          <w:b w:val="0"/>
          <w:bCs w:val="0"/>
          <w:color w:val="111111"/>
          <w:sz w:val="22"/>
          <w:szCs w:val="22"/>
        </w:rPr>
        <w:t>Tourangeau, R., &amp; Yan, T. (2007). Sensitive questions in surveys. Psychological Bulletin, 133(5), 859-883.</w:t>
      </w:r>
    </w:p>
    <w:p w14:paraId="6838BF17">
      <w:pPr>
        <w:spacing w:before="80" w:after="80"/>
        <w:jc w:val="both"/>
      </w:pPr>
      <w:r>
        <w:rPr>
          <w:rFonts w:ascii="Arial" w:hAnsi="Arial" w:eastAsia="Arial" w:cs="Arial"/>
          <w:b w:val="0"/>
          <w:bCs w:val="0"/>
          <w:color w:val="111111"/>
          <w:sz w:val="22"/>
          <w:szCs w:val="22"/>
        </w:rPr>
        <w:t>Villamor, G. B., et al. (2024). Combining agent-based models and role-playing games as a participatory method for social-ecological research. Current Opinion in Environmental Sustainability, 64, 101317.</w:t>
      </w:r>
    </w:p>
    <w:p w14:paraId="61893002">
      <w:pPr>
        <w:spacing w:before="80" w:after="80"/>
        <w:jc w:val="both"/>
      </w:pPr>
      <w:r>
        <w:rPr>
          <w:rFonts w:ascii="Arial" w:hAnsi="Arial" w:eastAsia="Arial" w:cs="Arial"/>
          <w:b w:val="0"/>
          <w:bCs w:val="0"/>
          <w:color w:val="111111"/>
          <w:sz w:val="22"/>
          <w:szCs w:val="22"/>
        </w:rPr>
        <w:t>Walker, R. M., Brewer, G. A., Bozeman, B., Moon, M. J., &amp; Wu, J. (2019). Topic modeling the research-practice gap in public administration. Public Administration Review, 79(6), 931-937. https://doi.org/10.1111/puar.13095</w:t>
      </w:r>
    </w:p>
    <w:p w14:paraId="09DD97F9">
      <w:pPr>
        <w:spacing w:before="80" w:after="80"/>
        <w:jc w:val="both"/>
      </w:pPr>
      <w:r>
        <w:rPr>
          <w:rFonts w:ascii="Arial" w:hAnsi="Arial" w:eastAsia="Arial" w:cs="Arial"/>
          <w:b w:val="0"/>
          <w:bCs w:val="0"/>
          <w:color w:val="111111"/>
          <w:sz w:val="22"/>
          <w:szCs w:val="22"/>
        </w:rPr>
        <w:t>Wang, Y., &amp; Minzner, C. (2015). The rise of the Chinese security state. The China Quarterly, 222, 339-359.</w:t>
      </w:r>
    </w:p>
    <w:p w14:paraId="5B9453A4">
      <w:pPr>
        <w:spacing w:before="80" w:after="80"/>
        <w:jc w:val="both"/>
      </w:pPr>
      <w:r>
        <w:rPr>
          <w:rFonts w:ascii="Arial" w:hAnsi="Arial" w:eastAsia="Arial" w:cs="Arial"/>
          <w:b w:val="0"/>
          <w:bCs w:val="0"/>
          <w:color w:val="111111"/>
          <w:sz w:val="22"/>
          <w:szCs w:val="22"/>
        </w:rPr>
        <w:t>Wouters, P., Van Nimwegen, C., Van Oostendorp, H., &amp; Van der Spek, E. D. (2013). A meta-analysis of the cognitive and motivational effects of serious games. Journal of Educational Psychology, 105(2), 249-265. https://doi.org/10.1037/a0031311</w:t>
      </w:r>
    </w:p>
    <w:p w14:paraId="77196CB7">
      <w:pPr>
        <w:spacing w:before="120" w:after="120"/>
      </w:pPr>
    </w:p>
    <w:tbl>
      <w:tblPr>
        <w:tblStyle w:val="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3E37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469A0" w:sz="6" w:space="0"/>
              <w:left w:val="single" w:color="2469A0" w:sz="8" w:space="0"/>
              <w:bottom w:val="single" w:color="2469A0" w:sz="6" w:space="0"/>
              <w:right w:val="single" w:color="2469A0" w:sz="4" w:space="0"/>
            </w:tcBorders>
            <w:shd w:val="clear" w:color="auto" w:fill="D5E8F5"/>
            <w:tcMar>
              <w:top w:w="140" w:type="dxa"/>
              <w:left w:w="240" w:type="dxa"/>
              <w:bottom w:w="140" w:type="dxa"/>
              <w:right w:w="240" w:type="dxa"/>
            </w:tcMar>
          </w:tcPr>
          <w:p w14:paraId="60FFB6DF">
            <w:pPr>
              <w:spacing w:before="48" w:after="48"/>
            </w:pPr>
            <w:r>
              <w:rPr>
                <w:rFonts w:ascii="Arial" w:hAnsi="Arial" w:eastAsia="Arial" w:cs="Arial"/>
                <w:color w:val="222222"/>
                <w:sz w:val="21"/>
                <w:szCs w:val="21"/>
              </w:rPr>
              <w:t>政通推演坊 GovSim Studio · 申报书完整版</w:t>
            </w:r>
          </w:p>
          <w:p w14:paraId="5B226FE2">
            <w:pPr>
              <w:spacing w:before="48" w:after="48"/>
            </w:pPr>
          </w:p>
          <w:p w14:paraId="564E4C00">
            <w:pPr>
              <w:spacing w:before="48" w:after="48"/>
            </w:pPr>
            <w:r>
              <w:rPr>
                <w:rFonts w:ascii="Arial" w:hAnsi="Arial" w:eastAsia="Arial" w:cs="Arial"/>
                <w:color w:val="222222"/>
                <w:sz w:val="21"/>
                <w:szCs w:val="21"/>
              </w:rPr>
              <w:t>本申报书全五部分，总计约7万余字，涵盖：</w:t>
            </w:r>
          </w:p>
          <w:p w14:paraId="5EBA40F0">
            <w:pPr>
              <w:spacing w:before="48" w:after="48"/>
            </w:pPr>
            <w:r>
              <w:rPr>
                <w:rFonts w:ascii="Arial" w:hAnsi="Arial" w:eastAsia="Arial" w:cs="Arial"/>
                <w:color w:val="222222"/>
                <w:sz w:val="21"/>
                <w:szCs w:val="21"/>
              </w:rPr>
              <w:t xml:space="preserve">  第一部分（Section 1-4）：研究背景、核心创新、循证机制、理论框架</w:t>
            </w:r>
          </w:p>
          <w:p w14:paraId="4E883588">
            <w:pPr>
              <w:spacing w:before="48" w:after="48"/>
            </w:pPr>
            <w:r>
              <w:rPr>
                <w:rFonts w:ascii="Arial" w:hAnsi="Arial" w:eastAsia="Arial" w:cs="Arial"/>
                <w:color w:val="222222"/>
                <w:sz w:val="21"/>
                <w:szCs w:val="21"/>
              </w:rPr>
              <w:t xml:space="preserve">  第二部分（Section 5-9）：平台架构、制度模块、配置系统、指标体系</w:t>
            </w:r>
          </w:p>
          <w:p w14:paraId="0D46D4E6">
            <w:pPr>
              <w:spacing w:before="48" w:after="48"/>
            </w:pPr>
            <w:r>
              <w:rPr>
                <w:rFonts w:ascii="Arial" w:hAnsi="Arial" w:eastAsia="Arial" w:cs="Arial"/>
                <w:color w:val="222222"/>
                <w:sz w:val="21"/>
                <w:szCs w:val="21"/>
              </w:rPr>
              <w:t xml:space="preserve">  第三部分（Section 10-12）：旗舰场景清河记、场景模板库、竞品分析</w:t>
            </w:r>
          </w:p>
          <w:p w14:paraId="7D37798D">
            <w:pPr>
              <w:spacing w:before="48" w:after="48"/>
            </w:pPr>
            <w:r>
              <w:rPr>
                <w:rFonts w:ascii="Arial" w:hAnsi="Arial" w:eastAsia="Arial" w:cs="Arial"/>
                <w:color w:val="222222"/>
                <w:sz w:val="21"/>
                <w:szCs w:val="21"/>
              </w:rPr>
              <w:t xml:space="preserve">  第四部分（Section 13-15）：教师手册、研究者手册、玩家指南</w:t>
            </w:r>
          </w:p>
          <w:p w14:paraId="12A8E213">
            <w:pPr>
              <w:spacing w:before="48" w:after="48"/>
            </w:pPr>
            <w:r>
              <w:rPr>
                <w:rFonts w:ascii="Arial" w:hAnsi="Arial" w:eastAsia="Arial" w:cs="Arial"/>
                <w:color w:val="222222"/>
                <w:sz w:val="21"/>
                <w:szCs w:val="21"/>
              </w:rPr>
              <w:t xml:space="preserve">  第五部分（Section 16-23）：技术路线、预期成果、预算、伦理、参考文献</w:t>
            </w:r>
          </w:p>
          <w:p w14:paraId="721862F3">
            <w:pPr>
              <w:spacing w:before="48" w:after="48"/>
            </w:pPr>
          </w:p>
          <w:p w14:paraId="3520B642">
            <w:pPr>
              <w:spacing w:before="48" w:after="48"/>
            </w:pPr>
            <w:r>
              <w:rPr>
                <w:rFonts w:ascii="Arial" w:hAnsi="Arial" w:eastAsia="Arial" w:cs="Arial"/>
                <w:color w:val="222222"/>
                <w:sz w:val="21"/>
                <w:szCs w:val="21"/>
              </w:rPr>
              <w:t>政通推演坊的核心竞争力：</w:t>
            </w:r>
          </w:p>
          <w:p w14:paraId="26D2671F">
            <w:pPr>
              <w:spacing w:before="48" w:after="48"/>
            </w:pPr>
            <w:r>
              <w:rPr>
                <w:rFonts w:ascii="Arial" w:hAnsi="Arial" w:eastAsia="Arial" w:cs="Arial"/>
                <w:color w:val="222222"/>
                <w:sz w:val="21"/>
                <w:szCs w:val="21"/>
              </w:rPr>
              <w:t xml:space="preserve">  制度真实性（六大模块底座）× 知识库循证性（百晓生RAG）</w:t>
            </w:r>
          </w:p>
          <w:p w14:paraId="29480B34">
            <w:pPr>
              <w:spacing w:before="48" w:after="48"/>
            </w:pPr>
            <w:r>
              <w:rPr>
                <w:rFonts w:ascii="Arial" w:hAnsi="Arial" w:eastAsia="Arial" w:cs="Arial"/>
                <w:color w:val="222222"/>
                <w:sz w:val="21"/>
                <w:szCs w:val="21"/>
              </w:rPr>
              <w:t xml:space="preserve">  × 工程可配置性（全参数开放）× 研究可测量性（七类数据流）</w:t>
            </w:r>
          </w:p>
          <w:p w14:paraId="1BCE8FAA">
            <w:pPr>
              <w:spacing w:before="48" w:after="48"/>
            </w:pPr>
          </w:p>
          <w:p w14:paraId="3F3B9BCF">
            <w:pPr>
              <w:spacing w:before="48" w:after="48"/>
            </w:pPr>
            <w:r>
              <w:rPr>
                <w:rFonts w:ascii="Arial" w:hAnsi="Arial" w:eastAsia="Arial" w:cs="Arial"/>
                <w:color w:val="222222"/>
                <w:sz w:val="21"/>
                <w:szCs w:val="21"/>
              </w:rPr>
              <w:t>联系：在「让每一个决策选项都有文献可溯，让每一场博弈都在制度之内」</w:t>
            </w:r>
          </w:p>
          <w:p w14:paraId="1CA8A100">
            <w:pPr>
              <w:spacing w:before="48" w:after="48"/>
            </w:pPr>
            <w:r>
              <w:rPr>
                <w:rFonts w:ascii="Arial" w:hAnsi="Arial" w:eastAsia="Arial" w:cs="Arial"/>
                <w:color w:val="222222"/>
                <w:sz w:val="21"/>
                <w:szCs w:val="21"/>
              </w:rPr>
              <w:t>的核心理念下，政通推演坊期待成为中国公共管理教学与研究的标准基础设施。</w:t>
            </w:r>
          </w:p>
        </w:tc>
      </w:tr>
    </w:tbl>
    <w:p w14:paraId="3F3B8630"/>
    <w:p w14:paraId="7C3371F3">
      <w:pPr>
        <w:spacing w:before="120" w:after="120"/>
      </w:pPr>
      <w:bookmarkStart w:id="0" w:name="_GoBack"/>
      <w:bookmarkEnd w:id="0"/>
    </w:p>
    <w:p w14:paraId="0E4C8351">
      <w:pPr>
        <w:spacing w:before="120" w:after="120"/>
      </w:pPr>
    </w:p>
    <w:p w14:paraId="6E035FCC">
      <w:pPr>
        <w:spacing w:before="120" w:after="120"/>
      </w:pPr>
    </w:p>
    <w:p w14:paraId="09A45531">
      <w:pPr>
        <w:spacing w:before="120" w:after="120"/>
      </w:pPr>
    </w:p>
    <w:p w14:paraId="34EAE506">
      <w:pPr>
        <w:spacing w:before="120" w:after="120"/>
      </w:pPr>
    </w:p>
    <w:p w14:paraId="32F6F8D4">
      <w:pPr>
        <w:spacing w:before="120" w:after="120"/>
      </w:pPr>
    </w:p>
    <w:p w14:paraId="2F0AE8CD">
      <w:pPr>
        <w:spacing w:before="120" w:after="120"/>
      </w:pPr>
    </w:p>
    <w:p w14:paraId="75A222AF"/>
    <w:sectPr>
      <w:headerReference r:id="rId3" w:type="default"/>
      <w:pgSz w:w="12240" w:h="15840"/>
      <w:pgMar w:top="1260" w:right="1260" w:bottom="126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B96CB">
    <w:pPr>
      <w:pBdr>
        <w:bottom w:val="single" w:color="174A7E" w:sz="4" w:space="2"/>
      </w:pBdr>
      <w:spacing w:after="60"/>
    </w:pPr>
    <w:r>
      <w:rPr>
        <w:rFonts w:ascii="Arial" w:hAnsi="Arial" w:eastAsia="Arial" w:cs="Arial"/>
        <w:color w:val="666688"/>
        <w:sz w:val="18"/>
        <w:szCs w:val="18"/>
      </w:rPr>
      <w:t>政通推演坊 GovSim Studio  ·  研究背景 · 理论框架 · 核心创新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spacing w:before="60" w:after="60"/>
        <w:ind w:left="56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2B1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440" w:after="200"/>
      <w:outlineLvl w:val="0"/>
    </w:pPr>
    <w:rPr>
      <w:rFonts w:ascii="Arial" w:hAnsi="Arial" w:eastAsia="Arial" w:cs="Arial"/>
      <w:b/>
      <w:bCs/>
      <w:color w:val="1A3A5C"/>
      <w:sz w:val="30"/>
      <w:szCs w:val="30"/>
    </w:rPr>
  </w:style>
  <w:style w:type="paragraph" w:styleId="3">
    <w:name w:val="heading 2"/>
    <w:next w:val="1"/>
    <w:qFormat/>
    <w:uiPriority w:val="0"/>
    <w:pPr>
      <w:spacing w:before="320" w:after="140"/>
      <w:outlineLvl w:val="1"/>
    </w:pPr>
    <w:rPr>
      <w:rFonts w:ascii="Arial" w:hAnsi="Arial" w:eastAsia="Arial" w:cs="Arial"/>
      <w:b/>
      <w:bCs/>
      <w:color w:val="174A7E"/>
      <w:sz w:val="25"/>
      <w:szCs w:val="25"/>
    </w:rPr>
  </w:style>
  <w:style w:type="paragraph" w:styleId="4">
    <w:name w:val="heading 3"/>
    <w:next w:val="1"/>
    <w:qFormat/>
    <w:uiPriority w:val="0"/>
    <w:pPr>
      <w:spacing w:before="220" w:after="100"/>
      <w:outlineLvl w:val="2"/>
    </w:pPr>
    <w:rPr>
      <w:rFonts w:ascii="Arial" w:hAnsi="Arial" w:eastAsia="Arial" w:cs="Arial"/>
      <w:b/>
      <w:bCs/>
      <w:color w:val="1B5E96"/>
      <w:sz w:val="22"/>
      <w:szCs w:val="2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7">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2026-02-26T12:23:26Z</dcterms:created>
  <dc:creator>hua'wei</dc:creator>
  <cp:lastModifiedBy>吉瑞新</cp:lastModifiedBy>
  <dcterms:modified xsi:type="dcterms:W3CDTF">2026-02-26T12:26:30Z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eyJoZGlkIjoiYTc2ZGZiNzZiNDVlOGViOWVmM2JhOTY0NGJkNjUyYzgiLCJ1c2VySWQiOiIxNzQ3NDYzNTk5In0=</vt:lpwstr>
  </property>
  <property fmtid="{D5CDD505-2E9C-101B-9397-08002B2CF9AE}" pid="4" name="ICV">
    <vt:lpwstr>1C5AE907040C4AD4B47123C568E18CED_12</vt:lpwstr>
  </property>
</Properties>
</file>