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BLC26 Kurven prüfen verstehen und vermitteln</w:t>
      </w:r>
    </w:p>
    <w:p>
      <w:r>
        <w:rPr>
          <w:rFonts w:ascii="Aptos" w:hAnsi="Aptos"/>
          <w:b w:val="0"/>
          <w:i w:val="0"/>
        </w:rPr>
        <w:t>Sie untersuchen in einer kleinen Gruppe eine ausgewählte BLC26-Kurve. Sie prüfen die Daten und Quellen, erklären den gesamten Verlauf und übertragen die Ergebnisse vorsichtig auf Praxis und Bauen.</w:t>
      </w:r>
    </w:p>
    <w:p>
      <w:pPr>
        <w:pStyle w:val="Heading1"/>
        <w:keepNext/>
      </w:pPr>
      <w:r>
        <w:t>Ihr Ergebnis</w:t>
      </w:r>
    </w:p>
    <w:p>
      <w:r>
        <w:rPr>
          <w:rFonts w:ascii="Aptos" w:hAnsi="Aptos"/>
          <w:b w:val="0"/>
          <w:i w:val="0"/>
        </w:rPr>
        <w:t>Sie geben einen kompakten Prüfbericht ab. Die Arbeitsvorlage führt Sie Schritt für Schritt durch die Bearbeitung. Halten Sie die Schnellhilfe beim Arbeiten geöffnet. Das ZUSTAND-Zertifikat auf Seite 1 ist zunächst ein Entwurf; die spätere fachliche Freigabe übernimmt die Projektleitung.</w:t>
      </w:r>
    </w:p>
    <w:p>
      <w:pPr>
        <w:pStyle w:val="ListBullet"/>
      </w:pPr>
      <w:r>
        <w:rPr>
          <w:rFonts w:ascii="Aptos" w:hAnsi="Aptos"/>
          <w:b w:val="0"/>
          <w:i w:val="0"/>
        </w:rPr>
        <w:t>Seite 1: ZUSTAND-Prüfentwurf und Gesamturteil</w:t>
      </w:r>
    </w:p>
    <w:p>
      <w:pPr>
        <w:pStyle w:val="ListBullet"/>
      </w:pPr>
      <w:r>
        <w:rPr>
          <w:rFonts w:ascii="Aptos" w:hAnsi="Aptos"/>
          <w:b w:val="0"/>
          <w:i w:val="0"/>
        </w:rPr>
        <w:t>Seite 2: Kurve, Datenherkunft und Quellenqualität</w:t>
      </w:r>
    </w:p>
    <w:p>
      <w:pPr>
        <w:pStyle w:val="ListBullet"/>
      </w:pPr>
      <w:r>
        <w:rPr>
          <w:rFonts w:ascii="Aptos" w:hAnsi="Aptos"/>
          <w:b w:val="0"/>
          <w:i w:val="0"/>
        </w:rPr>
        <w:t>Seite 3: drei Kurvensegmente und Methodenwechsel</w:t>
      </w:r>
    </w:p>
    <w:p>
      <w:pPr>
        <w:pStyle w:val="ListBullet"/>
      </w:pPr>
      <w:r>
        <w:rPr>
          <w:rFonts w:ascii="Aptos" w:hAnsi="Aptos"/>
          <w:b w:val="0"/>
          <w:i w:val="0"/>
        </w:rPr>
        <w:t>Seite 4: Bedeutung, Aussagegrenzen und Baubezug</w:t>
      </w:r>
    </w:p>
    <w:p>
      <w:pPr>
        <w:pStyle w:val="ListBullet"/>
      </w:pPr>
      <w:r>
        <w:rPr>
          <w:rFonts w:ascii="Aptos" w:hAnsi="Aptos"/>
          <w:b w:val="0"/>
          <w:i w:val="0"/>
        </w:rPr>
        <w:t>Seite 5: Wechselwirkungen und Verbesserungen</w:t>
      </w:r>
    </w:p>
    <w:p>
      <w:pPr>
        <w:pStyle w:val="ListBullet"/>
      </w:pPr>
      <w:r>
        <w:rPr>
          <w:rFonts w:ascii="Aptos" w:hAnsi="Aptos"/>
          <w:b w:val="0"/>
          <w:i w:val="0"/>
        </w:rPr>
        <w:t>Anhang: Quellen, Nachweise und kurze Dokumentation des KI-Einsatzes</w:t>
      </w:r>
    </w:p>
    <w:p>
      <w:pPr>
        <w:pStyle w:val="Heading1"/>
        <w:keepNext/>
      </w:pPr>
      <w:r>
        <w:t>Die drei Kurvensegmente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2324"/>
            <w:shd w:fill="17365D"/>
            <w:tcMar>
              <w:top w:w="100" w:type="dxa"/>
              <w:start w:w="115" w:type="dxa"/>
              <w:bottom w:w="100" w:type="dxa"/>
              <w:end w:w="115" w:type="dxa"/>
            </w:tcMar>
            <w:vAlign w:val="center"/>
          </w:tcPr>
          <w:p>
            <w:pPr>
              <w:jc w:val="center"/>
            </w:pPr>
            <w:r>
              <w:rPr>
                <w:rFonts w:ascii="Aptos" w:hAnsi="Aptos"/>
                <w:b/>
                <w:i w:val="0"/>
                <w:color w:val="FFFFFF"/>
                <w:sz w:val="17"/>
              </w:rPr>
              <w:t>Segment</w:t>
            </w:r>
          </w:p>
        </w:tc>
        <w:tc>
          <w:tcPr>
            <w:tcW w:type="dxa" w:w="7313"/>
            <w:shd w:fill="17365D"/>
            <w:tcMar>
              <w:top w:w="100" w:type="dxa"/>
              <w:start w:w="115" w:type="dxa"/>
              <w:bottom w:w="100" w:type="dxa"/>
              <w:end w:w="115" w:type="dxa"/>
            </w:tcMar>
            <w:vAlign w:val="center"/>
          </w:tcPr>
          <w:p>
            <w:pPr>
              <w:jc w:val="center"/>
            </w:pPr>
            <w:r>
              <w:rPr>
                <w:rFonts w:ascii="Aptos" w:hAnsi="Aptos"/>
                <w:b/>
                <w:i w:val="0"/>
                <w:color w:val="FFFFFF"/>
                <w:sz w:val="17"/>
              </w:rPr>
              <w:t>Was ist gemeint</w:t>
            </w:r>
          </w:p>
        </w:tc>
      </w:tr>
      <w:tr>
        <w:tc>
          <w:tcPr>
            <w:tcW w:type="dxa" w:w="2324"/>
            <w:tcMar>
              <w:top w:w="95" w:type="dxa"/>
              <w:start w:w="115" w:type="dxa"/>
              <w:bottom w:w="95" w:type="dxa"/>
              <w:end w:w="115" w:type="dxa"/>
            </w:tcMar>
            <w:vAlign w:val="center"/>
          </w:tcPr>
          <w:p>
            <w:pPr>
              <w:jc w:val="left"/>
            </w:pPr>
            <w:r>
              <w:rPr>
                <w:rFonts w:ascii="Aptos" w:hAnsi="Aptos"/>
                <w:b w:val="0"/>
                <w:i w:val="0"/>
                <w:sz w:val="17"/>
              </w:rPr>
              <w:t>Rekonstruktion</w:t>
            </w:r>
          </w:p>
        </w:tc>
        <w:tc>
          <w:tcPr>
            <w:tcW w:type="dxa" w:w="7313"/>
            <w:tcMar>
              <w:top w:w="95" w:type="dxa"/>
              <w:start w:w="115" w:type="dxa"/>
              <w:bottom w:w="95" w:type="dxa"/>
              <w:end w:w="115" w:type="dxa"/>
            </w:tcMar>
            <w:vAlign w:val="center"/>
          </w:tcPr>
          <w:p>
            <w:pPr>
              <w:jc w:val="left"/>
            </w:pPr>
            <w:r>
              <w:rPr>
                <w:rFonts w:ascii="Aptos" w:hAnsi="Aptos"/>
                <w:b w:val="0"/>
                <w:i w:val="0"/>
                <w:sz w:val="17"/>
              </w:rPr>
              <w:t>Vergangene Werte werden aus indirekten Hinweisen oder historischen Daten wissenschaftlich erschlossen.</w:t>
            </w:r>
          </w:p>
        </w:tc>
      </w:tr>
      <w:tr>
        <w:tc>
          <w:tcPr>
            <w:tcW w:type="dxa" w:w="2324"/>
            <w:tcMar>
              <w:top w:w="95" w:type="dxa"/>
              <w:start w:w="115" w:type="dxa"/>
              <w:bottom w:w="95" w:type="dxa"/>
              <w:end w:w="115" w:type="dxa"/>
            </w:tcMar>
            <w:vAlign w:val="center"/>
            <w:shd w:fill="EAF2F8"/>
          </w:tcPr>
          <w:p>
            <w:pPr>
              <w:jc w:val="left"/>
            </w:pPr>
            <w:r>
              <w:rPr>
                <w:rFonts w:ascii="Aptos" w:hAnsi="Aptos"/>
                <w:b w:val="0"/>
                <w:i w:val="0"/>
                <w:sz w:val="17"/>
              </w:rPr>
              <w:t>Beobachtung</w:t>
            </w:r>
          </w:p>
        </w:tc>
        <w:tc>
          <w:tcPr>
            <w:tcW w:type="dxa" w:w="7313"/>
            <w:tcMar>
              <w:top w:w="95" w:type="dxa"/>
              <w:start w:w="115" w:type="dxa"/>
              <w:bottom w:w="95" w:type="dxa"/>
              <w:end w:w="115" w:type="dxa"/>
            </w:tcMar>
            <w:vAlign w:val="center"/>
            <w:shd w:fill="EAF2F8"/>
          </w:tcPr>
          <w:p>
            <w:pPr>
              <w:jc w:val="left"/>
            </w:pPr>
            <w:r>
              <w:rPr>
                <w:rFonts w:ascii="Aptos" w:hAnsi="Aptos"/>
                <w:b w:val="0"/>
                <w:i w:val="0"/>
                <w:sz w:val="17"/>
              </w:rPr>
              <w:t>Werte werden mit Messverfahren erhoben, ausgewertet und veröffentlicht.</w:t>
            </w:r>
          </w:p>
        </w:tc>
      </w:tr>
      <w:tr>
        <w:tc>
          <w:tcPr>
            <w:tcW w:type="dxa" w:w="2324"/>
            <w:tcMar>
              <w:top w:w="95" w:type="dxa"/>
              <w:start w:w="115" w:type="dxa"/>
              <w:bottom w:w="95" w:type="dxa"/>
              <w:end w:w="115" w:type="dxa"/>
            </w:tcMar>
            <w:vAlign w:val="center"/>
          </w:tcPr>
          <w:p>
            <w:pPr>
              <w:jc w:val="left"/>
            </w:pPr>
            <w:r>
              <w:rPr>
                <w:rFonts w:ascii="Aptos" w:hAnsi="Aptos"/>
                <w:b w:val="0"/>
                <w:i w:val="0"/>
                <w:sz w:val="17"/>
              </w:rPr>
              <w:t>Projektion</w:t>
            </w:r>
          </w:p>
        </w:tc>
        <w:tc>
          <w:tcPr>
            <w:tcW w:type="dxa" w:w="7313"/>
            <w:tcMar>
              <w:top w:w="95" w:type="dxa"/>
              <w:start w:w="115" w:type="dxa"/>
              <w:bottom w:w="95" w:type="dxa"/>
              <w:end w:w="115" w:type="dxa"/>
            </w:tcMar>
            <w:vAlign w:val="center"/>
          </w:tcPr>
          <w:p>
            <w:pPr>
              <w:jc w:val="left"/>
            </w:pPr>
            <w:r>
              <w:rPr>
                <w:rFonts w:ascii="Aptos" w:hAnsi="Aptos"/>
                <w:b w:val="0"/>
                <w:i w:val="0"/>
                <w:sz w:val="17"/>
              </w:rPr>
              <w:t>Modelle berechnen mögliche Zukunftsentwicklungen unter bestimmten Annahmen oder Szenarien.</w:t>
            </w:r>
          </w:p>
        </w:tc>
      </w:tr>
    </w:tbl>
    <w:p>
      <w:pPr>
        <w:spacing w:after="0"/>
      </w:pPr>
    </w:p>
    <w:p>
      <w:r>
        <w:rPr>
          <w:rFonts w:ascii="Aptos" w:hAnsi="Aptos"/>
          <w:b w:val="0"/>
          <w:i w:val="0"/>
        </w:rPr>
        <w:t>Die Bezeichnungen können bei einzelnen Kurven abweichen. Entscheidend ist, dass Sie die verwendete Methode und ihre Unsicherheit für jedes Segment prüfen.</w:t>
      </w:r>
    </w:p>
    <w:p>
      <w:pPr>
        <w:pStyle w:val="Heading1"/>
        <w:keepNext/>
      </w:pPr>
      <w:r>
        <w:t>Pflichtaufgaben</w:t>
      </w:r>
    </w:p>
    <w:p>
      <w:pPr>
        <w:pStyle w:val="ListNumber"/>
      </w:pPr>
      <w:r>
        <w:rPr>
          <w:rFonts w:ascii="Aptos" w:hAnsi="Aptos"/>
          <w:b w:val="0"/>
          <w:i w:val="0"/>
        </w:rPr>
        <w:t>Beschreiben Sie, was die Kurve zeigt, welche Einheit verwendet wird und was ein steigender oder fallender Verlauf bedeutet.</w:t>
      </w:r>
    </w:p>
    <w:p>
      <w:pPr>
        <w:pStyle w:val="ListNumber"/>
      </w:pPr>
      <w:r>
        <w:rPr>
          <w:rFonts w:ascii="Aptos" w:hAnsi="Aptos"/>
          <w:b w:val="0"/>
          <w:i w:val="0"/>
        </w:rPr>
        <w:t>Kontrollieren Sie drei Werte anhand der Originalquelle, möglichst einen aus jedem vorhandenen Segment.</w:t>
      </w:r>
    </w:p>
    <w:p>
      <w:pPr>
        <w:pStyle w:val="ListNumber"/>
      </w:pPr>
      <w:r>
        <w:rPr>
          <w:rFonts w:ascii="Aptos" w:hAnsi="Aptos"/>
          <w:b w:val="0"/>
          <w:i w:val="0"/>
        </w:rPr>
        <w:t>Beurteilen Sie Herkunft, Methode, wissenschaftliche Qualität und Aktualität der wichtigsten Quellen.</w:t>
      </w:r>
    </w:p>
    <w:p>
      <w:pPr>
        <w:pStyle w:val="ListNumber"/>
      </w:pPr>
      <w:r>
        <w:rPr>
          <w:rFonts w:ascii="Aptos" w:hAnsi="Aptos"/>
          <w:b w:val="0"/>
          <w:i w:val="0"/>
        </w:rPr>
        <w:t>Vergleichen Sie Rekonstruktion, Beobachtung und Projektion. Erklären Sie die Methodenwechsel und die jeweiligen Unsicherheiten.</w:t>
      </w:r>
    </w:p>
    <w:p>
      <w:pPr>
        <w:pStyle w:val="ListNumber"/>
      </w:pPr>
      <w:r>
        <w:rPr>
          <w:rFonts w:ascii="Aptos" w:hAnsi="Aptos"/>
          <w:b w:val="0"/>
          <w:i w:val="0"/>
        </w:rPr>
        <w:t>Formulieren Sie eine Aussage über den gesamten Verlauf. Trennen Sie Messung, Rekonstruktion, Modellannahme und Interpretation.</w:t>
      </w:r>
    </w:p>
    <w:p>
      <w:pPr>
        <w:pStyle w:val="ListNumber"/>
      </w:pPr>
      <w:r>
        <w:rPr>
          <w:rFonts w:ascii="Aptos" w:hAnsi="Aptos"/>
          <w:b w:val="0"/>
          <w:i w:val="0"/>
        </w:rPr>
        <w:t>Erarbeiten Sie mindestens ein Praxis- oder Baubeispiel. Kennzeichnen Sie, welche zusätzlichen regionalen oder lokalen Daten benötigt werden.</w:t>
      </w:r>
    </w:p>
    <w:p>
      <w:pPr>
        <w:pStyle w:val="ListNumber"/>
      </w:pPr>
      <w:r>
        <w:rPr>
          <w:rFonts w:ascii="Aptos" w:hAnsi="Aptos"/>
          <w:b w:val="0"/>
          <w:i w:val="0"/>
        </w:rPr>
        <w:t>Untersuchen Sie mindestens zwei mögliche Verbindungen zu anderen BLC26-Kurven und belegen Sie die Wirkungsrichtung mit Quellen.</w:t>
      </w:r>
    </w:p>
    <w:p>
      <w:pPr>
        <w:pStyle w:val="ListNumber"/>
      </w:pPr>
      <w:r>
        <w:rPr>
          <w:rFonts w:ascii="Aptos" w:hAnsi="Aptos"/>
          <w:b w:val="0"/>
          <w:i w:val="0"/>
        </w:rPr>
        <w:t>Formulieren Sie konkrete Verbesserungsvorschläge für BLC26 oder das GWL-Panel.</w:t>
      </w:r>
    </w:p>
    <w:p>
      <w:r>
        <w:br w:type="page"/>
      </w:r>
    </w:p>
    <w:p>
      <w:pPr>
        <w:pStyle w:val="Heading1"/>
        <w:keepNext/>
      </w:pPr>
      <w:r>
        <w:t>Bewertung und Nachweise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1871"/>
            <w:shd w:fill="17365D"/>
            <w:tcMar>
              <w:top w:w="100" w:type="dxa"/>
              <w:start w:w="115" w:type="dxa"/>
              <w:bottom w:w="100" w:type="dxa"/>
              <w:end w:w="115" w:type="dxa"/>
            </w:tcMar>
            <w:vAlign w:val="center"/>
          </w:tcPr>
          <w:p>
            <w:pPr>
              <w:jc w:val="center"/>
            </w:pPr>
            <w:r>
              <w:rPr>
                <w:rFonts w:ascii="Aptos" w:hAnsi="Aptos"/>
                <w:b/>
                <w:i w:val="0"/>
                <w:color w:val="FFFFFF"/>
                <w:sz w:val="17"/>
              </w:rPr>
              <w:t>Bewertung</w:t>
            </w:r>
          </w:p>
        </w:tc>
        <w:tc>
          <w:tcPr>
            <w:tcW w:type="dxa" w:w="7767"/>
            <w:shd w:fill="17365D"/>
            <w:tcMar>
              <w:top w:w="100" w:type="dxa"/>
              <w:start w:w="115" w:type="dxa"/>
              <w:bottom w:w="100" w:type="dxa"/>
              <w:end w:w="115" w:type="dxa"/>
            </w:tcMar>
            <w:vAlign w:val="center"/>
          </w:tcPr>
          <w:p>
            <w:pPr>
              <w:jc w:val="center"/>
            </w:pPr>
            <w:r>
              <w:rPr>
                <w:rFonts w:ascii="Aptos" w:hAnsi="Aptos"/>
                <w:b/>
                <w:i w:val="0"/>
                <w:color w:val="FFFFFF"/>
                <w:sz w:val="17"/>
              </w:rPr>
              <w:t>Bedeutung</w:t>
            </w:r>
          </w:p>
        </w:tc>
      </w:tr>
      <w:tr>
        <w:tc>
          <w:tcPr>
            <w:tcW w:type="dxa" w:w="1871"/>
            <w:tcMar>
              <w:top w:w="95" w:type="dxa"/>
              <w:start w:w="115" w:type="dxa"/>
              <w:bottom w:w="95" w:type="dxa"/>
              <w:end w:w="115" w:type="dxa"/>
            </w:tcMar>
            <w:vAlign w:val="center"/>
          </w:tcPr>
          <w:p>
            <w:pPr>
              <w:jc w:val="left"/>
            </w:pPr>
            <w:r>
              <w:rPr>
                <w:rFonts w:ascii="Aptos" w:hAnsi="Aptos"/>
                <w:b w:val="0"/>
                <w:i w:val="0"/>
                <w:sz w:val="17"/>
              </w:rPr>
              <w:t>Grün</w:t>
            </w:r>
          </w:p>
        </w:tc>
        <w:tc>
          <w:tcPr>
            <w:tcW w:type="dxa" w:w="7767"/>
            <w:tcMar>
              <w:top w:w="95" w:type="dxa"/>
              <w:start w:w="115" w:type="dxa"/>
              <w:bottom w:w="95" w:type="dxa"/>
              <w:end w:w="115" w:type="dxa"/>
            </w:tcMar>
            <w:vAlign w:val="center"/>
          </w:tcPr>
          <w:p>
            <w:pPr>
              <w:jc w:val="left"/>
            </w:pPr>
            <w:r>
              <w:rPr>
                <w:rFonts w:ascii="Aptos" w:hAnsi="Aptos"/>
                <w:b w:val="0"/>
                <w:i w:val="0"/>
                <w:sz w:val="17"/>
              </w:rPr>
              <w:t>erfüllt und nachvollziehbar</w:t>
            </w:r>
          </w:p>
        </w:tc>
      </w:tr>
      <w:tr>
        <w:tc>
          <w:tcPr>
            <w:tcW w:type="dxa" w:w="1871"/>
            <w:tcMar>
              <w:top w:w="95" w:type="dxa"/>
              <w:start w:w="115" w:type="dxa"/>
              <w:bottom w:w="95" w:type="dxa"/>
              <w:end w:w="115" w:type="dxa"/>
            </w:tcMar>
            <w:vAlign w:val="center"/>
            <w:shd w:fill="EAF2F8"/>
          </w:tcPr>
          <w:p>
            <w:pPr>
              <w:jc w:val="left"/>
            </w:pPr>
            <w:r>
              <w:rPr>
                <w:rFonts w:ascii="Aptos" w:hAnsi="Aptos"/>
                <w:b w:val="0"/>
                <w:i w:val="0"/>
                <w:sz w:val="17"/>
              </w:rPr>
              <w:t>Gelb</w:t>
            </w:r>
          </w:p>
        </w:tc>
        <w:tc>
          <w:tcPr>
            <w:tcW w:type="dxa" w:w="7767"/>
            <w:tcMar>
              <w:top w:w="95" w:type="dxa"/>
              <w:start w:w="115" w:type="dxa"/>
              <w:bottom w:w="95" w:type="dxa"/>
              <w:end w:w="115" w:type="dxa"/>
            </w:tcMar>
            <w:vAlign w:val="center"/>
            <w:shd w:fill="EAF2F8"/>
          </w:tcPr>
          <w:p>
            <w:pPr>
              <w:jc w:val="left"/>
            </w:pPr>
            <w:r>
              <w:rPr>
                <w:rFonts w:ascii="Aptos" w:hAnsi="Aptos"/>
                <w:b w:val="0"/>
                <w:i w:val="0"/>
                <w:sz w:val="17"/>
              </w:rPr>
              <w:t>teilweise erfüllt oder nur mit Einschränkung</w:t>
            </w:r>
          </w:p>
        </w:tc>
      </w:tr>
      <w:tr>
        <w:tc>
          <w:tcPr>
            <w:tcW w:type="dxa" w:w="1871"/>
            <w:tcMar>
              <w:top w:w="95" w:type="dxa"/>
              <w:start w:w="115" w:type="dxa"/>
              <w:bottom w:w="95" w:type="dxa"/>
              <w:end w:w="115" w:type="dxa"/>
            </w:tcMar>
            <w:vAlign w:val="center"/>
          </w:tcPr>
          <w:p>
            <w:pPr>
              <w:jc w:val="left"/>
            </w:pPr>
            <w:r>
              <w:rPr>
                <w:rFonts w:ascii="Aptos" w:hAnsi="Aptos"/>
                <w:b w:val="0"/>
                <w:i w:val="0"/>
                <w:sz w:val="17"/>
              </w:rPr>
              <w:t>Rot</w:t>
            </w:r>
          </w:p>
        </w:tc>
        <w:tc>
          <w:tcPr>
            <w:tcW w:type="dxa" w:w="7767"/>
            <w:tcMar>
              <w:top w:w="95" w:type="dxa"/>
              <w:start w:w="115" w:type="dxa"/>
              <w:bottom w:w="95" w:type="dxa"/>
              <w:end w:w="115" w:type="dxa"/>
            </w:tcMar>
            <w:vAlign w:val="center"/>
          </w:tcPr>
          <w:p>
            <w:pPr>
              <w:jc w:val="left"/>
            </w:pPr>
            <w:r>
              <w:rPr>
                <w:rFonts w:ascii="Aptos" w:hAnsi="Aptos"/>
                <w:b w:val="0"/>
                <w:i w:val="0"/>
                <w:sz w:val="17"/>
              </w:rPr>
              <w:t>nicht erfüllt oder wesentlicher Fehler</w:t>
            </w:r>
          </w:p>
        </w:tc>
      </w:tr>
      <w:tr>
        <w:tc>
          <w:tcPr>
            <w:tcW w:type="dxa" w:w="1871"/>
            <w:tcMar>
              <w:top w:w="95" w:type="dxa"/>
              <w:start w:w="115" w:type="dxa"/>
              <w:bottom w:w="95" w:type="dxa"/>
              <w:end w:w="115" w:type="dxa"/>
            </w:tcMar>
            <w:vAlign w:val="center"/>
            <w:shd w:fill="EAF2F8"/>
          </w:tcPr>
          <w:p>
            <w:pPr>
              <w:jc w:val="left"/>
            </w:pPr>
            <w:r>
              <w:rPr>
                <w:rFonts w:ascii="Aptos" w:hAnsi="Aptos"/>
                <w:b w:val="0"/>
                <w:i w:val="0"/>
                <w:sz w:val="17"/>
              </w:rPr>
              <w:t>Grau</w:t>
            </w:r>
          </w:p>
        </w:tc>
        <w:tc>
          <w:tcPr>
            <w:tcW w:type="dxa" w:w="7767"/>
            <w:tcMar>
              <w:top w:w="95" w:type="dxa"/>
              <w:start w:w="115" w:type="dxa"/>
              <w:bottom w:w="95" w:type="dxa"/>
              <w:end w:w="115" w:type="dxa"/>
            </w:tcMar>
            <w:vAlign w:val="center"/>
            <w:shd w:fill="EAF2F8"/>
          </w:tcPr>
          <w:p>
            <w:pPr>
              <w:jc w:val="left"/>
            </w:pPr>
            <w:r>
              <w:rPr>
                <w:rFonts w:ascii="Aptos" w:hAnsi="Aptos"/>
                <w:b w:val="0"/>
                <w:i w:val="0"/>
                <w:sz w:val="17"/>
              </w:rPr>
              <w:t>nicht prüfbar oder nicht anwendbar</w:t>
            </w:r>
          </w:p>
        </w:tc>
      </w:tr>
    </w:tbl>
    <w:p>
      <w:pPr>
        <w:spacing w:after="0"/>
      </w:pPr>
    </w:p>
    <w:p>
      <w:r>
        <w:rPr>
          <w:rFonts w:ascii="Aptos" w:hAnsi="Aptos"/>
          <w:b w:val="0"/>
          <w:i w:val="0"/>
        </w:rPr>
        <w:t>Jede gelbe, rote oder graue Bewertung wird kurz begründet. Geben Sie bei fachlichen Aussagen möglichst genau an, wo Sie den Beleg gefunden haben: URL oder DOI sowie Seite, Tabelle, Zeile oder Abschnitt.</w:t>
      </w:r>
    </w:p>
    <w:p>
      <w:r>
        <w:rPr>
          <w:rFonts w:ascii="Aptos" w:hAnsi="Aptos"/>
          <w:b w:val="0"/>
          <w:i w:val="0"/>
        </w:rPr>
        <w:t>Wenn eine Aufgabe bei Ihrer Kurve nicht passt oder eine Quelle nicht erreichbar ist, tragen Sie nicht anwendbar oder nicht prüfbar ein und begründen dies kurz. Raten Sie keine Antwort.</w:t>
      </w:r>
    </w:p>
    <w:p>
      <w:pPr>
        <w:pStyle w:val="Heading1"/>
        <w:keepNext/>
      </w:pPr>
      <w:r>
        <w:t>Wissenschaftlich arbeiten</w:t>
      </w:r>
    </w:p>
    <w:p>
      <w:pPr>
        <w:pStyle w:val="ListBullet"/>
      </w:pPr>
      <w:r>
        <w:rPr>
          <w:rFonts w:ascii="Aptos" w:hAnsi="Aptos"/>
          <w:b w:val="0"/>
          <w:i w:val="0"/>
        </w:rPr>
        <w:t>Ein ähnlicher Verlauf zweier Kurven beweist noch keinen ursächlichen Zusammenhang.</w:t>
      </w:r>
    </w:p>
    <w:p>
      <w:pPr>
        <w:pStyle w:val="ListBullet"/>
      </w:pPr>
      <w:r>
        <w:rPr>
          <w:rFonts w:ascii="Aptos" w:hAnsi="Aptos"/>
          <w:b w:val="0"/>
          <w:i w:val="0"/>
        </w:rPr>
        <w:t>Eine Projektion ist keine sichere Vorhersage und kein bereits gemessener Zukunftswert.</w:t>
      </w:r>
    </w:p>
    <w:p>
      <w:pPr>
        <w:pStyle w:val="ListBullet"/>
      </w:pPr>
      <w:r>
        <w:rPr>
          <w:rFonts w:ascii="Aptos" w:hAnsi="Aptos"/>
          <w:b w:val="0"/>
          <w:i w:val="0"/>
        </w:rPr>
        <w:t>Ein globaler Wert darf nicht ohne zusätzliche Prüfung auf einen Ort oder ein Gebäude übertragen werden.</w:t>
      </w:r>
    </w:p>
    <w:p>
      <w:pPr>
        <w:pStyle w:val="ListBullet"/>
      </w:pPr>
      <w:r>
        <w:rPr>
          <w:rFonts w:ascii="Aptos" w:hAnsi="Aptos"/>
          <w:b w:val="0"/>
          <w:i w:val="0"/>
        </w:rPr>
        <w:t>Wenn Sie etwas nicht prüfen können, kennzeichnen Sie dies offen. Eine begründete offene Frage ist besser als eine unbelegte Behauptung.</w:t>
      </w:r>
    </w:p>
    <w:p>
      <w:pPr>
        <w:pStyle w:val="Heading1"/>
        <w:keepNext/>
      </w:pPr>
      <w:r>
        <w:t>Zeitplan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1701"/>
            <w:shd w:fill="17365D"/>
            <w:tcMar>
              <w:top w:w="100" w:type="dxa"/>
              <w:start w:w="115" w:type="dxa"/>
              <w:bottom w:w="100" w:type="dxa"/>
              <w:end w:w="115" w:type="dxa"/>
            </w:tcMar>
            <w:vAlign w:val="center"/>
          </w:tcPr>
          <w:p>
            <w:pPr>
              <w:jc w:val="center"/>
            </w:pPr>
            <w:r>
              <w:rPr>
                <w:rFonts w:ascii="Aptos" w:hAnsi="Aptos"/>
                <w:b/>
                <w:i w:val="0"/>
                <w:color w:val="FFFFFF"/>
                <w:sz w:val="15"/>
              </w:rPr>
              <w:t>Zeit</w:t>
            </w:r>
          </w:p>
        </w:tc>
        <w:tc>
          <w:tcPr>
            <w:tcW w:type="dxa" w:w="4025"/>
            <w:shd w:fill="17365D"/>
            <w:tcMar>
              <w:top w:w="100" w:type="dxa"/>
              <w:start w:w="115" w:type="dxa"/>
              <w:bottom w:w="100" w:type="dxa"/>
              <w:end w:w="115" w:type="dxa"/>
            </w:tcMar>
            <w:vAlign w:val="center"/>
          </w:tcPr>
          <w:p>
            <w:pPr>
              <w:jc w:val="center"/>
            </w:pPr>
            <w:r>
              <w:rPr>
                <w:rFonts w:ascii="Aptos" w:hAnsi="Aptos"/>
                <w:b/>
                <w:i w:val="0"/>
                <w:color w:val="FFFFFF"/>
                <w:sz w:val="15"/>
              </w:rPr>
              <w:t>Schwerpunkt</w:t>
            </w:r>
          </w:p>
        </w:tc>
        <w:tc>
          <w:tcPr>
            <w:tcW w:type="dxa" w:w="3912"/>
            <w:shd w:fill="17365D"/>
            <w:tcMar>
              <w:top w:w="100" w:type="dxa"/>
              <w:start w:w="115" w:type="dxa"/>
              <w:bottom w:w="100" w:type="dxa"/>
              <w:end w:w="115" w:type="dxa"/>
            </w:tcMar>
            <w:vAlign w:val="center"/>
          </w:tcPr>
          <w:p>
            <w:pPr>
              <w:jc w:val="center"/>
            </w:pPr>
            <w:r>
              <w:rPr>
                <w:rFonts w:ascii="Aptos" w:hAnsi="Aptos"/>
                <w:b/>
                <w:i w:val="0"/>
                <w:color w:val="FFFFFF"/>
                <w:sz w:val="15"/>
              </w:rPr>
              <w:t>Zwischenziel</w:t>
            </w:r>
          </w:p>
        </w:tc>
      </w:tr>
      <w:tr>
        <w:tc>
          <w:tcPr>
            <w:tcW w:type="dxa" w:w="1701"/>
            <w:tcMar>
              <w:top w:w="95" w:type="dxa"/>
              <w:start w:w="115" w:type="dxa"/>
              <w:bottom w:w="95" w:type="dxa"/>
              <w:end w:w="115" w:type="dxa"/>
            </w:tcMar>
            <w:vAlign w:val="center"/>
          </w:tcPr>
          <w:p>
            <w:pPr>
              <w:jc w:val="center"/>
            </w:pPr>
            <w:r>
              <w:rPr>
                <w:rFonts w:ascii="Aptos" w:hAnsi="Aptos"/>
                <w:b w:val="0"/>
                <w:i w:val="0"/>
                <w:sz w:val="15"/>
              </w:rPr>
              <w:t>Montagnachmittag</w:t>
            </w:r>
          </w:p>
        </w:tc>
        <w:tc>
          <w:tcPr>
            <w:tcW w:type="dxa" w:w="4025"/>
            <w:tcMar>
              <w:top w:w="95" w:type="dxa"/>
              <w:start w:w="115" w:type="dxa"/>
              <w:bottom w:w="95" w:type="dxa"/>
              <w:end w:w="115" w:type="dxa"/>
            </w:tcMar>
            <w:vAlign w:val="center"/>
          </w:tcPr>
          <w:p>
            <w:pPr>
              <w:jc w:val="left"/>
            </w:pPr>
            <w:r>
              <w:rPr>
                <w:rFonts w:ascii="Aptos" w:hAnsi="Aptos"/>
                <w:b w:val="0"/>
                <w:i w:val="0"/>
                <w:sz w:val="15"/>
              </w:rPr>
              <w:t>Kurve öffnen, Begriffe klären, Quellen finden, Aufgaben verteilen</w:t>
            </w:r>
          </w:p>
        </w:tc>
        <w:tc>
          <w:tcPr>
            <w:tcW w:type="dxa" w:w="3912"/>
            <w:tcMar>
              <w:top w:w="95" w:type="dxa"/>
              <w:start w:w="115" w:type="dxa"/>
              <w:bottom w:w="95" w:type="dxa"/>
              <w:end w:w="115" w:type="dxa"/>
            </w:tcMar>
            <w:vAlign w:val="center"/>
          </w:tcPr>
          <w:p>
            <w:pPr>
              <w:jc w:val="left"/>
            </w:pPr>
            <w:r>
              <w:rPr>
                <w:rFonts w:ascii="Aptos" w:hAnsi="Aptos"/>
                <w:b w:val="0"/>
                <w:i w:val="0"/>
                <w:sz w:val="15"/>
              </w:rPr>
              <w:t>Sie können erklären, was geprüft werden muss.</w:t>
            </w:r>
          </w:p>
        </w:tc>
      </w:tr>
      <w:tr>
        <w:tc>
          <w:tcPr>
            <w:tcW w:type="dxa" w:w="1701"/>
            <w:tcMar>
              <w:top w:w="95" w:type="dxa"/>
              <w:start w:w="115" w:type="dxa"/>
              <w:bottom w:w="95" w:type="dxa"/>
              <w:end w:w="115" w:type="dxa"/>
            </w:tcMar>
            <w:vAlign w:val="center"/>
            <w:shd w:fill="EAF2F8"/>
          </w:tcPr>
          <w:p>
            <w:pPr>
              <w:jc w:val="center"/>
            </w:pPr>
            <w:r>
              <w:rPr>
                <w:rFonts w:ascii="Aptos" w:hAnsi="Aptos"/>
                <w:b w:val="0"/>
                <w:i w:val="0"/>
                <w:sz w:val="15"/>
              </w:rPr>
              <w:t>Dienstag</w:t>
            </w:r>
          </w:p>
        </w:tc>
        <w:tc>
          <w:tcPr>
            <w:tcW w:type="dxa" w:w="4025"/>
            <w:tcMar>
              <w:top w:w="95" w:type="dxa"/>
              <w:start w:w="115" w:type="dxa"/>
              <w:bottom w:w="95" w:type="dxa"/>
              <w:end w:w="115" w:type="dxa"/>
            </w:tcMar>
            <w:vAlign w:val="center"/>
            <w:shd w:fill="EAF2F8"/>
          </w:tcPr>
          <w:p>
            <w:pPr>
              <w:jc w:val="left"/>
            </w:pPr>
            <w:r>
              <w:rPr>
                <w:rFonts w:ascii="Aptos" w:hAnsi="Aptos"/>
                <w:b w:val="0"/>
                <w:i w:val="0"/>
                <w:sz w:val="15"/>
              </w:rPr>
              <w:t>Werte, Datenaufbereitung, Quellen und Methoden prüfen</w:t>
            </w:r>
          </w:p>
        </w:tc>
        <w:tc>
          <w:tcPr>
            <w:tcW w:type="dxa" w:w="3912"/>
            <w:tcMar>
              <w:top w:w="95" w:type="dxa"/>
              <w:start w:w="115" w:type="dxa"/>
              <w:bottom w:w="95" w:type="dxa"/>
              <w:end w:w="115" w:type="dxa"/>
            </w:tcMar>
            <w:vAlign w:val="center"/>
            <w:shd w:fill="EAF2F8"/>
          </w:tcPr>
          <w:p>
            <w:pPr>
              <w:jc w:val="left"/>
            </w:pPr>
            <w:r>
              <w:rPr>
                <w:rFonts w:ascii="Aptos" w:hAnsi="Aptos"/>
                <w:b w:val="0"/>
                <w:i w:val="0"/>
                <w:sz w:val="15"/>
              </w:rPr>
              <w:t>Sie können den Weg von der Quelle zur Kurve erklären.</w:t>
            </w:r>
          </w:p>
        </w:tc>
      </w:tr>
      <w:tr>
        <w:tc>
          <w:tcPr>
            <w:tcW w:type="dxa" w:w="1701"/>
            <w:tcMar>
              <w:top w:w="95" w:type="dxa"/>
              <w:start w:w="115" w:type="dxa"/>
              <w:bottom w:w="95" w:type="dxa"/>
              <w:end w:w="115" w:type="dxa"/>
            </w:tcMar>
            <w:vAlign w:val="center"/>
          </w:tcPr>
          <w:p>
            <w:pPr>
              <w:jc w:val="center"/>
            </w:pPr>
            <w:r>
              <w:rPr>
                <w:rFonts w:ascii="Aptos" w:hAnsi="Aptos"/>
                <w:b w:val="0"/>
                <w:i w:val="0"/>
                <w:sz w:val="15"/>
              </w:rPr>
              <w:t>Mittwoch</w:t>
            </w:r>
          </w:p>
        </w:tc>
        <w:tc>
          <w:tcPr>
            <w:tcW w:type="dxa" w:w="4025"/>
            <w:tcMar>
              <w:top w:w="95" w:type="dxa"/>
              <w:start w:w="115" w:type="dxa"/>
              <w:bottom w:w="95" w:type="dxa"/>
              <w:end w:w="115" w:type="dxa"/>
            </w:tcMar>
            <w:vAlign w:val="center"/>
          </w:tcPr>
          <w:p>
            <w:pPr>
              <w:jc w:val="left"/>
            </w:pPr>
            <w:r>
              <w:rPr>
                <w:rFonts w:ascii="Aptos" w:hAnsi="Aptos"/>
                <w:b w:val="0"/>
                <w:i w:val="0"/>
                <w:sz w:val="15"/>
              </w:rPr>
              <w:t>Verlauf deuten, Baubezug und Wechselwirkungen erarbeiten</w:t>
            </w:r>
          </w:p>
        </w:tc>
        <w:tc>
          <w:tcPr>
            <w:tcW w:type="dxa" w:w="3912"/>
            <w:tcMar>
              <w:top w:w="95" w:type="dxa"/>
              <w:start w:w="115" w:type="dxa"/>
              <w:bottom w:w="95" w:type="dxa"/>
              <w:end w:w="115" w:type="dxa"/>
            </w:tcMar>
            <w:vAlign w:val="center"/>
          </w:tcPr>
          <w:p>
            <w:pPr>
              <w:jc w:val="left"/>
            </w:pPr>
            <w:r>
              <w:rPr>
                <w:rFonts w:ascii="Aptos" w:hAnsi="Aptos"/>
                <w:b w:val="0"/>
                <w:i w:val="0"/>
                <w:sz w:val="15"/>
              </w:rPr>
              <w:t>Der Bericht ist inhaltlich weitgehend vollständig.</w:t>
            </w:r>
          </w:p>
        </w:tc>
      </w:tr>
      <w:tr>
        <w:tc>
          <w:tcPr>
            <w:tcW w:type="dxa" w:w="1701"/>
            <w:tcMar>
              <w:top w:w="95" w:type="dxa"/>
              <w:start w:w="115" w:type="dxa"/>
              <w:bottom w:w="95" w:type="dxa"/>
              <w:end w:w="115" w:type="dxa"/>
            </w:tcMar>
            <w:vAlign w:val="center"/>
            <w:shd w:fill="EAF2F8"/>
          </w:tcPr>
          <w:p>
            <w:pPr>
              <w:jc w:val="center"/>
            </w:pPr>
            <w:r>
              <w:rPr>
                <w:rFonts w:ascii="Aptos" w:hAnsi="Aptos"/>
                <w:b w:val="0"/>
                <w:i w:val="0"/>
                <w:sz w:val="15"/>
              </w:rPr>
              <w:t>Donnerstag</w:t>
            </w:r>
          </w:p>
        </w:tc>
        <w:tc>
          <w:tcPr>
            <w:tcW w:type="dxa" w:w="4025"/>
            <w:tcMar>
              <w:top w:w="95" w:type="dxa"/>
              <w:start w:w="115" w:type="dxa"/>
              <w:bottom w:w="95" w:type="dxa"/>
              <w:end w:w="115" w:type="dxa"/>
            </w:tcMar>
            <w:vAlign w:val="center"/>
            <w:shd w:fill="EAF2F8"/>
          </w:tcPr>
          <w:p>
            <w:pPr>
              <w:jc w:val="left"/>
            </w:pPr>
            <w:r>
              <w:rPr>
                <w:rFonts w:ascii="Aptos" w:hAnsi="Aptos"/>
                <w:b w:val="0"/>
                <w:i w:val="0"/>
                <w:sz w:val="15"/>
              </w:rPr>
              <w:t>Kreuzcheck, interne Präsentation, Kurve auf das analoge Chart übertragen</w:t>
            </w:r>
          </w:p>
        </w:tc>
        <w:tc>
          <w:tcPr>
            <w:tcW w:type="dxa" w:w="3912"/>
            <w:tcMar>
              <w:top w:w="95" w:type="dxa"/>
              <w:start w:w="115" w:type="dxa"/>
              <w:bottom w:w="95" w:type="dxa"/>
              <w:end w:w="115" w:type="dxa"/>
            </w:tcMar>
            <w:vAlign w:val="center"/>
            <w:shd w:fill="EAF2F8"/>
          </w:tcPr>
          <w:p>
            <w:pPr>
              <w:jc w:val="left"/>
            </w:pPr>
            <w:r>
              <w:rPr>
                <w:rFonts w:ascii="Aptos" w:hAnsi="Aptos"/>
                <w:b w:val="0"/>
                <w:i w:val="0"/>
                <w:sz w:val="15"/>
              </w:rPr>
              <w:t>Die überarbeitete Fassung ist eingereicht.</w:t>
            </w:r>
          </w:p>
        </w:tc>
      </w:tr>
      <w:tr>
        <w:tc>
          <w:tcPr>
            <w:tcW w:type="dxa" w:w="1701"/>
            <w:tcMar>
              <w:top w:w="95" w:type="dxa"/>
              <w:start w:w="115" w:type="dxa"/>
              <w:bottom w:w="95" w:type="dxa"/>
              <w:end w:w="115" w:type="dxa"/>
            </w:tcMar>
            <w:vAlign w:val="center"/>
          </w:tcPr>
          <w:p>
            <w:pPr>
              <w:jc w:val="center"/>
            </w:pPr>
            <w:r>
              <w:rPr>
                <w:rFonts w:ascii="Aptos" w:hAnsi="Aptos"/>
                <w:b w:val="0"/>
                <w:i w:val="0"/>
                <w:sz w:val="15"/>
              </w:rPr>
              <w:t>Freitag</w:t>
            </w:r>
          </w:p>
        </w:tc>
        <w:tc>
          <w:tcPr>
            <w:tcW w:type="dxa" w:w="4025"/>
            <w:tcMar>
              <w:top w:w="95" w:type="dxa"/>
              <w:start w:w="115" w:type="dxa"/>
              <w:bottom w:w="95" w:type="dxa"/>
              <w:end w:w="115" w:type="dxa"/>
            </w:tcMar>
            <w:vAlign w:val="center"/>
          </w:tcPr>
          <w:p>
            <w:pPr>
              <w:jc w:val="left"/>
            </w:pPr>
            <w:r>
              <w:rPr>
                <w:rFonts w:ascii="Aptos" w:hAnsi="Aptos"/>
                <w:b w:val="0"/>
                <w:i w:val="0"/>
                <w:sz w:val="15"/>
              </w:rPr>
              <w:t>Gemeinsamer 30-Minuten-Beitrag</w:t>
            </w:r>
          </w:p>
        </w:tc>
        <w:tc>
          <w:tcPr>
            <w:tcW w:type="dxa" w:w="3912"/>
            <w:tcMar>
              <w:top w:w="95" w:type="dxa"/>
              <w:start w:w="115" w:type="dxa"/>
              <w:bottom w:w="95" w:type="dxa"/>
              <w:end w:w="115" w:type="dxa"/>
            </w:tcMar>
            <w:vAlign w:val="center"/>
          </w:tcPr>
          <w:p>
            <w:pPr>
              <w:jc w:val="left"/>
            </w:pPr>
            <w:r>
              <w:rPr>
                <w:rFonts w:ascii="Aptos" w:hAnsi="Aptos"/>
                <w:b w:val="0"/>
                <w:i w:val="0"/>
                <w:sz w:val="15"/>
              </w:rPr>
              <w:t>Jede Gruppe vermittelt ihren wichtigsten Befund.</w:t>
            </w:r>
          </w:p>
        </w:tc>
      </w:tr>
    </w:tbl>
    <w:p>
      <w:pPr>
        <w:spacing w:after="0"/>
      </w:pPr>
    </w:p>
    <w:p>
      <w:pPr>
        <w:pStyle w:val="Heading1"/>
        <w:keepNext/>
      </w:pPr>
      <w:r>
        <w:t>Wenn Sie früher fertig sind</w:t>
      </w:r>
    </w:p>
    <w:p>
      <w:r>
        <w:rPr>
          <w:rFonts w:ascii="Aptos" w:hAnsi="Aptos"/>
          <w:b w:val="0"/>
          <w:i w:val="0"/>
        </w:rPr>
        <w:t>Bearbeiten Sie zuerst alle Pflichtfelder. Danach können Sie zusätzliche Werte kontrollieren, weitere Vergleichsquellen oder Kurvenverbindungen untersuchen, das Baubeispiel vertiefen oder nach Rücksprache eine weitere Kurve übernehmen.</w:t>
      </w:r>
    </w:p>
    <w:p>
      <w:r>
        <w:br w:type="page"/>
      </w:r>
    </w:p>
    <w:p>
      <w:pPr>
        <w:pStyle w:val="Heading1"/>
        <w:keepNext/>
      </w:pPr>
      <w:r>
        <w:t>KI Werkzeuge</w:t>
      </w:r>
    </w:p>
    <w:p>
      <w:r>
        <w:rPr>
          <w:rFonts w:ascii="Aptos" w:hAnsi="Aptos"/>
          <w:b w:val="0"/>
          <w:i w:val="0"/>
        </w:rPr>
        <w:t>Sie dürfen KI-Werkzeuge unterstützend verwenden, beispielsweise zum Erklären von Begriffen, Strukturieren von Notizen oder sprachlichen Überarbeiten. KI-Ausgaben sind keine wissenschaftlichen Quellen.</w:t>
      </w:r>
    </w:p>
    <w:p>
      <w:pPr>
        <w:pStyle w:val="ListBullet"/>
      </w:pPr>
      <w:r>
        <w:rPr>
          <w:rFonts w:ascii="Aptos" w:hAnsi="Aptos"/>
          <w:b w:val="0"/>
          <w:i w:val="0"/>
        </w:rPr>
        <w:t>Prüfen Sie Zahlen, Literaturangaben und fachliche Aussagen anhand zugänglicher Quellen.</w:t>
      </w:r>
    </w:p>
    <w:p>
      <w:pPr>
        <w:pStyle w:val="ListBullet"/>
      </w:pPr>
      <w:r>
        <w:rPr>
          <w:rFonts w:ascii="Aptos" w:hAnsi="Aptos"/>
          <w:b w:val="0"/>
          <w:i w:val="0"/>
        </w:rPr>
        <w:t>Dokumentieren Sie kurz, welches Werkzeug Sie wofür verwendet und wie Sie das Ergebnis kontrolliert haben.</w:t>
      </w:r>
    </w:p>
    <w:p>
      <w:pPr>
        <w:pStyle w:val="ListBullet"/>
      </w:pPr>
      <w:r>
        <w:rPr>
          <w:rFonts w:ascii="Aptos" w:hAnsi="Aptos"/>
          <w:b w:val="0"/>
          <w:i w:val="0"/>
        </w:rPr>
        <w:t>Alle Gruppenmitglieder müssen die abgegebenen Aussagen selbst erklären können.</w:t>
      </w:r>
    </w:p>
    <w:p>
      <w:pPr>
        <w:pStyle w:val="Heading1"/>
        <w:keepNext/>
      </w:pPr>
      <w:r>
        <w:t>Zusammenarbeit</w:t>
      </w:r>
    </w:p>
    <w:p>
      <w:r>
        <w:rPr>
          <w:rFonts w:ascii="Aptos" w:hAnsi="Aptos"/>
          <w:b w:val="0"/>
          <w:i w:val="0"/>
        </w:rPr>
        <w:t>Verteilen Sie die Arbeit innerhalb der Gruppe, besprechen Sie aber das Gesamturteil gemeinsam. Benennen Sie möglichst eine Ansprechperson für organisatorische Rückfragen. Offene Fragen sammeln Sie zunächst im vorgesehenen Feld der Arbeitsvorlage.</w:t>
      </w:r>
    </w:p>
    <w:p>
      <w:pPr>
        <w:pStyle w:val="Heading1"/>
        <w:keepNext/>
      </w:pPr>
      <w:r>
        <w:t>Präsentationen</w:t>
      </w:r>
    </w:p>
    <w:p>
      <w:r>
        <w:rPr>
          <w:rFonts w:ascii="Aptos" w:hAnsi="Aptos"/>
          <w:b w:val="0"/>
          <w:i w:val="0"/>
        </w:rPr>
        <w:t>Für die interne Präsentation am Donnerstag erklären Sie Kurve, Prüfung, wichtigsten Methodenwechsel, Aussagegrenzen, Baubezug und eine Verbindung zu einer anderen Kurve. Am Freitag stellen Sie im gemeinsamen 30-Minuten-Beitrag nur den wichtigsten Befund Ihrer Gruppe vor.</w:t>
      </w:r>
    </w:p>
    <w:p>
      <w:pPr>
        <w:pStyle w:val="Heading1"/>
        <w:keepNext/>
      </w:pPr>
      <w:r>
        <w:t>Freiwillige Namensnennung</w:t>
      </w:r>
    </w:p>
    <w:p>
      <w:r>
        <w:rPr>
          <w:rFonts w:ascii="Aptos" w:hAnsi="Aptos"/>
          <w:b w:val="0"/>
          <w:i w:val="0"/>
        </w:rPr>
        <w:t>Die Angabe persönlicher Namen ist freiwillig. Der Prüfbericht kann später öffentlich zugänglich gemacht werden. Aus einer fehlenden Namensnennung entstehen keine Nachteile. Ohne freiwillige Namensnennung wird nur die Gruppenkennung verwendet. Tragen Sie keine Namen anderer Personen ohne deren Zustimmung ein.</w:t>
      </w:r>
    </w:p>
    <w:p>
      <w:pPr>
        <w:pStyle w:val="Heading1"/>
        <w:keepNext/>
      </w:pPr>
      <w:r>
        <w:t>Vor der Abgabe</w:t>
      </w:r>
    </w:p>
    <w:p>
      <w:pPr>
        <w:pStyle w:val="ListBullet"/>
      </w:pPr>
      <w:r>
        <w:rPr>
          <w:rFonts w:ascii="Aptos" w:hAnsi="Aptos"/>
          <w:b w:val="0"/>
          <w:i w:val="0"/>
        </w:rPr>
        <w:t>Sind alle Pflichtfelder bearbeitet oder begründet als nicht prüfbar markiert?</w:t>
      </w:r>
    </w:p>
    <w:p>
      <w:pPr>
        <w:pStyle w:val="ListBullet"/>
      </w:pPr>
      <w:r>
        <w:rPr>
          <w:rFonts w:ascii="Aptos" w:hAnsi="Aptos"/>
          <w:b w:val="0"/>
          <w:i w:val="0"/>
        </w:rPr>
        <w:t>Sind alle Zahlen und Aussagen mit nachvollziehbaren Quellen belegt?</w:t>
      </w:r>
    </w:p>
    <w:p>
      <w:pPr>
        <w:pStyle w:val="ListBullet"/>
      </w:pPr>
      <w:r>
        <w:rPr>
          <w:rFonts w:ascii="Aptos" w:hAnsi="Aptos"/>
          <w:b w:val="0"/>
          <w:i w:val="0"/>
        </w:rPr>
        <w:t>Werden die drei Segmente und ihre Methoden klar unterschieden?</w:t>
      </w:r>
    </w:p>
    <w:p>
      <w:pPr>
        <w:pStyle w:val="ListBullet"/>
      </w:pPr>
      <w:r>
        <w:rPr>
          <w:rFonts w:ascii="Aptos" w:hAnsi="Aptos"/>
          <w:b w:val="0"/>
          <w:i w:val="0"/>
        </w:rPr>
        <w:t>Sind globale Aussage und lokaler Baubezug sauber getrennt?</w:t>
      </w:r>
    </w:p>
    <w:p>
      <w:pPr>
        <w:pStyle w:val="ListBullet"/>
      </w:pPr>
      <w:r>
        <w:rPr>
          <w:rFonts w:ascii="Aptos" w:hAnsi="Aptos"/>
          <w:b w:val="0"/>
          <w:i w:val="0"/>
        </w:rPr>
        <w:t>Kann jedes Gruppenmitglied die zentrale Aussage und die wichtigste Einschränkung erklären?</w:t>
      </w:r>
    </w:p>
    <w:sectPr w:rsidR="00FC693F" w:rsidRPr="0006063C" w:rsidSect="00034616">
      <w:footerReference w:type="default" r:id="rId9"/>
      <w:pgSz w:w="12240" w:h="15840"/>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KoWo 2026/27 · Aufgabenbeschreibung · Version 0.2     Seite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