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ZUSTAND Prüfentwurf</w:t>
      </w:r>
    </w:p>
    <w:p>
      <w:r>
        <w:rPr>
          <w:rFonts w:ascii="Aptos" w:hAnsi="Aptos"/>
          <w:b/>
          <w:i w:val="0"/>
          <w:sz w:val="28"/>
        </w:rPr>
        <w:t>Globale Temperaturänderung 1700 bis 2100</w:t>
      </w:r>
    </w:p>
    <w:p>
      <w:r>
        <w:rPr>
          <w:rFonts w:ascii="Aptos" w:hAnsi="Aptos"/>
          <w:b w:val="0"/>
          <w:i w:val="0"/>
        </w:rPr>
        <w:t>Probelauf zur Entwicklung einer einheitlichen Prüfvorlage für die Kompaktwoche 2026/27. Die Einträge zeigen, wie knapp eine Gruppe begründen soll. Sie ersetzen nicht die eigenständige Prüfung.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85"/>
        <w:gridCol w:w="5185"/>
      </w:tblGrid>
      <w:tr>
        <w:trPr>
          <w:tblHeader w:val="true"/>
        </w:trPr>
        <w:tc>
          <w:tcPr>
            <w:tcW w:type="dxa" w:w="2268"/>
            <w:shd w:fill="17365D"/>
            <w:tcMar>
              <w:top w:w="90" w:type="dxa"/>
              <w:start w:w="110" w:type="dxa"/>
              <w:bottom w:w="90" w:type="dxa"/>
              <w:end w:w="110" w:type="dxa"/>
            </w:tcMar>
            <w:vAlign w:val="center"/>
          </w:tcPr>
          <w:p>
            <w:pPr>
              <w:jc w:val="center"/>
            </w:pPr>
            <w:r>
              <w:rPr>
                <w:rFonts w:ascii="Aptos" w:hAnsi="Aptos"/>
                <w:b/>
                <w:i w:val="0"/>
                <w:color w:val="FFFFFF"/>
                <w:sz w:val="17"/>
              </w:rPr>
              <w:t>Merkmal</w:t>
            </w:r>
          </w:p>
        </w:tc>
        <w:tc>
          <w:tcPr>
            <w:tcW w:type="dxa" w:w="7483"/>
            <w:shd w:fill="17365D"/>
            <w:tcMar>
              <w:top w:w="90" w:type="dxa"/>
              <w:start w:w="110" w:type="dxa"/>
              <w:bottom w:w="90" w:type="dxa"/>
              <w:end w:w="110" w:type="dxa"/>
            </w:tcMar>
            <w:vAlign w:val="center"/>
          </w:tcPr>
          <w:p>
            <w:pPr>
              <w:jc w:val="center"/>
            </w:pPr>
            <w:r>
              <w:rPr>
                <w:rFonts w:ascii="Aptos" w:hAnsi="Aptos"/>
                <w:b/>
                <w:i w:val="0"/>
                <w:color w:val="FFFFFF"/>
                <w:sz w:val="17"/>
              </w:rPr>
              <w:t>Eintrag</w:t>
            </w:r>
          </w:p>
        </w:tc>
      </w:tr>
      <w:tr>
        <w:tc>
          <w:tcPr>
            <w:tcW w:type="dxa" w:w="2268"/>
            <w:tcMar>
              <w:top w:w="90" w:type="dxa"/>
              <w:start w:w="110" w:type="dxa"/>
              <w:bottom w:w="90" w:type="dxa"/>
              <w:end w:w="110" w:type="dxa"/>
            </w:tcMar>
            <w:vAlign w:val="center"/>
          </w:tcPr>
          <w:p>
            <w:pPr>
              <w:jc w:val="left"/>
            </w:pPr>
            <w:r>
              <w:rPr>
                <w:rFonts w:ascii="Aptos" w:hAnsi="Aptos"/>
                <w:b w:val="0"/>
                <w:i w:val="0"/>
                <w:sz w:val="17"/>
              </w:rPr>
              <w:t>Kurve</w:t>
            </w:r>
          </w:p>
        </w:tc>
        <w:tc>
          <w:tcPr>
            <w:tcW w:type="dxa" w:w="7483"/>
            <w:tcMar>
              <w:top w:w="90" w:type="dxa"/>
              <w:start w:w="110" w:type="dxa"/>
              <w:bottom w:w="90" w:type="dxa"/>
              <w:end w:w="110" w:type="dxa"/>
            </w:tcMar>
            <w:vAlign w:val="center"/>
          </w:tcPr>
          <w:p>
            <w:pPr>
              <w:jc w:val="left"/>
            </w:pPr>
            <w:r>
              <w:rPr>
                <w:rFonts w:ascii="Aptos" w:hAnsi="Aptos"/>
                <w:b w:val="0"/>
                <w:i w:val="0"/>
                <w:sz w:val="17"/>
              </w:rPr>
              <w:t>PAGES2k Rekonstruktion · HadCRUT5 Beobachtung · IPCC AR6 Projektionen</w:t>
            </w:r>
          </w:p>
        </w:tc>
      </w:tr>
      <w:tr>
        <w:tc>
          <w:tcPr>
            <w:tcW w:type="dxa" w:w="2268"/>
            <w:tcMar>
              <w:top w:w="90" w:type="dxa"/>
              <w:start w:w="110" w:type="dxa"/>
              <w:bottom w:w="90" w:type="dxa"/>
              <w:end w:w="110" w:type="dxa"/>
            </w:tcMar>
            <w:vAlign w:val="center"/>
            <w:shd w:fill="EAF2F8"/>
          </w:tcPr>
          <w:p>
            <w:pPr>
              <w:jc w:val="left"/>
            </w:pPr>
            <w:r>
              <w:rPr>
                <w:rFonts w:ascii="Aptos" w:hAnsi="Aptos"/>
                <w:b w:val="0"/>
                <w:i w:val="0"/>
                <w:sz w:val="17"/>
              </w:rPr>
              <w:t>Größe</w:t>
            </w:r>
          </w:p>
        </w:tc>
        <w:tc>
          <w:tcPr>
            <w:tcW w:type="dxa" w:w="7483"/>
            <w:tcMar>
              <w:top w:w="90" w:type="dxa"/>
              <w:start w:w="110" w:type="dxa"/>
              <w:bottom w:w="90" w:type="dxa"/>
              <w:end w:w="110" w:type="dxa"/>
            </w:tcMar>
            <w:vAlign w:val="center"/>
            <w:shd w:fill="EAF2F8"/>
          </w:tcPr>
          <w:p>
            <w:pPr>
              <w:jc w:val="left"/>
            </w:pPr>
            <w:r>
              <w:rPr>
                <w:rFonts w:ascii="Aptos" w:hAnsi="Aptos"/>
                <w:b w:val="0"/>
                <w:i w:val="0"/>
                <w:sz w:val="17"/>
              </w:rPr>
              <w:t>Änderung der globalen bodennahen Oberflächentemperatur gegenüber 1850–1900</w:t>
            </w:r>
          </w:p>
        </w:tc>
      </w:tr>
      <w:tr>
        <w:tc>
          <w:tcPr>
            <w:tcW w:type="dxa" w:w="2268"/>
            <w:tcMar>
              <w:top w:w="90" w:type="dxa"/>
              <w:start w:w="110" w:type="dxa"/>
              <w:bottom w:w="90" w:type="dxa"/>
              <w:end w:w="110" w:type="dxa"/>
            </w:tcMar>
            <w:vAlign w:val="center"/>
          </w:tcPr>
          <w:p>
            <w:pPr>
              <w:jc w:val="left"/>
            </w:pPr>
            <w:r>
              <w:rPr>
                <w:rFonts w:ascii="Aptos" w:hAnsi="Aptos"/>
                <w:b w:val="0"/>
                <w:i w:val="0"/>
                <w:sz w:val="17"/>
              </w:rPr>
              <w:t>Zeitraum</w:t>
            </w:r>
          </w:p>
        </w:tc>
        <w:tc>
          <w:tcPr>
            <w:tcW w:type="dxa" w:w="7483"/>
            <w:tcMar>
              <w:top w:w="90" w:type="dxa"/>
              <w:start w:w="110" w:type="dxa"/>
              <w:bottom w:w="90" w:type="dxa"/>
              <w:end w:w="110" w:type="dxa"/>
            </w:tcMar>
            <w:vAlign w:val="center"/>
          </w:tcPr>
          <w:p>
            <w:pPr>
              <w:jc w:val="left"/>
            </w:pPr>
            <w:r>
              <w:rPr>
                <w:rFonts w:ascii="Aptos" w:hAnsi="Aptos"/>
                <w:b w:val="0"/>
                <w:i w:val="0"/>
                <w:sz w:val="17"/>
              </w:rPr>
              <w:t>1700–1849 · 1850–2025 · 2021–2100</w:t>
            </w:r>
          </w:p>
        </w:tc>
      </w:tr>
      <w:tr>
        <w:tc>
          <w:tcPr>
            <w:tcW w:type="dxa" w:w="2268"/>
            <w:tcMar>
              <w:top w:w="90" w:type="dxa"/>
              <w:start w:w="110" w:type="dxa"/>
              <w:bottom w:w="90" w:type="dxa"/>
              <w:end w:w="110" w:type="dxa"/>
            </w:tcMar>
            <w:vAlign w:val="center"/>
            <w:shd w:fill="EAF2F8"/>
          </w:tcPr>
          <w:p>
            <w:pPr>
              <w:jc w:val="left"/>
            </w:pPr>
            <w:r>
              <w:rPr>
                <w:rFonts w:ascii="Aptos" w:hAnsi="Aptos"/>
                <w:b w:val="0"/>
                <w:i w:val="0"/>
                <w:sz w:val="17"/>
              </w:rPr>
              <w:t>Gruppe</w:t>
            </w:r>
          </w:p>
        </w:tc>
        <w:tc>
          <w:tcPr>
            <w:tcW w:type="dxa" w:w="7483"/>
            <w:tcMar>
              <w:top w:w="90" w:type="dxa"/>
              <w:start w:w="110" w:type="dxa"/>
              <w:bottom w:w="90" w:type="dxa"/>
              <w:end w:w="110" w:type="dxa"/>
            </w:tcMar>
            <w:vAlign w:val="center"/>
            <w:shd w:fill="EAF2F8"/>
          </w:tcPr>
          <w:p>
            <w:pPr>
              <w:jc w:val="left"/>
            </w:pPr>
            <w:r>
              <w:rPr>
                <w:rFonts w:ascii="Aptos" w:hAnsi="Aptos"/>
                <w:b w:val="0"/>
                <w:i w:val="0"/>
                <w:sz w:val="17"/>
              </w:rPr>
              <w:t>Probelauf · im Einsatz durch Gruppenkennung ersetzen</w:t>
            </w:r>
          </w:p>
        </w:tc>
      </w:tr>
      <w:tr>
        <w:tc>
          <w:tcPr>
            <w:tcW w:type="dxa" w:w="2268"/>
            <w:tcMar>
              <w:top w:w="90" w:type="dxa"/>
              <w:start w:w="110" w:type="dxa"/>
              <w:bottom w:w="90" w:type="dxa"/>
              <w:end w:w="110" w:type="dxa"/>
            </w:tcMar>
            <w:vAlign w:val="center"/>
          </w:tcPr>
          <w:p>
            <w:pPr>
              <w:jc w:val="left"/>
            </w:pPr>
            <w:r>
              <w:rPr>
                <w:rFonts w:ascii="Aptos" w:hAnsi="Aptos"/>
                <w:b w:val="0"/>
                <w:i w:val="0"/>
                <w:sz w:val="17"/>
              </w:rPr>
              <w:t>Namen</w:t>
            </w:r>
          </w:p>
        </w:tc>
        <w:tc>
          <w:tcPr>
            <w:tcW w:type="dxa" w:w="7483"/>
            <w:tcMar>
              <w:top w:w="90" w:type="dxa"/>
              <w:start w:w="110" w:type="dxa"/>
              <w:bottom w:w="90" w:type="dxa"/>
              <w:end w:w="110" w:type="dxa"/>
            </w:tcMar>
            <w:vAlign w:val="center"/>
          </w:tcPr>
          <w:p>
            <w:pPr>
              <w:jc w:val="left"/>
            </w:pPr>
            <w:r>
              <w:rPr>
                <w:rFonts w:ascii="Aptos" w:hAnsi="Aptos"/>
                <w:b w:val="0"/>
                <w:i w:val="0"/>
                <w:sz w:val="17"/>
              </w:rPr>
              <w:t>freiwillig; Veröffentlichung nur nach gesonderter Bestätigung</w:t>
            </w:r>
          </w:p>
        </w:tc>
      </w:tr>
      <w:tr>
        <w:tc>
          <w:tcPr>
            <w:tcW w:type="dxa" w:w="2268"/>
            <w:tcMar>
              <w:top w:w="90" w:type="dxa"/>
              <w:start w:w="110" w:type="dxa"/>
              <w:bottom w:w="90" w:type="dxa"/>
              <w:end w:w="110" w:type="dxa"/>
            </w:tcMar>
            <w:vAlign w:val="center"/>
            <w:shd w:fill="EAF2F8"/>
          </w:tcPr>
          <w:p>
            <w:pPr>
              <w:jc w:val="left"/>
            </w:pPr>
            <w:r>
              <w:rPr>
                <w:rFonts w:ascii="Aptos" w:hAnsi="Aptos"/>
                <w:b w:val="0"/>
                <w:i w:val="0"/>
                <w:sz w:val="17"/>
              </w:rPr>
              <w:t>Vorlage</w:t>
            </w:r>
          </w:p>
        </w:tc>
        <w:tc>
          <w:tcPr>
            <w:tcW w:type="dxa" w:w="7483"/>
            <w:tcMar>
              <w:top w:w="90" w:type="dxa"/>
              <w:start w:w="110" w:type="dxa"/>
              <w:bottom w:w="90" w:type="dxa"/>
              <w:end w:w="110" w:type="dxa"/>
            </w:tcMar>
            <w:vAlign w:val="center"/>
            <w:shd w:fill="EAF2F8"/>
          </w:tcPr>
          <w:p>
            <w:pPr>
              <w:jc w:val="left"/>
            </w:pPr>
            <w:r>
              <w:rPr>
                <w:rFonts w:ascii="Aptos" w:hAnsi="Aptos"/>
                <w:b w:val="0"/>
                <w:i w:val="0"/>
                <w:sz w:val="17"/>
              </w:rPr>
              <w:t>Version 0.1 · 28.09.2026</w:t>
            </w:r>
          </w:p>
        </w:tc>
      </w:tr>
    </w:tbl>
    <w:p>
      <w:pPr>
        <w:spacing w:after="0"/>
      </w:pPr>
    </w:p>
    <w:p>
      <w:pPr>
        <w:pStyle w:val="Heading1"/>
        <w:keepNext/>
      </w:pPr>
      <w:r>
        <w:t>Vorläufiges Gesamturteil</w:t>
      </w:r>
    </w:p>
    <w:p>
      <w:r>
        <w:rPr>
          <w:rFonts w:ascii="Aptos" w:hAnsi="Aptos"/>
          <w:b w:val="0"/>
          <w:i w:val="0"/>
        </w:rPr>
        <w:t>Geprüft mit dokumentierten Einschränkungen. Die Herkunft und die Umrechnung der drei Segmente sind nachvollziehbar. Für HadCRUT5 ist seit September 2026 eine neuere Datensatzversion verfügbar; vor einer endgültigen Freigabe ist zu prüfen, ob BLC26 aktualisiert werden soll.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57"/>
        <w:gridCol w:w="3457"/>
        <w:gridCol w:w="3457"/>
      </w:tblGrid>
      <w:tr>
        <w:trPr>
          <w:tblHeader w:val="true"/>
        </w:trPr>
        <w:tc>
          <w:tcPr>
            <w:tcW w:type="dxa" w:w="2381"/>
            <w:shd w:fill="17365D"/>
            <w:tcMar>
              <w:top w:w="90" w:type="dxa"/>
              <w:start w:w="110" w:type="dxa"/>
              <w:bottom w:w="90" w:type="dxa"/>
              <w:end w:w="110" w:type="dxa"/>
            </w:tcMar>
            <w:vAlign w:val="center"/>
          </w:tcPr>
          <w:p>
            <w:pPr>
              <w:jc w:val="center"/>
            </w:pPr>
            <w:r>
              <w:rPr>
                <w:rFonts w:ascii="Aptos" w:hAnsi="Aptos"/>
                <w:b/>
                <w:i w:val="0"/>
                <w:color w:val="FFFFFF"/>
                <w:sz w:val="16"/>
              </w:rPr>
              <w:t>Prüfbereich</w:t>
            </w:r>
          </w:p>
        </w:tc>
        <w:tc>
          <w:tcPr>
            <w:tcW w:type="dxa" w:w="1134"/>
            <w:shd w:fill="17365D"/>
            <w:tcMar>
              <w:top w:w="90" w:type="dxa"/>
              <w:start w:w="110" w:type="dxa"/>
              <w:bottom w:w="90" w:type="dxa"/>
              <w:end w:w="110" w:type="dxa"/>
            </w:tcMar>
            <w:vAlign w:val="center"/>
          </w:tcPr>
          <w:p>
            <w:pPr>
              <w:jc w:val="center"/>
            </w:pPr>
            <w:r>
              <w:rPr>
                <w:rFonts w:ascii="Aptos" w:hAnsi="Aptos"/>
                <w:b/>
                <w:i w:val="0"/>
                <w:color w:val="FFFFFF"/>
                <w:sz w:val="16"/>
              </w:rPr>
              <w:t>Ampel</w:t>
            </w:r>
          </w:p>
        </w:tc>
        <w:tc>
          <w:tcPr>
            <w:tcW w:type="dxa" w:w="6236"/>
            <w:shd w:fill="17365D"/>
            <w:tcMar>
              <w:top w:w="90" w:type="dxa"/>
              <w:start w:w="110" w:type="dxa"/>
              <w:bottom w:w="90" w:type="dxa"/>
              <w:end w:w="110" w:type="dxa"/>
            </w:tcMar>
            <w:vAlign w:val="center"/>
          </w:tcPr>
          <w:p>
            <w:pPr>
              <w:jc w:val="center"/>
            </w:pPr>
            <w:r>
              <w:rPr>
                <w:rFonts w:ascii="Aptos" w:hAnsi="Aptos"/>
                <w:b/>
                <w:i w:val="0"/>
                <w:color w:val="FFFFFF"/>
                <w:sz w:val="16"/>
              </w:rPr>
              <w:t>Kurzbegründung</w:t>
            </w:r>
          </w:p>
        </w:tc>
      </w:tr>
      <w:tr>
        <w:tc>
          <w:tcPr>
            <w:tcW w:type="dxa" w:w="2381"/>
            <w:tcMar>
              <w:top w:w="90" w:type="dxa"/>
              <w:start w:w="110" w:type="dxa"/>
              <w:bottom w:w="90" w:type="dxa"/>
              <w:end w:w="110" w:type="dxa"/>
            </w:tcMar>
            <w:vAlign w:val="center"/>
          </w:tcPr>
          <w:p>
            <w:pPr>
              <w:jc w:val="center"/>
            </w:pPr>
            <w:r>
              <w:rPr>
                <w:rFonts w:ascii="Aptos" w:hAnsi="Aptos"/>
                <w:b w:val="0"/>
                <w:i w:val="0"/>
                <w:sz w:val="16"/>
              </w:rPr>
              <w:t>Datenherkunft</w:t>
            </w:r>
          </w:p>
        </w:tc>
        <w:tc>
          <w:tcPr>
            <w:tcW w:type="dxa" w:w="1134"/>
            <w:tcMar>
              <w:top w:w="90" w:type="dxa"/>
              <w:start w:w="110" w:type="dxa"/>
              <w:bottom w:w="90" w:type="dxa"/>
              <w:end w:w="110" w:type="dxa"/>
            </w:tcMar>
            <w:vAlign w:val="center"/>
          </w:tcPr>
          <w:p>
            <w:pPr>
              <w:jc w:val="left"/>
            </w:pPr>
            <w:r>
              <w:rPr>
                <w:rFonts w:ascii="Aptos" w:hAnsi="Aptos"/>
                <w:b w:val="0"/>
                <w:i w:val="0"/>
                <w:sz w:val="16"/>
              </w:rPr>
              <w:t>Grün</w:t>
            </w:r>
          </w:p>
        </w:tc>
        <w:tc>
          <w:tcPr>
            <w:tcW w:type="dxa" w:w="6236"/>
            <w:tcMar>
              <w:top w:w="90" w:type="dxa"/>
              <w:start w:w="110" w:type="dxa"/>
              <w:bottom w:w="90" w:type="dxa"/>
              <w:end w:w="110" w:type="dxa"/>
            </w:tcMar>
            <w:vAlign w:val="center"/>
          </w:tcPr>
          <w:p>
            <w:pPr>
              <w:jc w:val="left"/>
            </w:pPr>
            <w:r>
              <w:rPr>
                <w:rFonts w:ascii="Aptos" w:hAnsi="Aptos"/>
                <w:b w:val="0"/>
                <w:i w:val="0"/>
                <w:sz w:val="16"/>
              </w:rPr>
              <w:t>Primärdaten und Fundstellen sind benannt.</w:t>
            </w:r>
          </w:p>
        </w:tc>
      </w:tr>
      <w:tr>
        <w:tc>
          <w:tcPr>
            <w:tcW w:type="dxa" w:w="2381"/>
            <w:tcMar>
              <w:top w:w="90" w:type="dxa"/>
              <w:start w:w="110" w:type="dxa"/>
              <w:bottom w:w="90" w:type="dxa"/>
              <w:end w:w="110" w:type="dxa"/>
            </w:tcMar>
            <w:vAlign w:val="center"/>
            <w:shd w:fill="EAF2F8"/>
          </w:tcPr>
          <w:p>
            <w:pPr>
              <w:jc w:val="center"/>
            </w:pPr>
            <w:r>
              <w:rPr>
                <w:rFonts w:ascii="Aptos" w:hAnsi="Aptos"/>
                <w:b w:val="0"/>
                <w:i w:val="0"/>
                <w:sz w:val="16"/>
              </w:rPr>
              <w:t>Übernahme und Aufbereitung</w:t>
            </w:r>
          </w:p>
        </w:tc>
        <w:tc>
          <w:tcPr>
            <w:tcW w:type="dxa" w:w="1134"/>
            <w:tcMar>
              <w:top w:w="90" w:type="dxa"/>
              <w:start w:w="110" w:type="dxa"/>
              <w:bottom w:w="90" w:type="dxa"/>
              <w:end w:w="110" w:type="dxa"/>
            </w:tcMar>
            <w:vAlign w:val="center"/>
            <w:shd w:fill="EAF2F8"/>
          </w:tcPr>
          <w:p>
            <w:pPr>
              <w:jc w:val="left"/>
            </w:pPr>
            <w:r>
              <w:rPr>
                <w:rFonts w:ascii="Aptos" w:hAnsi="Aptos"/>
                <w:b w:val="0"/>
                <w:i w:val="0"/>
                <w:sz w:val="16"/>
              </w:rPr>
              <w:t>Grün</w:t>
            </w:r>
          </w:p>
        </w:tc>
        <w:tc>
          <w:tcPr>
            <w:tcW w:type="dxa" w:w="6236"/>
            <w:tcMar>
              <w:top w:w="90" w:type="dxa"/>
              <w:start w:w="110" w:type="dxa"/>
              <w:bottom w:w="90" w:type="dxa"/>
              <w:end w:w="110" w:type="dxa"/>
            </w:tcMar>
            <w:vAlign w:val="center"/>
            <w:shd w:fill="EAF2F8"/>
          </w:tcPr>
          <w:p>
            <w:pPr>
              <w:jc w:val="left"/>
            </w:pPr>
            <w:r>
              <w:rPr>
                <w:rFonts w:ascii="Aptos" w:hAnsi="Aptos"/>
                <w:b w:val="0"/>
                <w:i w:val="0"/>
                <w:sz w:val="16"/>
              </w:rPr>
              <w:t>Referenzperioden und Auswahlregeln sind dokumentiert; Stichprobe stimmt.</w:t>
            </w:r>
          </w:p>
        </w:tc>
      </w:tr>
      <w:tr>
        <w:tc>
          <w:tcPr>
            <w:tcW w:type="dxa" w:w="2381"/>
            <w:tcMar>
              <w:top w:w="90" w:type="dxa"/>
              <w:start w:w="110" w:type="dxa"/>
              <w:bottom w:w="90" w:type="dxa"/>
              <w:end w:w="110" w:type="dxa"/>
            </w:tcMar>
            <w:vAlign w:val="center"/>
          </w:tcPr>
          <w:p>
            <w:pPr>
              <w:jc w:val="center"/>
            </w:pPr>
            <w:r>
              <w:rPr>
                <w:rFonts w:ascii="Aptos" w:hAnsi="Aptos"/>
                <w:b w:val="0"/>
                <w:i w:val="0"/>
                <w:sz w:val="16"/>
              </w:rPr>
              <w:t>Wissenschaftliche Qualität</w:t>
            </w:r>
          </w:p>
        </w:tc>
        <w:tc>
          <w:tcPr>
            <w:tcW w:type="dxa" w:w="1134"/>
            <w:tcMar>
              <w:top w:w="90" w:type="dxa"/>
              <w:start w:w="110" w:type="dxa"/>
              <w:bottom w:w="90" w:type="dxa"/>
              <w:end w:w="110" w:type="dxa"/>
            </w:tcMar>
            <w:vAlign w:val="center"/>
          </w:tcPr>
          <w:p>
            <w:pPr>
              <w:jc w:val="left"/>
            </w:pPr>
            <w:r>
              <w:rPr>
                <w:rFonts w:ascii="Aptos" w:hAnsi="Aptos"/>
                <w:b w:val="0"/>
                <w:i w:val="0"/>
                <w:sz w:val="16"/>
              </w:rPr>
              <w:t>Grün</w:t>
            </w:r>
          </w:p>
        </w:tc>
        <w:tc>
          <w:tcPr>
            <w:tcW w:type="dxa" w:w="6236"/>
            <w:tcMar>
              <w:top w:w="90" w:type="dxa"/>
              <w:start w:w="110" w:type="dxa"/>
              <w:bottom w:w="90" w:type="dxa"/>
              <w:end w:w="110" w:type="dxa"/>
            </w:tcMar>
            <w:vAlign w:val="center"/>
          </w:tcPr>
          <w:p>
            <w:pPr>
              <w:jc w:val="left"/>
            </w:pPr>
            <w:r>
              <w:rPr>
                <w:rFonts w:ascii="Aptos" w:hAnsi="Aptos"/>
                <w:b w:val="0"/>
                <w:i w:val="0"/>
                <w:sz w:val="16"/>
              </w:rPr>
              <w:t>NOAA, Met Office und IPCC; Methoden und Unsicherheiten publiziert.</w:t>
            </w:r>
          </w:p>
        </w:tc>
      </w:tr>
      <w:tr>
        <w:tc>
          <w:tcPr>
            <w:tcW w:type="dxa" w:w="2381"/>
            <w:tcMar>
              <w:top w:w="90" w:type="dxa"/>
              <w:start w:w="110" w:type="dxa"/>
              <w:bottom w:w="90" w:type="dxa"/>
              <w:end w:w="110" w:type="dxa"/>
            </w:tcMar>
            <w:vAlign w:val="center"/>
            <w:shd w:fill="EAF2F8"/>
          </w:tcPr>
          <w:p>
            <w:pPr>
              <w:jc w:val="center"/>
            </w:pPr>
            <w:r>
              <w:rPr>
                <w:rFonts w:ascii="Aptos" w:hAnsi="Aptos"/>
                <w:b w:val="0"/>
                <w:i w:val="0"/>
                <w:sz w:val="16"/>
              </w:rPr>
              <w:t>Methodenwechsel</w:t>
            </w:r>
          </w:p>
        </w:tc>
        <w:tc>
          <w:tcPr>
            <w:tcW w:type="dxa" w:w="1134"/>
            <w:tcMar>
              <w:top w:w="90" w:type="dxa"/>
              <w:start w:w="110" w:type="dxa"/>
              <w:bottom w:w="90" w:type="dxa"/>
              <w:end w:w="110" w:type="dxa"/>
            </w:tcMar>
            <w:vAlign w:val="center"/>
            <w:shd w:fill="EAF2F8"/>
          </w:tcPr>
          <w:p>
            <w:pPr>
              <w:jc w:val="left"/>
            </w:pPr>
            <w:r>
              <w:rPr>
                <w:rFonts w:ascii="Aptos" w:hAnsi="Aptos"/>
                <w:b w:val="0"/>
                <w:i w:val="0"/>
                <w:sz w:val="16"/>
              </w:rPr>
              <w:t>Gelb</w:t>
            </w:r>
          </w:p>
        </w:tc>
        <w:tc>
          <w:tcPr>
            <w:tcW w:type="dxa" w:w="6236"/>
            <w:tcMar>
              <w:top w:w="90" w:type="dxa"/>
              <w:start w:w="110" w:type="dxa"/>
              <w:bottom w:w="90" w:type="dxa"/>
              <w:end w:w="110" w:type="dxa"/>
            </w:tcMar>
            <w:vAlign w:val="center"/>
            <w:shd w:fill="EAF2F8"/>
          </w:tcPr>
          <w:p>
            <w:pPr>
              <w:jc w:val="left"/>
            </w:pPr>
            <w:r>
              <w:rPr>
                <w:rFonts w:ascii="Aptos" w:hAnsi="Aptos"/>
                <w:b w:val="0"/>
                <w:i w:val="0"/>
                <w:sz w:val="16"/>
              </w:rPr>
              <w:t>Fachlich nachvollziehbar, in der Nutzung aber erklärungsbedürftig.</w:t>
            </w:r>
          </w:p>
        </w:tc>
      </w:tr>
      <w:tr>
        <w:tc>
          <w:tcPr>
            <w:tcW w:type="dxa" w:w="2381"/>
            <w:tcMar>
              <w:top w:w="90" w:type="dxa"/>
              <w:start w:w="110" w:type="dxa"/>
              <w:bottom w:w="90" w:type="dxa"/>
              <w:end w:w="110" w:type="dxa"/>
            </w:tcMar>
            <w:vAlign w:val="center"/>
          </w:tcPr>
          <w:p>
            <w:pPr>
              <w:jc w:val="center"/>
            </w:pPr>
            <w:r>
              <w:rPr>
                <w:rFonts w:ascii="Aptos" w:hAnsi="Aptos"/>
                <w:b w:val="0"/>
                <w:i w:val="0"/>
                <w:sz w:val="16"/>
              </w:rPr>
              <w:t>Aktualität</w:t>
            </w:r>
          </w:p>
        </w:tc>
        <w:tc>
          <w:tcPr>
            <w:tcW w:type="dxa" w:w="1134"/>
            <w:tcMar>
              <w:top w:w="90" w:type="dxa"/>
              <w:start w:w="110" w:type="dxa"/>
              <w:bottom w:w="90" w:type="dxa"/>
              <w:end w:w="110" w:type="dxa"/>
            </w:tcMar>
            <w:vAlign w:val="center"/>
          </w:tcPr>
          <w:p>
            <w:pPr>
              <w:jc w:val="left"/>
            </w:pPr>
            <w:r>
              <w:rPr>
                <w:rFonts w:ascii="Aptos" w:hAnsi="Aptos"/>
                <w:b w:val="0"/>
                <w:i w:val="0"/>
                <w:sz w:val="16"/>
              </w:rPr>
              <w:t>Gelb</w:t>
            </w:r>
          </w:p>
        </w:tc>
        <w:tc>
          <w:tcPr>
            <w:tcW w:type="dxa" w:w="6236"/>
            <w:tcMar>
              <w:top w:w="90" w:type="dxa"/>
              <w:start w:w="110" w:type="dxa"/>
              <w:bottom w:w="90" w:type="dxa"/>
              <w:end w:w="110" w:type="dxa"/>
            </w:tcMar>
            <w:vAlign w:val="center"/>
          </w:tcPr>
          <w:p>
            <w:pPr>
              <w:jc w:val="left"/>
            </w:pPr>
            <w:r>
              <w:rPr>
                <w:rFonts w:ascii="Aptos" w:hAnsi="Aptos"/>
                <w:b w:val="0"/>
                <w:i w:val="0"/>
                <w:sz w:val="16"/>
              </w:rPr>
              <w:t>BLC26 nutzt HadCRUT5 5.1; Met Office führt inzwischen 5.2.</w:t>
            </w:r>
          </w:p>
        </w:tc>
      </w:tr>
      <w:tr>
        <w:tc>
          <w:tcPr>
            <w:tcW w:type="dxa" w:w="2381"/>
            <w:tcMar>
              <w:top w:w="90" w:type="dxa"/>
              <w:start w:w="110" w:type="dxa"/>
              <w:bottom w:w="90" w:type="dxa"/>
              <w:end w:w="110" w:type="dxa"/>
            </w:tcMar>
            <w:vAlign w:val="center"/>
            <w:shd w:fill="EAF2F8"/>
          </w:tcPr>
          <w:p>
            <w:pPr>
              <w:jc w:val="center"/>
            </w:pPr>
            <w:r>
              <w:rPr>
                <w:rFonts w:ascii="Aptos" w:hAnsi="Aptos"/>
                <w:b w:val="0"/>
                <w:i w:val="0"/>
                <w:sz w:val="16"/>
              </w:rPr>
              <w:t>Gesamtnachvollziehbarkeit</w:t>
            </w:r>
          </w:p>
        </w:tc>
        <w:tc>
          <w:tcPr>
            <w:tcW w:type="dxa" w:w="1134"/>
            <w:tcMar>
              <w:top w:w="90" w:type="dxa"/>
              <w:start w:w="110" w:type="dxa"/>
              <w:bottom w:w="90" w:type="dxa"/>
              <w:end w:w="110" w:type="dxa"/>
            </w:tcMar>
            <w:vAlign w:val="center"/>
            <w:shd w:fill="EAF2F8"/>
          </w:tcPr>
          <w:p>
            <w:pPr>
              <w:jc w:val="left"/>
            </w:pPr>
            <w:r>
              <w:rPr>
                <w:rFonts w:ascii="Aptos" w:hAnsi="Aptos"/>
                <w:b w:val="0"/>
                <w:i w:val="0"/>
                <w:sz w:val="16"/>
              </w:rPr>
              <w:t>Grün</w:t>
            </w:r>
          </w:p>
        </w:tc>
        <w:tc>
          <w:tcPr>
            <w:tcW w:type="dxa" w:w="6236"/>
            <w:tcMar>
              <w:top w:w="90" w:type="dxa"/>
              <w:start w:w="110" w:type="dxa"/>
              <w:bottom w:w="90" w:type="dxa"/>
              <w:end w:w="110" w:type="dxa"/>
            </w:tcMar>
            <w:vAlign w:val="center"/>
            <w:shd w:fill="EAF2F8"/>
          </w:tcPr>
          <w:p>
            <w:pPr>
              <w:jc w:val="left"/>
            </w:pPr>
            <w:r>
              <w:rPr>
                <w:rFonts w:ascii="Aptos" w:hAnsi="Aptos"/>
                <w:b w:val="0"/>
                <w:i w:val="0"/>
                <w:sz w:val="16"/>
              </w:rPr>
              <w:t>Aussage ist mit den genannten Einschränkungen plausibel.</w:t>
            </w:r>
          </w:p>
        </w:tc>
      </w:tr>
    </w:tbl>
    <w:p>
      <w:pPr>
        <w:spacing w:after="0"/>
      </w:pPr>
    </w:p>
    <w:p>
      <w:pPr>
        <w:pStyle w:val="Heading2"/>
        <w:keepNext/>
      </w:pPr>
      <w:r>
        <w:t>Zentrale Aussage</w:t>
      </w:r>
    </w:p>
    <w:p>
      <w:r>
        <w:rPr>
          <w:rFonts w:ascii="Aptos" w:hAnsi="Aptos"/>
          <w:b w:val="0"/>
          <w:i w:val="0"/>
        </w:rPr>
        <w:t>Die Rekonstruktion zeigt vor 1850 Schwankungen nahe der Referenzperiode. Die Messreihe zeigt besonders seit der zweiten Hälfte des 20. Jahrhunderts eine starke Erwärmung. Die Projektionen zeigen, dass die weitere Entwicklung wesentlich vom künftigen Emissionspfad abhängt.</w:t>
      </w:r>
    </w:p>
    <w:p>
      <w:r>
        <w:rPr>
          <w:rFonts w:ascii="Aptos" w:hAnsi="Aptos"/>
          <w:b/>
          <w:i w:val="0"/>
        </w:rPr>
        <w:t>Status:</w:t>
      </w:r>
      <w:r>
        <w:rPr>
          <w:rFonts w:ascii="Aptos" w:hAnsi="Aptos"/>
          <w:b w:val="0"/>
          <w:i w:val="0"/>
        </w:rPr>
        <w:t xml:space="preserve"> Studentischer Prüfentwurf. Fachliche Freigabe und Veröffentlichung erfolgen später durch die Projektleitung.</w:t>
      </w:r>
    </w:p>
    <w:p>
      <w:r>
        <w:br w:type="page"/>
      </w:r>
    </w:p>
    <w:p>
      <w:pPr>
        <w:pStyle w:val="Heading1"/>
        <w:keepNext/>
      </w:pPr>
      <w:r>
        <w:t>Kurve und Datenherkunft</w:t>
      </w:r>
    </w:p>
    <w:p>
      <w:pPr>
        <w:pStyle w:val="Heading2"/>
        <w:keepNext/>
      </w:pPr>
      <w:r>
        <w:t>K 01 Was zeigt die Kurve</w:t>
      </w:r>
    </w:p>
    <w:p>
      <w:r>
        <w:rPr>
          <w:rFonts w:ascii="Aptos" w:hAnsi="Aptos"/>
          <w:b w:val="0"/>
          <w:i w:val="0"/>
        </w:rPr>
        <w:t>Die Kurve zeigt die Änderung der globalen bodennahen Oberflächentemperatur in Grad Celsius gegenüber dem Mittel 1850–1900. Positive Werte bedeuten eine wärmere globale Mitteltemperatur als in dieser Referenzperiode. Die Darstellung verbindet Rekonstruktion, Beobachtung und drei Zukunftsszenarien.</w:t>
      </w:r>
    </w:p>
    <w:p>
      <w:pPr>
        <w:pStyle w:val="Heading2"/>
        <w:keepNext/>
      </w:pPr>
      <w:r>
        <w:t>K 02 Stichprobe der Beobachtungswerte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074"/>
        <w:gridCol w:w="2074"/>
        <w:gridCol w:w="2074"/>
        <w:gridCol w:w="2074"/>
        <w:gridCol w:w="2074"/>
      </w:tblGrid>
      <w:tr>
        <w:trPr>
          <w:tblHeader w:val="true"/>
        </w:trPr>
        <w:tc>
          <w:tcPr>
            <w:tcW w:type="dxa" w:w="964"/>
            <w:shd w:fill="17365D"/>
            <w:tcMar>
              <w:top w:w="90" w:type="dxa"/>
              <w:start w:w="110" w:type="dxa"/>
              <w:bottom w:w="90" w:type="dxa"/>
              <w:end w:w="110" w:type="dxa"/>
            </w:tcMar>
            <w:vAlign w:val="center"/>
          </w:tcPr>
          <w:p>
            <w:pPr>
              <w:jc w:val="center"/>
            </w:pPr>
            <w:r>
              <w:rPr>
                <w:rFonts w:ascii="Aptos" w:hAnsi="Aptos"/>
                <w:b/>
                <w:i w:val="0"/>
                <w:color w:val="FFFFFF"/>
                <w:sz w:val="15"/>
              </w:rPr>
              <w:t>Jahr</w:t>
            </w:r>
          </w:p>
        </w:tc>
        <w:tc>
          <w:tcPr>
            <w:tcW w:type="dxa" w:w="2041"/>
            <w:shd w:fill="17365D"/>
            <w:tcMar>
              <w:top w:w="90" w:type="dxa"/>
              <w:start w:w="110" w:type="dxa"/>
              <w:bottom w:w="90" w:type="dxa"/>
              <w:end w:w="110" w:type="dxa"/>
            </w:tcMar>
            <w:vAlign w:val="center"/>
          </w:tcPr>
          <w:p>
            <w:pPr>
              <w:jc w:val="center"/>
            </w:pPr>
            <w:r>
              <w:rPr>
                <w:rFonts w:ascii="Aptos" w:hAnsi="Aptos"/>
                <w:b/>
                <w:i w:val="0"/>
                <w:color w:val="FFFFFF"/>
                <w:sz w:val="15"/>
              </w:rPr>
              <w:t>Original 1961–1990</w:t>
            </w:r>
          </w:p>
        </w:tc>
        <w:tc>
          <w:tcPr>
            <w:tcW w:type="dxa" w:w="2098"/>
            <w:shd w:fill="17365D"/>
            <w:tcMar>
              <w:top w:w="90" w:type="dxa"/>
              <w:start w:w="110" w:type="dxa"/>
              <w:bottom w:w="90" w:type="dxa"/>
              <w:end w:w="110" w:type="dxa"/>
            </w:tcMar>
            <w:vAlign w:val="center"/>
          </w:tcPr>
          <w:p>
            <w:pPr>
              <w:jc w:val="center"/>
            </w:pPr>
            <w:r>
              <w:rPr>
                <w:rFonts w:ascii="Aptos" w:hAnsi="Aptos"/>
                <w:b/>
                <w:i w:val="0"/>
                <w:color w:val="FFFFFF"/>
                <w:sz w:val="15"/>
              </w:rPr>
              <w:t>Mittel 1850–1900</w:t>
            </w:r>
          </w:p>
        </w:tc>
        <w:tc>
          <w:tcPr>
            <w:tcW w:type="dxa" w:w="2154"/>
            <w:shd w:fill="17365D"/>
            <w:tcMar>
              <w:top w:w="90" w:type="dxa"/>
              <w:start w:w="110" w:type="dxa"/>
              <w:bottom w:w="90" w:type="dxa"/>
              <w:end w:w="110" w:type="dxa"/>
            </w:tcMar>
            <w:vAlign w:val="center"/>
          </w:tcPr>
          <w:p>
            <w:pPr>
              <w:jc w:val="center"/>
            </w:pPr>
            <w:r>
              <w:rPr>
                <w:rFonts w:ascii="Aptos" w:hAnsi="Aptos"/>
                <w:b/>
                <w:i w:val="0"/>
                <w:color w:val="FFFFFF"/>
                <w:sz w:val="15"/>
              </w:rPr>
              <w:t>BLC26 neu bezogen</w:t>
            </w:r>
          </w:p>
        </w:tc>
        <w:tc>
          <w:tcPr>
            <w:tcW w:type="dxa" w:w="1247"/>
            <w:shd w:fill="17365D"/>
            <w:tcMar>
              <w:top w:w="90" w:type="dxa"/>
              <w:start w:w="110" w:type="dxa"/>
              <w:bottom w:w="90" w:type="dxa"/>
              <w:end w:w="110" w:type="dxa"/>
            </w:tcMar>
            <w:vAlign w:val="center"/>
          </w:tcPr>
          <w:p>
            <w:pPr>
              <w:jc w:val="center"/>
            </w:pPr>
            <w:r>
              <w:rPr>
                <w:rFonts w:ascii="Aptos" w:hAnsi="Aptos"/>
                <w:b/>
                <w:i w:val="0"/>
                <w:color w:val="FFFFFF"/>
                <w:sz w:val="15"/>
              </w:rPr>
              <w:t>Ergebnis</w:t>
            </w:r>
          </w:p>
        </w:tc>
      </w:tr>
      <w:tr>
        <w:tc>
          <w:tcPr>
            <w:tcW w:type="dxa" w:w="964"/>
            <w:tcMar>
              <w:top w:w="90" w:type="dxa"/>
              <w:start w:w="110" w:type="dxa"/>
              <w:bottom w:w="90" w:type="dxa"/>
              <w:end w:w="110" w:type="dxa"/>
            </w:tcMar>
            <w:vAlign w:val="center"/>
          </w:tcPr>
          <w:p>
            <w:pPr>
              <w:jc w:val="center"/>
            </w:pPr>
            <w:r>
              <w:rPr>
                <w:rFonts w:ascii="Aptos" w:hAnsi="Aptos"/>
                <w:b w:val="0"/>
                <w:i w:val="0"/>
                <w:sz w:val="15"/>
              </w:rPr>
              <w:t>1850</w:t>
            </w:r>
          </w:p>
        </w:tc>
        <w:tc>
          <w:tcPr>
            <w:tcW w:type="dxa" w:w="2041"/>
            <w:tcMar>
              <w:top w:w="90" w:type="dxa"/>
              <w:start w:w="110" w:type="dxa"/>
              <w:bottom w:w="90" w:type="dxa"/>
              <w:end w:w="110" w:type="dxa"/>
            </w:tcMar>
            <w:vAlign w:val="center"/>
          </w:tcPr>
          <w:p>
            <w:pPr>
              <w:jc w:val="left"/>
            </w:pPr>
            <w:r>
              <w:rPr>
                <w:rFonts w:ascii="Aptos" w:hAnsi="Aptos"/>
                <w:b w:val="0"/>
                <w:i w:val="0"/>
                <w:sz w:val="15"/>
              </w:rPr>
              <w:t>−0,4265 °C</w:t>
            </w:r>
          </w:p>
        </w:tc>
        <w:tc>
          <w:tcPr>
            <w:tcW w:type="dxa" w:w="2098"/>
            <w:tcMar>
              <w:top w:w="90" w:type="dxa"/>
              <w:start w:w="110" w:type="dxa"/>
              <w:bottom w:w="90" w:type="dxa"/>
              <w:end w:w="110" w:type="dxa"/>
            </w:tcMar>
            <w:vAlign w:val="center"/>
          </w:tcPr>
          <w:p>
            <w:pPr>
              <w:jc w:val="left"/>
            </w:pPr>
            <w:r>
              <w:rPr>
                <w:rFonts w:ascii="Aptos" w:hAnsi="Aptos"/>
                <w:b w:val="0"/>
                <w:i w:val="0"/>
                <w:sz w:val="15"/>
              </w:rPr>
              <w:t>−0,357361 °C</w:t>
            </w:r>
          </w:p>
        </w:tc>
        <w:tc>
          <w:tcPr>
            <w:tcW w:type="dxa" w:w="2154"/>
            <w:tcMar>
              <w:top w:w="90" w:type="dxa"/>
              <w:start w:w="110" w:type="dxa"/>
              <w:bottom w:w="90" w:type="dxa"/>
              <w:end w:w="110" w:type="dxa"/>
            </w:tcMar>
            <w:vAlign w:val="center"/>
          </w:tcPr>
          <w:p>
            <w:pPr>
              <w:jc w:val="left"/>
            </w:pPr>
            <w:r>
              <w:rPr>
                <w:rFonts w:ascii="Aptos" w:hAnsi="Aptos"/>
                <w:b w:val="0"/>
                <w:i w:val="0"/>
                <w:sz w:val="15"/>
              </w:rPr>
              <w:t>−0,0691 °C</w:t>
            </w:r>
          </w:p>
        </w:tc>
        <w:tc>
          <w:tcPr>
            <w:tcW w:type="dxa" w:w="1247"/>
            <w:tcMar>
              <w:top w:w="90" w:type="dxa"/>
              <w:start w:w="110" w:type="dxa"/>
              <w:bottom w:w="90" w:type="dxa"/>
              <w:end w:w="110" w:type="dxa"/>
            </w:tcMar>
            <w:vAlign w:val="center"/>
          </w:tcPr>
          <w:p>
            <w:pPr>
              <w:jc w:val="left"/>
            </w:pPr>
            <w:r>
              <w:rPr>
                <w:rFonts w:ascii="Aptos" w:hAnsi="Aptos"/>
                <w:b w:val="0"/>
                <w:i w:val="0"/>
                <w:sz w:val="15"/>
              </w:rPr>
              <w:t>stimmt</w:t>
            </w:r>
          </w:p>
        </w:tc>
      </w:tr>
      <w:tr>
        <w:tc>
          <w:tcPr>
            <w:tcW w:type="dxa" w:w="964"/>
            <w:tcMar>
              <w:top w:w="90" w:type="dxa"/>
              <w:start w:w="110" w:type="dxa"/>
              <w:bottom w:w="90" w:type="dxa"/>
              <w:end w:w="110" w:type="dxa"/>
            </w:tcMar>
            <w:vAlign w:val="center"/>
            <w:shd w:fill="EAF2F8"/>
          </w:tcPr>
          <w:p>
            <w:pPr>
              <w:jc w:val="center"/>
            </w:pPr>
            <w:r>
              <w:rPr>
                <w:rFonts w:ascii="Aptos" w:hAnsi="Aptos"/>
                <w:b w:val="0"/>
                <w:i w:val="0"/>
                <w:sz w:val="15"/>
              </w:rPr>
              <w:t>1900</w:t>
            </w:r>
          </w:p>
        </w:tc>
        <w:tc>
          <w:tcPr>
            <w:tcW w:type="dxa" w:w="2041"/>
            <w:tcMar>
              <w:top w:w="90" w:type="dxa"/>
              <w:start w:w="110" w:type="dxa"/>
              <w:bottom w:w="90" w:type="dxa"/>
              <w:end w:w="110" w:type="dxa"/>
            </w:tcMar>
            <w:vAlign w:val="center"/>
            <w:shd w:fill="EAF2F8"/>
          </w:tcPr>
          <w:p>
            <w:pPr>
              <w:jc w:val="left"/>
            </w:pPr>
            <w:r>
              <w:rPr>
                <w:rFonts w:ascii="Aptos" w:hAnsi="Aptos"/>
                <w:b w:val="0"/>
                <w:i w:val="0"/>
                <w:sz w:val="15"/>
              </w:rPr>
              <w:t>−0,2302 °C</w:t>
            </w:r>
          </w:p>
        </w:tc>
        <w:tc>
          <w:tcPr>
            <w:tcW w:type="dxa" w:w="2098"/>
            <w:tcMar>
              <w:top w:w="90" w:type="dxa"/>
              <w:start w:w="110" w:type="dxa"/>
              <w:bottom w:w="90" w:type="dxa"/>
              <w:end w:w="110" w:type="dxa"/>
            </w:tcMar>
            <w:vAlign w:val="center"/>
            <w:shd w:fill="EAF2F8"/>
          </w:tcPr>
          <w:p>
            <w:pPr>
              <w:jc w:val="left"/>
            </w:pPr>
            <w:r>
              <w:rPr>
                <w:rFonts w:ascii="Aptos" w:hAnsi="Aptos"/>
                <w:b w:val="0"/>
                <w:i w:val="0"/>
                <w:sz w:val="15"/>
              </w:rPr>
              <w:t>−0,357361 °C</w:t>
            </w:r>
          </w:p>
        </w:tc>
        <w:tc>
          <w:tcPr>
            <w:tcW w:type="dxa" w:w="2154"/>
            <w:tcMar>
              <w:top w:w="90" w:type="dxa"/>
              <w:start w:w="110" w:type="dxa"/>
              <w:bottom w:w="90" w:type="dxa"/>
              <w:end w:w="110" w:type="dxa"/>
            </w:tcMar>
            <w:vAlign w:val="center"/>
            <w:shd w:fill="EAF2F8"/>
          </w:tcPr>
          <w:p>
            <w:pPr>
              <w:jc w:val="left"/>
            </w:pPr>
            <w:r>
              <w:rPr>
                <w:rFonts w:ascii="Aptos" w:hAnsi="Aptos"/>
                <w:b w:val="0"/>
                <w:i w:val="0"/>
                <w:sz w:val="15"/>
              </w:rPr>
              <w:t>+0,1272 °C</w:t>
            </w:r>
          </w:p>
        </w:tc>
        <w:tc>
          <w:tcPr>
            <w:tcW w:type="dxa" w:w="1247"/>
            <w:tcMar>
              <w:top w:w="90" w:type="dxa"/>
              <w:start w:w="110" w:type="dxa"/>
              <w:bottom w:w="90" w:type="dxa"/>
              <w:end w:w="110" w:type="dxa"/>
            </w:tcMar>
            <w:vAlign w:val="center"/>
            <w:shd w:fill="EAF2F8"/>
          </w:tcPr>
          <w:p>
            <w:pPr>
              <w:jc w:val="left"/>
            </w:pPr>
            <w:r>
              <w:rPr>
                <w:rFonts w:ascii="Aptos" w:hAnsi="Aptos"/>
                <w:b w:val="0"/>
                <w:i w:val="0"/>
                <w:sz w:val="15"/>
              </w:rPr>
              <w:t>stimmt</w:t>
            </w:r>
          </w:p>
        </w:tc>
      </w:tr>
      <w:tr>
        <w:tc>
          <w:tcPr>
            <w:tcW w:type="dxa" w:w="964"/>
            <w:tcMar>
              <w:top w:w="90" w:type="dxa"/>
              <w:start w:w="110" w:type="dxa"/>
              <w:bottom w:w="90" w:type="dxa"/>
              <w:end w:w="110" w:type="dxa"/>
            </w:tcMar>
            <w:vAlign w:val="center"/>
          </w:tcPr>
          <w:p>
            <w:pPr>
              <w:jc w:val="center"/>
            </w:pPr>
            <w:r>
              <w:rPr>
                <w:rFonts w:ascii="Aptos" w:hAnsi="Aptos"/>
                <w:b w:val="0"/>
                <w:i w:val="0"/>
                <w:sz w:val="15"/>
              </w:rPr>
              <w:t>1950</w:t>
            </w:r>
          </w:p>
        </w:tc>
        <w:tc>
          <w:tcPr>
            <w:tcW w:type="dxa" w:w="2041"/>
            <w:tcMar>
              <w:top w:w="90" w:type="dxa"/>
              <w:start w:w="110" w:type="dxa"/>
              <w:bottom w:w="90" w:type="dxa"/>
              <w:end w:w="110" w:type="dxa"/>
            </w:tcMar>
            <w:vAlign w:val="center"/>
          </w:tcPr>
          <w:p>
            <w:pPr>
              <w:jc w:val="left"/>
            </w:pPr>
            <w:r>
              <w:rPr>
                <w:rFonts w:ascii="Aptos" w:hAnsi="Aptos"/>
                <w:b w:val="0"/>
                <w:i w:val="0"/>
                <w:sz w:val="15"/>
              </w:rPr>
              <w:t>−0,2397 °C</w:t>
            </w:r>
          </w:p>
        </w:tc>
        <w:tc>
          <w:tcPr>
            <w:tcW w:type="dxa" w:w="2098"/>
            <w:tcMar>
              <w:top w:w="90" w:type="dxa"/>
              <w:start w:w="110" w:type="dxa"/>
              <w:bottom w:w="90" w:type="dxa"/>
              <w:end w:w="110" w:type="dxa"/>
            </w:tcMar>
            <w:vAlign w:val="center"/>
          </w:tcPr>
          <w:p>
            <w:pPr>
              <w:jc w:val="left"/>
            </w:pPr>
            <w:r>
              <w:rPr>
                <w:rFonts w:ascii="Aptos" w:hAnsi="Aptos"/>
                <w:b w:val="0"/>
                <w:i w:val="0"/>
                <w:sz w:val="15"/>
              </w:rPr>
              <w:t>−0,357361 °C</w:t>
            </w:r>
          </w:p>
        </w:tc>
        <w:tc>
          <w:tcPr>
            <w:tcW w:type="dxa" w:w="2154"/>
            <w:tcMar>
              <w:top w:w="90" w:type="dxa"/>
              <w:start w:w="110" w:type="dxa"/>
              <w:bottom w:w="90" w:type="dxa"/>
              <w:end w:w="110" w:type="dxa"/>
            </w:tcMar>
            <w:vAlign w:val="center"/>
          </w:tcPr>
          <w:p>
            <w:pPr>
              <w:jc w:val="left"/>
            </w:pPr>
            <w:r>
              <w:rPr>
                <w:rFonts w:ascii="Aptos" w:hAnsi="Aptos"/>
                <w:b w:val="0"/>
                <w:i w:val="0"/>
                <w:sz w:val="15"/>
              </w:rPr>
              <w:t>+0,1177 °C</w:t>
            </w:r>
          </w:p>
        </w:tc>
        <w:tc>
          <w:tcPr>
            <w:tcW w:type="dxa" w:w="1247"/>
            <w:tcMar>
              <w:top w:w="90" w:type="dxa"/>
              <w:start w:w="110" w:type="dxa"/>
              <w:bottom w:w="90" w:type="dxa"/>
              <w:end w:w="110" w:type="dxa"/>
            </w:tcMar>
            <w:vAlign w:val="center"/>
          </w:tcPr>
          <w:p>
            <w:pPr>
              <w:jc w:val="left"/>
            </w:pPr>
            <w:r>
              <w:rPr>
                <w:rFonts w:ascii="Aptos" w:hAnsi="Aptos"/>
                <w:b w:val="0"/>
                <w:i w:val="0"/>
                <w:sz w:val="15"/>
              </w:rPr>
              <w:t>stimmt</w:t>
            </w:r>
          </w:p>
        </w:tc>
      </w:tr>
      <w:tr>
        <w:tc>
          <w:tcPr>
            <w:tcW w:type="dxa" w:w="964"/>
            <w:tcMar>
              <w:top w:w="90" w:type="dxa"/>
              <w:start w:w="110" w:type="dxa"/>
              <w:bottom w:w="90" w:type="dxa"/>
              <w:end w:w="110" w:type="dxa"/>
            </w:tcMar>
            <w:vAlign w:val="center"/>
            <w:shd w:fill="EAF2F8"/>
          </w:tcPr>
          <w:p>
            <w:pPr>
              <w:jc w:val="center"/>
            </w:pPr>
            <w:r>
              <w:rPr>
                <w:rFonts w:ascii="Aptos" w:hAnsi="Aptos"/>
                <w:b w:val="0"/>
                <w:i w:val="0"/>
                <w:sz w:val="15"/>
              </w:rPr>
              <w:t>2000</w:t>
            </w:r>
          </w:p>
        </w:tc>
        <w:tc>
          <w:tcPr>
            <w:tcW w:type="dxa" w:w="2041"/>
            <w:tcMar>
              <w:top w:w="90" w:type="dxa"/>
              <w:start w:w="110" w:type="dxa"/>
              <w:bottom w:w="90" w:type="dxa"/>
              <w:end w:w="110" w:type="dxa"/>
            </w:tcMar>
            <w:vAlign w:val="center"/>
            <w:shd w:fill="EAF2F8"/>
          </w:tcPr>
          <w:p>
            <w:pPr>
              <w:jc w:val="left"/>
            </w:pPr>
            <w:r>
              <w:rPr>
                <w:rFonts w:ascii="Aptos" w:hAnsi="Aptos"/>
                <w:b w:val="0"/>
                <w:i w:val="0"/>
                <w:sz w:val="15"/>
              </w:rPr>
              <w:t>+0,3255 °C</w:t>
            </w:r>
          </w:p>
        </w:tc>
        <w:tc>
          <w:tcPr>
            <w:tcW w:type="dxa" w:w="2098"/>
            <w:tcMar>
              <w:top w:w="90" w:type="dxa"/>
              <w:start w:w="110" w:type="dxa"/>
              <w:bottom w:w="90" w:type="dxa"/>
              <w:end w:w="110" w:type="dxa"/>
            </w:tcMar>
            <w:vAlign w:val="center"/>
            <w:shd w:fill="EAF2F8"/>
          </w:tcPr>
          <w:p>
            <w:pPr>
              <w:jc w:val="left"/>
            </w:pPr>
            <w:r>
              <w:rPr>
                <w:rFonts w:ascii="Aptos" w:hAnsi="Aptos"/>
                <w:b w:val="0"/>
                <w:i w:val="0"/>
                <w:sz w:val="15"/>
              </w:rPr>
              <w:t>−0,357361 °C</w:t>
            </w:r>
          </w:p>
        </w:tc>
        <w:tc>
          <w:tcPr>
            <w:tcW w:type="dxa" w:w="2154"/>
            <w:tcMar>
              <w:top w:w="90" w:type="dxa"/>
              <w:start w:w="110" w:type="dxa"/>
              <w:bottom w:w="90" w:type="dxa"/>
              <w:end w:w="110" w:type="dxa"/>
            </w:tcMar>
            <w:vAlign w:val="center"/>
            <w:shd w:fill="EAF2F8"/>
          </w:tcPr>
          <w:p>
            <w:pPr>
              <w:jc w:val="left"/>
            </w:pPr>
            <w:r>
              <w:rPr>
                <w:rFonts w:ascii="Aptos" w:hAnsi="Aptos"/>
                <w:b w:val="0"/>
                <w:i w:val="0"/>
                <w:sz w:val="15"/>
              </w:rPr>
              <w:t>+0,6829 °C</w:t>
            </w:r>
          </w:p>
        </w:tc>
        <w:tc>
          <w:tcPr>
            <w:tcW w:type="dxa" w:w="1247"/>
            <w:tcMar>
              <w:top w:w="90" w:type="dxa"/>
              <w:start w:w="110" w:type="dxa"/>
              <w:bottom w:w="90" w:type="dxa"/>
              <w:end w:w="110" w:type="dxa"/>
            </w:tcMar>
            <w:vAlign w:val="center"/>
            <w:shd w:fill="EAF2F8"/>
          </w:tcPr>
          <w:p>
            <w:pPr>
              <w:jc w:val="left"/>
            </w:pPr>
            <w:r>
              <w:rPr>
                <w:rFonts w:ascii="Aptos" w:hAnsi="Aptos"/>
                <w:b w:val="0"/>
                <w:i w:val="0"/>
                <w:sz w:val="15"/>
              </w:rPr>
              <w:t>stimmt</w:t>
            </w:r>
          </w:p>
        </w:tc>
      </w:tr>
      <w:tr>
        <w:tc>
          <w:tcPr>
            <w:tcW w:type="dxa" w:w="964"/>
            <w:tcMar>
              <w:top w:w="90" w:type="dxa"/>
              <w:start w:w="110" w:type="dxa"/>
              <w:bottom w:w="90" w:type="dxa"/>
              <w:end w:w="110" w:type="dxa"/>
            </w:tcMar>
            <w:vAlign w:val="center"/>
          </w:tcPr>
          <w:p>
            <w:pPr>
              <w:jc w:val="center"/>
            </w:pPr>
            <w:r>
              <w:rPr>
                <w:rFonts w:ascii="Aptos" w:hAnsi="Aptos"/>
                <w:b w:val="0"/>
                <w:i w:val="0"/>
                <w:sz w:val="15"/>
              </w:rPr>
              <w:t>2025</w:t>
            </w:r>
          </w:p>
        </w:tc>
        <w:tc>
          <w:tcPr>
            <w:tcW w:type="dxa" w:w="2041"/>
            <w:tcMar>
              <w:top w:w="90" w:type="dxa"/>
              <w:start w:w="110" w:type="dxa"/>
              <w:bottom w:w="90" w:type="dxa"/>
              <w:end w:w="110" w:type="dxa"/>
            </w:tcMar>
            <w:vAlign w:val="center"/>
          </w:tcPr>
          <w:p>
            <w:pPr>
              <w:jc w:val="left"/>
            </w:pPr>
            <w:r>
              <w:rPr>
                <w:rFonts w:ascii="Aptos" w:hAnsi="Aptos"/>
                <w:b w:val="0"/>
                <w:i w:val="0"/>
                <w:sz w:val="15"/>
              </w:rPr>
              <w:t>+1,0480 °C</w:t>
            </w:r>
          </w:p>
        </w:tc>
        <w:tc>
          <w:tcPr>
            <w:tcW w:type="dxa" w:w="2098"/>
            <w:tcMar>
              <w:top w:w="90" w:type="dxa"/>
              <w:start w:w="110" w:type="dxa"/>
              <w:bottom w:w="90" w:type="dxa"/>
              <w:end w:w="110" w:type="dxa"/>
            </w:tcMar>
            <w:vAlign w:val="center"/>
          </w:tcPr>
          <w:p>
            <w:pPr>
              <w:jc w:val="left"/>
            </w:pPr>
            <w:r>
              <w:rPr>
                <w:rFonts w:ascii="Aptos" w:hAnsi="Aptos"/>
                <w:b w:val="0"/>
                <w:i w:val="0"/>
                <w:sz w:val="15"/>
              </w:rPr>
              <w:t>−0,357361 °C</w:t>
            </w:r>
          </w:p>
        </w:tc>
        <w:tc>
          <w:tcPr>
            <w:tcW w:type="dxa" w:w="2154"/>
            <w:tcMar>
              <w:top w:w="90" w:type="dxa"/>
              <w:start w:w="110" w:type="dxa"/>
              <w:bottom w:w="90" w:type="dxa"/>
              <w:end w:w="110" w:type="dxa"/>
            </w:tcMar>
            <w:vAlign w:val="center"/>
          </w:tcPr>
          <w:p>
            <w:pPr>
              <w:jc w:val="left"/>
            </w:pPr>
            <w:r>
              <w:rPr>
                <w:rFonts w:ascii="Aptos" w:hAnsi="Aptos"/>
                <w:b w:val="0"/>
                <w:i w:val="0"/>
                <w:sz w:val="15"/>
              </w:rPr>
              <w:t>+1,4054 °C</w:t>
            </w:r>
          </w:p>
        </w:tc>
        <w:tc>
          <w:tcPr>
            <w:tcW w:type="dxa" w:w="1247"/>
            <w:tcMar>
              <w:top w:w="90" w:type="dxa"/>
              <w:start w:w="110" w:type="dxa"/>
              <w:bottom w:w="90" w:type="dxa"/>
              <w:end w:w="110" w:type="dxa"/>
            </w:tcMar>
            <w:vAlign w:val="center"/>
          </w:tcPr>
          <w:p>
            <w:pPr>
              <w:jc w:val="left"/>
            </w:pPr>
            <w:r>
              <w:rPr>
                <w:rFonts w:ascii="Aptos" w:hAnsi="Aptos"/>
                <w:b w:val="0"/>
                <w:i w:val="0"/>
                <w:sz w:val="15"/>
              </w:rPr>
              <w:t>stimmt</w:t>
            </w:r>
          </w:p>
        </w:tc>
      </w:tr>
    </w:tbl>
    <w:p>
      <w:pPr>
        <w:spacing w:after="0"/>
      </w:pPr>
    </w:p>
    <w:p>
      <w:r>
        <w:rPr>
          <w:rFonts w:ascii="Aptos" w:hAnsi="Aptos"/>
          <w:b w:val="0"/>
          <w:i w:val="0"/>
        </w:rPr>
        <w:t>Kontrollrechnung: Vom veröffentlichten HadCRUT5-Wert wird das arithmetische Mittel 1850–1900 der verwendeten Reihe abgezogen. Die Rechnung wurde anhand der offiziellen CSV unabhängig wiederholt. Die 95-%-Grenzen werden um denselben konstanten Wert verschoben.</w:t>
      </w:r>
    </w:p>
    <w:p>
      <w:pPr>
        <w:pStyle w:val="Heading2"/>
        <w:keepNext/>
      </w:pPr>
      <w:r>
        <w:t>K 03 Aufbereitung im BLC26</w:t>
      </w:r>
    </w:p>
    <w:p>
      <w:pPr>
        <w:pStyle w:val="ListBullet"/>
      </w:pPr>
      <w:r>
        <w:rPr>
          <w:rFonts w:ascii="Aptos" w:hAnsi="Aptos"/>
          <w:b w:val="0"/>
          <w:i w:val="0"/>
        </w:rPr>
        <w:t>Alle 176 vollständigen Jahreswerte 1850–2025 sind im Import enthalten; das noch unvollständige Jahr 2026 bleibt ausgeschlossen.</w:t>
      </w:r>
    </w:p>
    <w:p>
      <w:pPr>
        <w:pStyle w:val="ListBullet"/>
      </w:pPr>
      <w:r>
        <w:rPr>
          <w:rFonts w:ascii="Aptos" w:hAnsi="Aptos"/>
          <w:b w:val="0"/>
          <w:i w:val="0"/>
        </w:rPr>
        <w:t>Für die Anzeige wird ausgedünnt, aber nicht interpoliert: erster und letzter Punkt bleiben erhalten, dazwischen liegen mindestens fünf Jahre.</w:t>
      </w:r>
    </w:p>
    <w:p>
      <w:pPr>
        <w:pStyle w:val="ListBullet"/>
      </w:pPr>
      <w:r>
        <w:rPr>
          <w:rFonts w:ascii="Aptos" w:hAnsi="Aptos"/>
          <w:b w:val="0"/>
          <w:i w:val="0"/>
        </w:rPr>
        <w:t>PAGES2k und HadCRUT5 werden jeweils mit ihrem eigenen Mittel 1850–1900 auf dieselbe Bezugsperiode gebracht.</w:t>
      </w:r>
    </w:p>
    <w:p>
      <w:pPr>
        <w:pStyle w:val="ListBullet"/>
      </w:pPr>
      <w:r>
        <w:rPr>
          <w:rFonts w:ascii="Aptos" w:hAnsi="Aptos"/>
          <w:b w:val="0"/>
          <w:i w:val="0"/>
        </w:rPr>
        <w:t>IPCC-Werte werden nicht umgerechnet; die dargestellten Jahre 2030, 2050 und 2090 stehen für 20-Jahres-Mittel.</w:t>
      </w:r>
    </w:p>
    <w:p>
      <w:pPr>
        <w:pStyle w:val="Heading2"/>
        <w:keepNext/>
      </w:pPr>
      <w:r>
        <w:t>K 04 Quellenqualität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57"/>
        <w:gridCol w:w="3457"/>
        <w:gridCol w:w="3457"/>
      </w:tblGrid>
      <w:tr>
        <w:trPr>
          <w:tblHeader w:val="true"/>
        </w:trPr>
        <w:tc>
          <w:tcPr>
            <w:tcW w:type="dxa" w:w="2835"/>
            <w:shd w:fill="17365D"/>
            <w:tcMar>
              <w:top w:w="90" w:type="dxa"/>
              <w:start w:w="110" w:type="dxa"/>
              <w:bottom w:w="90" w:type="dxa"/>
              <w:end w:w="110" w:type="dxa"/>
            </w:tcMar>
            <w:vAlign w:val="center"/>
          </w:tcPr>
          <w:p>
            <w:pPr>
              <w:jc w:val="center"/>
            </w:pPr>
            <w:r>
              <w:rPr>
                <w:rFonts w:ascii="Aptos" w:hAnsi="Aptos"/>
                <w:b/>
                <w:i w:val="0"/>
                <w:color w:val="FFFFFF"/>
                <w:sz w:val="16"/>
              </w:rPr>
              <w:t>Quelle</w:t>
            </w:r>
          </w:p>
        </w:tc>
        <w:tc>
          <w:tcPr>
            <w:tcW w:type="dxa" w:w="5499"/>
            <w:shd w:fill="17365D"/>
            <w:tcMar>
              <w:top w:w="90" w:type="dxa"/>
              <w:start w:w="110" w:type="dxa"/>
              <w:bottom w:w="90" w:type="dxa"/>
              <w:end w:w="110" w:type="dxa"/>
            </w:tcMar>
            <w:vAlign w:val="center"/>
          </w:tcPr>
          <w:p>
            <w:pPr>
              <w:jc w:val="center"/>
            </w:pPr>
            <w:r>
              <w:rPr>
                <w:rFonts w:ascii="Aptos" w:hAnsi="Aptos"/>
                <w:b/>
                <w:i w:val="0"/>
                <w:color w:val="FFFFFF"/>
                <w:sz w:val="16"/>
              </w:rPr>
              <w:t>Einordnung</w:t>
            </w:r>
          </w:p>
        </w:tc>
        <w:tc>
          <w:tcPr>
            <w:tcW w:type="dxa" w:w="1247"/>
            <w:shd w:fill="17365D"/>
            <w:tcMar>
              <w:top w:w="90" w:type="dxa"/>
              <w:start w:w="110" w:type="dxa"/>
              <w:bottom w:w="90" w:type="dxa"/>
              <w:end w:w="110" w:type="dxa"/>
            </w:tcMar>
            <w:vAlign w:val="center"/>
          </w:tcPr>
          <w:p>
            <w:pPr>
              <w:jc w:val="center"/>
            </w:pPr>
            <w:r>
              <w:rPr>
                <w:rFonts w:ascii="Aptos" w:hAnsi="Aptos"/>
                <w:b/>
                <w:i w:val="0"/>
                <w:color w:val="FFFFFF"/>
                <w:sz w:val="16"/>
              </w:rPr>
              <w:t>Prüfurteil</w:t>
            </w:r>
          </w:p>
        </w:tc>
      </w:tr>
      <w:tr>
        <w:tc>
          <w:tcPr>
            <w:tcW w:type="dxa" w:w="2835"/>
            <w:tcMar>
              <w:top w:w="90" w:type="dxa"/>
              <w:start w:w="110" w:type="dxa"/>
              <w:bottom w:w="90" w:type="dxa"/>
              <w:end w:w="110" w:type="dxa"/>
            </w:tcMar>
            <w:vAlign w:val="center"/>
          </w:tcPr>
          <w:p>
            <w:pPr>
              <w:jc w:val="center"/>
            </w:pPr>
            <w:r>
              <w:rPr>
                <w:rFonts w:ascii="Aptos" w:hAnsi="Aptos"/>
                <w:b w:val="0"/>
                <w:i w:val="0"/>
                <w:sz w:val="16"/>
              </w:rPr>
              <w:t>PAGES2k 2019 · NOAA/NCEI</w:t>
            </w:r>
          </w:p>
        </w:tc>
        <w:tc>
          <w:tcPr>
            <w:tcW w:type="dxa" w:w="5499"/>
            <w:tcMar>
              <w:top w:w="90" w:type="dxa"/>
              <w:start w:w="110" w:type="dxa"/>
              <w:bottom w:w="90" w:type="dxa"/>
              <w:end w:w="110" w:type="dxa"/>
            </w:tcMar>
            <w:vAlign w:val="center"/>
          </w:tcPr>
          <w:p>
            <w:pPr>
              <w:jc w:val="left"/>
            </w:pPr>
            <w:r>
              <w:rPr>
                <w:rFonts w:ascii="Aptos" w:hAnsi="Aptos"/>
                <w:b w:val="0"/>
                <w:i w:val="0"/>
                <w:sz w:val="16"/>
              </w:rPr>
              <w:t>Offener Forschungsdatensatz mit DOI und Ensemblebereich</w:t>
            </w:r>
          </w:p>
        </w:tc>
        <w:tc>
          <w:tcPr>
            <w:tcW w:type="dxa" w:w="1247"/>
            <w:tcMar>
              <w:top w:w="90" w:type="dxa"/>
              <w:start w:w="110" w:type="dxa"/>
              <w:bottom w:w="90" w:type="dxa"/>
              <w:end w:w="110" w:type="dxa"/>
            </w:tcMar>
            <w:vAlign w:val="center"/>
          </w:tcPr>
          <w:p>
            <w:pPr>
              <w:jc w:val="left"/>
            </w:pPr>
            <w:r>
              <w:rPr>
                <w:rFonts w:ascii="Aptos" w:hAnsi="Aptos"/>
                <w:b w:val="0"/>
                <w:i w:val="0"/>
                <w:sz w:val="16"/>
              </w:rPr>
              <w:t>Grün</w:t>
            </w:r>
          </w:p>
        </w:tc>
      </w:tr>
      <w:tr>
        <w:tc>
          <w:tcPr>
            <w:tcW w:type="dxa" w:w="2835"/>
            <w:tcMar>
              <w:top w:w="90" w:type="dxa"/>
              <w:start w:w="110" w:type="dxa"/>
              <w:bottom w:w="90" w:type="dxa"/>
              <w:end w:w="110" w:type="dxa"/>
            </w:tcMar>
            <w:vAlign w:val="center"/>
            <w:shd w:fill="EAF2F8"/>
          </w:tcPr>
          <w:p>
            <w:pPr>
              <w:jc w:val="center"/>
            </w:pPr>
            <w:r>
              <w:rPr>
                <w:rFonts w:ascii="Aptos" w:hAnsi="Aptos"/>
                <w:b w:val="0"/>
                <w:i w:val="0"/>
                <w:sz w:val="16"/>
              </w:rPr>
              <w:t>HadCRUT5 · Met Office und UEA</w:t>
            </w:r>
          </w:p>
        </w:tc>
        <w:tc>
          <w:tcPr>
            <w:tcW w:type="dxa" w:w="5499"/>
            <w:tcMar>
              <w:top w:w="90" w:type="dxa"/>
              <w:start w:w="110" w:type="dxa"/>
              <w:bottom w:w="90" w:type="dxa"/>
              <w:end w:w="110" w:type="dxa"/>
            </w:tcMar>
            <w:vAlign w:val="center"/>
            <w:shd w:fill="EAF2F8"/>
          </w:tcPr>
          <w:p>
            <w:pPr>
              <w:jc w:val="left"/>
            </w:pPr>
            <w:r>
              <w:rPr>
                <w:rFonts w:ascii="Aptos" w:hAnsi="Aptos"/>
                <w:b w:val="0"/>
                <w:i w:val="0"/>
                <w:sz w:val="16"/>
              </w:rPr>
              <w:t>Begutachtete Methodik; 200 Ensemble-Realisierungen bilden Unsicherheiten ab</w:t>
            </w:r>
          </w:p>
        </w:tc>
        <w:tc>
          <w:tcPr>
            <w:tcW w:type="dxa" w:w="1247"/>
            <w:tcMar>
              <w:top w:w="90" w:type="dxa"/>
              <w:start w:w="110" w:type="dxa"/>
              <w:bottom w:w="90" w:type="dxa"/>
              <w:end w:w="110" w:type="dxa"/>
            </w:tcMar>
            <w:vAlign w:val="center"/>
            <w:shd w:fill="EAF2F8"/>
          </w:tcPr>
          <w:p>
            <w:pPr>
              <w:jc w:val="left"/>
            </w:pPr>
            <w:r>
              <w:rPr>
                <w:rFonts w:ascii="Aptos" w:hAnsi="Aptos"/>
                <w:b w:val="0"/>
                <w:i w:val="0"/>
                <w:sz w:val="16"/>
              </w:rPr>
              <w:t>Grün</w:t>
            </w:r>
          </w:p>
        </w:tc>
      </w:tr>
      <w:tr>
        <w:tc>
          <w:tcPr>
            <w:tcW w:type="dxa" w:w="2835"/>
            <w:tcMar>
              <w:top w:w="90" w:type="dxa"/>
              <w:start w:w="110" w:type="dxa"/>
              <w:bottom w:w="90" w:type="dxa"/>
              <w:end w:w="110" w:type="dxa"/>
            </w:tcMar>
            <w:vAlign w:val="center"/>
          </w:tcPr>
          <w:p>
            <w:pPr>
              <w:jc w:val="center"/>
            </w:pPr>
            <w:r>
              <w:rPr>
                <w:rFonts w:ascii="Aptos" w:hAnsi="Aptos"/>
                <w:b w:val="0"/>
                <w:i w:val="0"/>
                <w:sz w:val="16"/>
              </w:rPr>
              <w:t>IPCC AR6 WGI</w:t>
            </w:r>
          </w:p>
        </w:tc>
        <w:tc>
          <w:tcPr>
            <w:tcW w:type="dxa" w:w="5499"/>
            <w:tcMar>
              <w:top w:w="90" w:type="dxa"/>
              <w:start w:w="110" w:type="dxa"/>
              <w:bottom w:w="90" w:type="dxa"/>
              <w:end w:w="110" w:type="dxa"/>
            </w:tcMar>
            <w:vAlign w:val="center"/>
          </w:tcPr>
          <w:p>
            <w:pPr>
              <w:jc w:val="left"/>
            </w:pPr>
            <w:r>
              <w:rPr>
                <w:rFonts w:ascii="Aptos" w:hAnsi="Aptos"/>
                <w:b w:val="0"/>
                <w:i w:val="0"/>
                <w:sz w:val="16"/>
              </w:rPr>
              <w:t>Bewertete Synthese mehrerer Modelle und Evidenzlinien</w:t>
            </w:r>
          </w:p>
        </w:tc>
        <w:tc>
          <w:tcPr>
            <w:tcW w:type="dxa" w:w="1247"/>
            <w:tcMar>
              <w:top w:w="90" w:type="dxa"/>
              <w:start w:w="110" w:type="dxa"/>
              <w:bottom w:w="90" w:type="dxa"/>
              <w:end w:w="110" w:type="dxa"/>
            </w:tcMar>
            <w:vAlign w:val="center"/>
          </w:tcPr>
          <w:p>
            <w:pPr>
              <w:jc w:val="left"/>
            </w:pPr>
            <w:r>
              <w:rPr>
                <w:rFonts w:ascii="Aptos" w:hAnsi="Aptos"/>
                <w:b w:val="0"/>
                <w:i w:val="0"/>
                <w:sz w:val="16"/>
              </w:rPr>
              <w:t>Grün</w:t>
            </w:r>
          </w:p>
        </w:tc>
      </w:tr>
      <w:tr>
        <w:tc>
          <w:tcPr>
            <w:tcW w:type="dxa" w:w="2835"/>
            <w:tcMar>
              <w:top w:w="90" w:type="dxa"/>
              <w:start w:w="110" w:type="dxa"/>
              <w:bottom w:w="90" w:type="dxa"/>
              <w:end w:w="110" w:type="dxa"/>
            </w:tcMar>
            <w:vAlign w:val="center"/>
            <w:shd w:fill="EAF2F8"/>
          </w:tcPr>
          <w:p>
            <w:pPr>
              <w:jc w:val="center"/>
            </w:pPr>
            <w:r>
              <w:rPr>
                <w:rFonts w:ascii="Aptos" w:hAnsi="Aptos"/>
                <w:b w:val="0"/>
                <w:i w:val="0"/>
                <w:sz w:val="16"/>
              </w:rPr>
              <w:t>Versionsstand HadCRUT5</w:t>
            </w:r>
          </w:p>
        </w:tc>
        <w:tc>
          <w:tcPr>
            <w:tcW w:type="dxa" w:w="5499"/>
            <w:tcMar>
              <w:top w:w="90" w:type="dxa"/>
              <w:start w:w="110" w:type="dxa"/>
              <w:bottom w:w="90" w:type="dxa"/>
              <w:end w:w="110" w:type="dxa"/>
            </w:tcMar>
            <w:vAlign w:val="center"/>
            <w:shd w:fill="EAF2F8"/>
          </w:tcPr>
          <w:p>
            <w:pPr>
              <w:jc w:val="left"/>
            </w:pPr>
            <w:r>
              <w:rPr>
                <w:rFonts w:ascii="Aptos" w:hAnsi="Aptos"/>
                <w:b w:val="0"/>
                <w:i w:val="0"/>
                <w:sz w:val="16"/>
              </w:rPr>
              <w:t>5.1 ist reproduzierbar; 5.2 ist inzwischen aktuell</w:t>
            </w:r>
          </w:p>
        </w:tc>
        <w:tc>
          <w:tcPr>
            <w:tcW w:type="dxa" w:w="1247"/>
            <w:tcMar>
              <w:top w:w="90" w:type="dxa"/>
              <w:start w:w="110" w:type="dxa"/>
              <w:bottom w:w="90" w:type="dxa"/>
              <w:end w:w="110" w:type="dxa"/>
            </w:tcMar>
            <w:vAlign w:val="center"/>
            <w:shd w:fill="EAF2F8"/>
          </w:tcPr>
          <w:p>
            <w:pPr>
              <w:jc w:val="left"/>
            </w:pPr>
            <w:r>
              <w:rPr>
                <w:rFonts w:ascii="Aptos" w:hAnsi="Aptos"/>
                <w:b w:val="0"/>
                <w:i w:val="0"/>
                <w:sz w:val="16"/>
              </w:rPr>
              <w:t>Gelb</w:t>
            </w:r>
          </w:p>
        </w:tc>
      </w:tr>
    </w:tbl>
    <w:p>
      <w:pPr>
        <w:spacing w:after="0"/>
      </w:pPr>
    </w:p>
    <w:p>
      <w:r>
        <w:br w:type="page"/>
      </w:r>
    </w:p>
    <w:p>
      <w:pPr>
        <w:pStyle w:val="Heading1"/>
        <w:keepNext/>
      </w:pPr>
      <w:r>
        <w:t>Drei Segmente und Methodenwechsel</w:t>
      </w:r>
    </w:p>
    <w:p>
      <w:pPr>
        <w:pStyle w:val="Heading2"/>
        <w:keepNext/>
      </w:pPr>
      <w:r>
        <w:t>S 01 Segmentvergleich</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92"/>
        <w:gridCol w:w="2592"/>
        <w:gridCol w:w="2592"/>
        <w:gridCol w:w="2592"/>
      </w:tblGrid>
      <w:tr>
        <w:trPr>
          <w:tblHeader w:val="true"/>
        </w:trPr>
        <w:tc>
          <w:tcPr>
            <w:tcW w:type="dxa" w:w="1701"/>
            <w:shd w:fill="17365D"/>
            <w:tcMar>
              <w:top w:w="90" w:type="dxa"/>
              <w:start w:w="110" w:type="dxa"/>
              <w:bottom w:w="90" w:type="dxa"/>
              <w:end w:w="110" w:type="dxa"/>
            </w:tcMar>
            <w:vAlign w:val="center"/>
          </w:tcPr>
          <w:p>
            <w:pPr>
              <w:jc w:val="center"/>
            </w:pPr>
            <w:r>
              <w:rPr>
                <w:rFonts w:ascii="Aptos" w:hAnsi="Aptos"/>
                <w:b/>
                <w:i w:val="0"/>
                <w:color w:val="FFFFFF"/>
                <w:sz w:val="15"/>
              </w:rPr>
              <w:t>Segment</w:t>
            </w:r>
          </w:p>
        </w:tc>
        <w:tc>
          <w:tcPr>
            <w:tcW w:type="dxa" w:w="1474"/>
            <w:shd w:fill="17365D"/>
            <w:tcMar>
              <w:top w:w="90" w:type="dxa"/>
              <w:start w:w="110" w:type="dxa"/>
              <w:bottom w:w="90" w:type="dxa"/>
              <w:end w:w="110" w:type="dxa"/>
            </w:tcMar>
            <w:vAlign w:val="center"/>
          </w:tcPr>
          <w:p>
            <w:pPr>
              <w:jc w:val="center"/>
            </w:pPr>
            <w:r>
              <w:rPr>
                <w:rFonts w:ascii="Aptos" w:hAnsi="Aptos"/>
                <w:b/>
                <w:i w:val="0"/>
                <w:color w:val="FFFFFF"/>
                <w:sz w:val="15"/>
              </w:rPr>
              <w:t>Zeitraum</w:t>
            </w:r>
          </w:p>
        </w:tc>
        <w:tc>
          <w:tcPr>
            <w:tcW w:type="dxa" w:w="3742"/>
            <w:shd w:fill="17365D"/>
            <w:tcMar>
              <w:top w:w="90" w:type="dxa"/>
              <w:start w:w="110" w:type="dxa"/>
              <w:bottom w:w="90" w:type="dxa"/>
              <w:end w:w="110" w:type="dxa"/>
            </w:tcMar>
            <w:vAlign w:val="center"/>
          </w:tcPr>
          <w:p>
            <w:pPr>
              <w:jc w:val="center"/>
            </w:pPr>
            <w:r>
              <w:rPr>
                <w:rFonts w:ascii="Aptos" w:hAnsi="Aptos"/>
                <w:b/>
                <w:i w:val="0"/>
                <w:color w:val="FFFFFF"/>
                <w:sz w:val="15"/>
              </w:rPr>
              <w:t>Methode</w:t>
            </w:r>
          </w:p>
        </w:tc>
        <w:tc>
          <w:tcPr>
            <w:tcW w:type="dxa" w:w="2948"/>
            <w:shd w:fill="17365D"/>
            <w:tcMar>
              <w:top w:w="90" w:type="dxa"/>
              <w:start w:w="110" w:type="dxa"/>
              <w:bottom w:w="90" w:type="dxa"/>
              <w:end w:w="110" w:type="dxa"/>
            </w:tcMar>
            <w:vAlign w:val="center"/>
          </w:tcPr>
          <w:p>
            <w:pPr>
              <w:jc w:val="center"/>
            </w:pPr>
            <w:r>
              <w:rPr>
                <w:rFonts w:ascii="Aptos" w:hAnsi="Aptos"/>
                <w:b/>
                <w:i w:val="0"/>
                <w:color w:val="FFFFFF"/>
                <w:sz w:val="15"/>
              </w:rPr>
              <w:t>Wichtigste Unsicherheit</w:t>
            </w:r>
          </w:p>
        </w:tc>
      </w:tr>
      <w:tr>
        <w:tc>
          <w:tcPr>
            <w:tcW w:type="dxa" w:w="1701"/>
            <w:tcMar>
              <w:top w:w="90" w:type="dxa"/>
              <w:start w:w="110" w:type="dxa"/>
              <w:bottom w:w="90" w:type="dxa"/>
              <w:end w:w="110" w:type="dxa"/>
            </w:tcMar>
            <w:vAlign w:val="center"/>
          </w:tcPr>
          <w:p>
            <w:pPr>
              <w:jc w:val="center"/>
            </w:pPr>
            <w:r>
              <w:rPr>
                <w:rFonts w:ascii="Aptos" w:hAnsi="Aptos"/>
                <w:b w:val="0"/>
                <w:i w:val="0"/>
                <w:sz w:val="15"/>
              </w:rPr>
              <w:t>Rekonstruktion</w:t>
            </w:r>
          </w:p>
        </w:tc>
        <w:tc>
          <w:tcPr>
            <w:tcW w:type="dxa" w:w="1474"/>
            <w:tcMar>
              <w:top w:w="90" w:type="dxa"/>
              <w:start w:w="110" w:type="dxa"/>
              <w:bottom w:w="90" w:type="dxa"/>
              <w:end w:w="110" w:type="dxa"/>
            </w:tcMar>
            <w:vAlign w:val="center"/>
          </w:tcPr>
          <w:p>
            <w:pPr>
              <w:jc w:val="left"/>
            </w:pPr>
            <w:r>
              <w:rPr>
                <w:rFonts w:ascii="Aptos" w:hAnsi="Aptos"/>
                <w:b w:val="0"/>
                <w:i w:val="0"/>
                <w:sz w:val="15"/>
              </w:rPr>
              <w:t>1700–1849</w:t>
            </w:r>
          </w:p>
        </w:tc>
        <w:tc>
          <w:tcPr>
            <w:tcW w:type="dxa" w:w="3742"/>
            <w:tcMar>
              <w:top w:w="90" w:type="dxa"/>
              <w:start w:w="110" w:type="dxa"/>
              <w:bottom w:w="90" w:type="dxa"/>
              <w:end w:w="110" w:type="dxa"/>
            </w:tcMar>
            <w:vAlign w:val="center"/>
          </w:tcPr>
          <w:p>
            <w:pPr>
              <w:jc w:val="left"/>
            </w:pPr>
            <w:r>
              <w:rPr>
                <w:rFonts w:ascii="Aptos" w:hAnsi="Aptos"/>
                <w:b w:val="0"/>
                <w:i w:val="0"/>
                <w:sz w:val="15"/>
              </w:rPr>
              <w:t>Median eines methodenübergreifenden PAGES2k-Ensembles mit 7000 Mitgliedern</w:t>
            </w:r>
          </w:p>
        </w:tc>
        <w:tc>
          <w:tcPr>
            <w:tcW w:type="dxa" w:w="2948"/>
            <w:tcMar>
              <w:top w:w="90" w:type="dxa"/>
              <w:start w:w="110" w:type="dxa"/>
              <w:bottom w:w="90" w:type="dxa"/>
              <w:end w:w="110" w:type="dxa"/>
            </w:tcMar>
            <w:vAlign w:val="center"/>
          </w:tcPr>
          <w:p>
            <w:pPr>
              <w:jc w:val="left"/>
            </w:pPr>
            <w:r>
              <w:rPr>
                <w:rFonts w:ascii="Aptos" w:hAnsi="Aptos"/>
                <w:b w:val="0"/>
                <w:i w:val="0"/>
                <w:sz w:val="15"/>
              </w:rPr>
              <w:t>Proxybasierte Rekonstruktion; breiter 95-%-Bereich, keine direkte Thermometermessung</w:t>
            </w:r>
          </w:p>
        </w:tc>
      </w:tr>
      <w:tr>
        <w:tc>
          <w:tcPr>
            <w:tcW w:type="dxa" w:w="1701"/>
            <w:tcMar>
              <w:top w:w="90" w:type="dxa"/>
              <w:start w:w="110" w:type="dxa"/>
              <w:bottom w:w="90" w:type="dxa"/>
              <w:end w:w="110" w:type="dxa"/>
            </w:tcMar>
            <w:vAlign w:val="center"/>
            <w:shd w:fill="EAF2F8"/>
          </w:tcPr>
          <w:p>
            <w:pPr>
              <w:jc w:val="center"/>
            </w:pPr>
            <w:r>
              <w:rPr>
                <w:rFonts w:ascii="Aptos" w:hAnsi="Aptos"/>
                <w:b w:val="0"/>
                <w:i w:val="0"/>
                <w:sz w:val="15"/>
              </w:rPr>
              <w:t>Beobachtung</w:t>
            </w:r>
          </w:p>
        </w:tc>
        <w:tc>
          <w:tcPr>
            <w:tcW w:type="dxa" w:w="1474"/>
            <w:tcMar>
              <w:top w:w="90" w:type="dxa"/>
              <w:start w:w="110" w:type="dxa"/>
              <w:bottom w:w="90" w:type="dxa"/>
              <w:end w:w="110" w:type="dxa"/>
            </w:tcMar>
            <w:vAlign w:val="center"/>
            <w:shd w:fill="EAF2F8"/>
          </w:tcPr>
          <w:p>
            <w:pPr>
              <w:jc w:val="left"/>
            </w:pPr>
            <w:r>
              <w:rPr>
                <w:rFonts w:ascii="Aptos" w:hAnsi="Aptos"/>
                <w:b w:val="0"/>
                <w:i w:val="0"/>
                <w:sz w:val="15"/>
              </w:rPr>
              <w:t>1850–2025</w:t>
            </w:r>
          </w:p>
        </w:tc>
        <w:tc>
          <w:tcPr>
            <w:tcW w:type="dxa" w:w="3742"/>
            <w:tcMar>
              <w:top w:w="90" w:type="dxa"/>
              <w:start w:w="110" w:type="dxa"/>
              <w:bottom w:w="90" w:type="dxa"/>
              <w:end w:w="110" w:type="dxa"/>
            </w:tcMar>
            <w:vAlign w:val="center"/>
            <w:shd w:fill="EAF2F8"/>
          </w:tcPr>
          <w:p>
            <w:pPr>
              <w:jc w:val="left"/>
            </w:pPr>
            <w:r>
              <w:rPr>
                <w:rFonts w:ascii="Aptos" w:hAnsi="Aptos"/>
                <w:b w:val="0"/>
                <w:i w:val="0"/>
                <w:sz w:val="15"/>
              </w:rPr>
              <w:t>HadCRUT5 kombiniert Landluft- und Meeresoberflächentemperaturen und statistische räumliche Ergänzung</w:t>
            </w:r>
          </w:p>
        </w:tc>
        <w:tc>
          <w:tcPr>
            <w:tcW w:type="dxa" w:w="2948"/>
            <w:tcMar>
              <w:top w:w="90" w:type="dxa"/>
              <w:start w:w="110" w:type="dxa"/>
              <w:bottom w:w="90" w:type="dxa"/>
              <w:end w:w="110" w:type="dxa"/>
            </w:tcMar>
            <w:vAlign w:val="center"/>
            <w:shd w:fill="EAF2F8"/>
          </w:tcPr>
          <w:p>
            <w:pPr>
              <w:jc w:val="left"/>
            </w:pPr>
            <w:r>
              <w:rPr>
                <w:rFonts w:ascii="Aptos" w:hAnsi="Aptos"/>
                <w:b w:val="0"/>
                <w:i w:val="0"/>
                <w:sz w:val="15"/>
              </w:rPr>
              <w:t>Mess-, Stichproben-, Homogenisierungs- und Abdeckungsunsicherheit</w:t>
            </w:r>
          </w:p>
        </w:tc>
      </w:tr>
      <w:tr>
        <w:tc>
          <w:tcPr>
            <w:tcW w:type="dxa" w:w="1701"/>
            <w:tcMar>
              <w:top w:w="90" w:type="dxa"/>
              <w:start w:w="110" w:type="dxa"/>
              <w:bottom w:w="90" w:type="dxa"/>
              <w:end w:w="110" w:type="dxa"/>
            </w:tcMar>
            <w:vAlign w:val="center"/>
          </w:tcPr>
          <w:p>
            <w:pPr>
              <w:jc w:val="center"/>
            </w:pPr>
            <w:r>
              <w:rPr>
                <w:rFonts w:ascii="Aptos" w:hAnsi="Aptos"/>
                <w:b w:val="0"/>
                <w:i w:val="0"/>
                <w:sz w:val="15"/>
              </w:rPr>
              <w:t>Projektion</w:t>
            </w:r>
          </w:p>
        </w:tc>
        <w:tc>
          <w:tcPr>
            <w:tcW w:type="dxa" w:w="1474"/>
            <w:tcMar>
              <w:top w:w="90" w:type="dxa"/>
              <w:start w:w="110" w:type="dxa"/>
              <w:bottom w:w="90" w:type="dxa"/>
              <w:end w:w="110" w:type="dxa"/>
            </w:tcMar>
            <w:vAlign w:val="center"/>
          </w:tcPr>
          <w:p>
            <w:pPr>
              <w:jc w:val="left"/>
            </w:pPr>
            <w:r>
              <w:rPr>
                <w:rFonts w:ascii="Aptos" w:hAnsi="Aptos"/>
                <w:b w:val="0"/>
                <w:i w:val="0"/>
                <w:sz w:val="15"/>
              </w:rPr>
              <w:t>2021–2100</w:t>
            </w:r>
          </w:p>
        </w:tc>
        <w:tc>
          <w:tcPr>
            <w:tcW w:type="dxa" w:w="3742"/>
            <w:tcMar>
              <w:top w:w="90" w:type="dxa"/>
              <w:start w:w="110" w:type="dxa"/>
              <w:bottom w:w="90" w:type="dxa"/>
              <w:end w:w="110" w:type="dxa"/>
            </w:tcMar>
            <w:vAlign w:val="center"/>
          </w:tcPr>
          <w:p>
            <w:pPr>
              <w:jc w:val="left"/>
            </w:pPr>
            <w:r>
              <w:rPr>
                <w:rFonts w:ascii="Aptos" w:hAnsi="Aptos"/>
                <w:b w:val="0"/>
                <w:i w:val="0"/>
                <w:sz w:val="15"/>
              </w:rPr>
              <w:t>IPCC-Bestschätzungen für SSP1-1.9, SSP2-4.5 und SSP5-8.5; 20-Jahres-Mittel</w:t>
            </w:r>
          </w:p>
        </w:tc>
        <w:tc>
          <w:tcPr>
            <w:tcW w:type="dxa" w:w="2948"/>
            <w:tcMar>
              <w:top w:w="90" w:type="dxa"/>
              <w:start w:w="110" w:type="dxa"/>
              <w:bottom w:w="90" w:type="dxa"/>
              <w:end w:w="110" w:type="dxa"/>
            </w:tcMar>
            <w:vAlign w:val="center"/>
          </w:tcPr>
          <w:p>
            <w:pPr>
              <w:jc w:val="left"/>
            </w:pPr>
            <w:r>
              <w:rPr>
                <w:rFonts w:ascii="Aptos" w:hAnsi="Aptos"/>
                <w:b w:val="0"/>
                <w:i w:val="0"/>
                <w:sz w:val="15"/>
              </w:rPr>
              <w:t>Abhängig von Szenario, Modellantwort und natürlicher Variabilität; keine Einzeljahresvorhersage</w:t>
            </w:r>
          </w:p>
        </w:tc>
      </w:tr>
    </w:tbl>
    <w:p>
      <w:pPr>
        <w:spacing w:after="0"/>
      </w:pPr>
    </w:p>
    <w:p>
      <w:pPr>
        <w:pStyle w:val="Heading2"/>
        <w:keepNext/>
      </w:pPr>
      <w:r>
        <w:t>S 02 Übergang von Rekonstruktion zu Beobachtung</w:t>
      </w:r>
    </w:p>
    <w:p>
      <w:r>
        <w:rPr>
          <w:rFonts w:ascii="Aptos" w:hAnsi="Aptos"/>
          <w:b w:val="0"/>
          <w:i w:val="0"/>
        </w:rPr>
        <w:t>Zwischen 1849 und 1850 wechselt die Datenbasis von indirekten Klima-Proxys und statistischen Rekonstruktionsmethoden zu instrumentellen Land- und Meeresbeobachtungen. Beide Segmente sind auf 1850–1900 bezogen, wurden dafür aber getrennt neu zentriert. Ein Unterschied am Übergang darf daher nicht als exakter Temperatursprung gelesen werden.</w:t>
      </w:r>
    </w:p>
    <w:p>
      <w:pPr>
        <w:pStyle w:val="Heading2"/>
        <w:keepNext/>
      </w:pPr>
      <w:r>
        <w:t>S 03 Übergang von Beobachtung zu Projektion</w:t>
      </w:r>
    </w:p>
    <w:p>
      <w:r>
        <w:rPr>
          <w:rFonts w:ascii="Aptos" w:hAnsi="Aptos"/>
          <w:b w:val="0"/>
          <w:i w:val="0"/>
        </w:rPr>
        <w:t>Ab 2021 überlappen Messzeitraum und Projektionszeiträume. Die Projektionspunkte bezeichnen Mittelwerte von 20 Jahren und keine Messung im Mittelpunktjahr. Die nahe Zukunft unterscheidet sich zwischen den Szenarien zunächst wenig; bis 2081–2100 weichen die Bestschätzungen deutlich auseinander.</w:t>
      </w:r>
    </w:p>
    <w:p>
      <w:pPr>
        <w:pStyle w:val="Heading2"/>
        <w:keepNext/>
      </w:pPr>
      <w:r>
        <w:t>S 04 Merksatz</w:t>
      </w:r>
    </w:p>
    <w:p>
      <w:r>
        <w:rPr>
          <w:rFonts w:ascii="Aptos" w:hAnsi="Aptos"/>
          <w:b w:val="0"/>
          <w:i w:val="0"/>
        </w:rPr>
        <w:t>Ab 1850 ändert sich die Methode von Rekonstruktion zu instrumenteller Beobachtung. Für die Zukunft ändert sie sich zu szenariobasierter Modellprojektion. Deshalb bilden die drei Segmente eine gemeinsame Temperaturgröße ab, besitzen aber unterschiedliche Evidenz, zeitliche Auflösung und Unsicherheit.</w:t>
      </w:r>
    </w:p>
    <w:p>
      <w:pPr>
        <w:pStyle w:val="Heading2"/>
        <w:keepNext/>
      </w:pPr>
      <w:r>
        <w:t>S 05 Verständlichkeit der Darstellung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57"/>
        <w:gridCol w:w="3457"/>
        <w:gridCol w:w="3457"/>
      </w:tblGrid>
      <w:tr>
        <w:trPr>
          <w:tblHeader w:val="true"/>
        </w:trPr>
        <w:tc>
          <w:tcPr>
            <w:tcW w:type="dxa" w:w="3969"/>
            <w:shd w:fill="17365D"/>
            <w:tcMar>
              <w:top w:w="90" w:type="dxa"/>
              <w:start w:w="110" w:type="dxa"/>
              <w:bottom w:w="90" w:type="dxa"/>
              <w:end w:w="110" w:type="dxa"/>
            </w:tcMar>
            <w:vAlign w:val="center"/>
          </w:tcPr>
          <w:p>
            <w:pPr>
              <w:jc w:val="center"/>
            </w:pPr>
            <w:r>
              <w:rPr>
                <w:rFonts w:ascii="Aptos" w:hAnsi="Aptos"/>
                <w:b/>
                <w:i w:val="0"/>
                <w:color w:val="FFFFFF"/>
                <w:sz w:val="16"/>
              </w:rPr>
              <w:t>Prüffrage</w:t>
            </w:r>
          </w:p>
        </w:tc>
        <w:tc>
          <w:tcPr>
            <w:tcW w:type="dxa" w:w="1134"/>
            <w:shd w:fill="17365D"/>
            <w:tcMar>
              <w:top w:w="90" w:type="dxa"/>
              <w:start w:w="110" w:type="dxa"/>
              <w:bottom w:w="90" w:type="dxa"/>
              <w:end w:w="110" w:type="dxa"/>
            </w:tcMar>
            <w:vAlign w:val="center"/>
          </w:tcPr>
          <w:p>
            <w:pPr>
              <w:jc w:val="center"/>
            </w:pPr>
            <w:r>
              <w:rPr>
                <w:rFonts w:ascii="Aptos" w:hAnsi="Aptos"/>
                <w:b/>
                <w:i w:val="0"/>
                <w:color w:val="FFFFFF"/>
                <w:sz w:val="16"/>
              </w:rPr>
              <w:t>Ampel</w:t>
            </w:r>
          </w:p>
        </w:tc>
        <w:tc>
          <w:tcPr>
            <w:tcW w:type="dxa" w:w="4309"/>
            <w:shd w:fill="17365D"/>
            <w:tcMar>
              <w:top w:w="90" w:type="dxa"/>
              <w:start w:w="110" w:type="dxa"/>
              <w:bottom w:w="90" w:type="dxa"/>
              <w:end w:w="110" w:type="dxa"/>
            </w:tcMar>
            <w:vAlign w:val="center"/>
          </w:tcPr>
          <w:p>
            <w:pPr>
              <w:jc w:val="center"/>
            </w:pPr>
            <w:r>
              <w:rPr>
                <w:rFonts w:ascii="Aptos" w:hAnsi="Aptos"/>
                <w:b/>
                <w:i w:val="0"/>
                <w:color w:val="FFFFFF"/>
                <w:sz w:val="16"/>
              </w:rPr>
              <w:t>Kurzbegründung</w:t>
            </w:r>
          </w:p>
        </w:tc>
      </w:tr>
      <w:tr>
        <w:tc>
          <w:tcPr>
            <w:tcW w:type="dxa" w:w="3969"/>
            <w:tcMar>
              <w:top w:w="90" w:type="dxa"/>
              <w:start w:w="110" w:type="dxa"/>
              <w:bottom w:w="90" w:type="dxa"/>
              <w:end w:w="110" w:type="dxa"/>
            </w:tcMar>
            <w:vAlign w:val="center"/>
          </w:tcPr>
          <w:p>
            <w:pPr>
              <w:jc w:val="center"/>
            </w:pPr>
            <w:r>
              <w:rPr>
                <w:rFonts w:ascii="Aptos" w:hAnsi="Aptos"/>
                <w:b w:val="0"/>
                <w:i w:val="0"/>
                <w:sz w:val="16"/>
              </w:rPr>
              <w:t>Sind die drei Datentypen unterscheidbar</w:t>
            </w:r>
          </w:p>
        </w:tc>
        <w:tc>
          <w:tcPr>
            <w:tcW w:type="dxa" w:w="1134"/>
            <w:tcMar>
              <w:top w:w="90" w:type="dxa"/>
              <w:start w:w="110" w:type="dxa"/>
              <w:bottom w:w="90" w:type="dxa"/>
              <w:end w:w="110" w:type="dxa"/>
            </w:tcMar>
            <w:vAlign w:val="center"/>
          </w:tcPr>
          <w:p>
            <w:pPr>
              <w:jc w:val="left"/>
            </w:pPr>
            <w:r>
              <w:rPr>
                <w:rFonts w:ascii="Aptos" w:hAnsi="Aptos"/>
                <w:b w:val="0"/>
                <w:i w:val="0"/>
                <w:sz w:val="16"/>
              </w:rPr>
              <w:t>Grün</w:t>
            </w:r>
          </w:p>
        </w:tc>
        <w:tc>
          <w:tcPr>
            <w:tcW w:type="dxa" w:w="4309"/>
            <w:tcMar>
              <w:top w:w="90" w:type="dxa"/>
              <w:start w:w="110" w:type="dxa"/>
              <w:bottom w:w="90" w:type="dxa"/>
              <w:end w:w="110" w:type="dxa"/>
            </w:tcMar>
            <w:vAlign w:val="center"/>
          </w:tcPr>
          <w:p>
            <w:pPr>
              <w:jc w:val="left"/>
            </w:pPr>
            <w:r>
              <w:rPr>
                <w:rFonts w:ascii="Aptos" w:hAnsi="Aptos"/>
                <w:b w:val="0"/>
                <w:i w:val="0"/>
                <w:sz w:val="16"/>
              </w:rPr>
              <w:t>Segmente und Szenarien sind in den technischen Details bezeichnet.</w:t>
            </w:r>
          </w:p>
        </w:tc>
      </w:tr>
      <w:tr>
        <w:tc>
          <w:tcPr>
            <w:tcW w:type="dxa" w:w="3969"/>
            <w:tcMar>
              <w:top w:w="90" w:type="dxa"/>
              <w:start w:w="110" w:type="dxa"/>
              <w:bottom w:w="90" w:type="dxa"/>
              <w:end w:w="110" w:type="dxa"/>
            </w:tcMar>
            <w:vAlign w:val="center"/>
            <w:shd w:fill="EAF2F8"/>
          </w:tcPr>
          <w:p>
            <w:pPr>
              <w:jc w:val="center"/>
            </w:pPr>
            <w:r>
              <w:rPr>
                <w:rFonts w:ascii="Aptos" w:hAnsi="Aptos"/>
                <w:b w:val="0"/>
                <w:i w:val="0"/>
                <w:sz w:val="16"/>
              </w:rPr>
              <w:t>Ist die zeitliche Überlappung verständlich</w:t>
            </w:r>
          </w:p>
        </w:tc>
        <w:tc>
          <w:tcPr>
            <w:tcW w:type="dxa" w:w="1134"/>
            <w:tcMar>
              <w:top w:w="90" w:type="dxa"/>
              <w:start w:w="110" w:type="dxa"/>
              <w:bottom w:w="90" w:type="dxa"/>
              <w:end w:w="110" w:type="dxa"/>
            </w:tcMar>
            <w:vAlign w:val="center"/>
            <w:shd w:fill="EAF2F8"/>
          </w:tcPr>
          <w:p>
            <w:pPr>
              <w:jc w:val="left"/>
            </w:pPr>
            <w:r>
              <w:rPr>
                <w:rFonts w:ascii="Aptos" w:hAnsi="Aptos"/>
                <w:b w:val="0"/>
                <w:i w:val="0"/>
                <w:sz w:val="16"/>
              </w:rPr>
              <w:t>Gelb</w:t>
            </w:r>
          </w:p>
        </w:tc>
        <w:tc>
          <w:tcPr>
            <w:tcW w:type="dxa" w:w="4309"/>
            <w:tcMar>
              <w:top w:w="90" w:type="dxa"/>
              <w:start w:w="110" w:type="dxa"/>
              <w:bottom w:w="90" w:type="dxa"/>
              <w:end w:w="110" w:type="dxa"/>
            </w:tcMar>
            <w:vAlign w:val="center"/>
            <w:shd w:fill="EAF2F8"/>
          </w:tcPr>
          <w:p>
            <w:pPr>
              <w:jc w:val="left"/>
            </w:pPr>
            <w:r>
              <w:rPr>
                <w:rFonts w:ascii="Aptos" w:hAnsi="Aptos"/>
                <w:b w:val="0"/>
                <w:i w:val="0"/>
                <w:sz w:val="16"/>
              </w:rPr>
              <w:t>2021–2025 sind Messwerte vorhanden, während der erste Projektionspunkt ein Mittel 2021–2040 bezeichnet.</w:t>
            </w:r>
          </w:p>
        </w:tc>
      </w:tr>
      <w:tr>
        <w:tc>
          <w:tcPr>
            <w:tcW w:type="dxa" w:w="3969"/>
            <w:tcMar>
              <w:top w:w="90" w:type="dxa"/>
              <w:start w:w="110" w:type="dxa"/>
              <w:bottom w:w="90" w:type="dxa"/>
              <w:end w:w="110" w:type="dxa"/>
            </w:tcMar>
            <w:vAlign w:val="center"/>
          </w:tcPr>
          <w:p>
            <w:pPr>
              <w:jc w:val="center"/>
            </w:pPr>
            <w:r>
              <w:rPr>
                <w:rFonts w:ascii="Aptos" w:hAnsi="Aptos"/>
                <w:b w:val="0"/>
                <w:i w:val="0"/>
                <w:sz w:val="16"/>
              </w:rPr>
              <w:t>Ist der Methodenwechsel sofort sichtbar</w:t>
            </w:r>
          </w:p>
        </w:tc>
        <w:tc>
          <w:tcPr>
            <w:tcW w:type="dxa" w:w="1134"/>
            <w:tcMar>
              <w:top w:w="90" w:type="dxa"/>
              <w:start w:w="110" w:type="dxa"/>
              <w:bottom w:w="90" w:type="dxa"/>
              <w:end w:w="110" w:type="dxa"/>
            </w:tcMar>
            <w:vAlign w:val="center"/>
          </w:tcPr>
          <w:p>
            <w:pPr>
              <w:jc w:val="left"/>
            </w:pPr>
            <w:r>
              <w:rPr>
                <w:rFonts w:ascii="Aptos" w:hAnsi="Aptos"/>
                <w:b w:val="0"/>
                <w:i w:val="0"/>
                <w:sz w:val="16"/>
              </w:rPr>
              <w:t>Gelb</w:t>
            </w:r>
          </w:p>
        </w:tc>
        <w:tc>
          <w:tcPr>
            <w:tcW w:type="dxa" w:w="4309"/>
            <w:tcMar>
              <w:top w:w="90" w:type="dxa"/>
              <w:start w:w="110" w:type="dxa"/>
              <w:bottom w:w="90" w:type="dxa"/>
              <w:end w:w="110" w:type="dxa"/>
            </w:tcMar>
            <w:vAlign w:val="center"/>
          </w:tcPr>
          <w:p>
            <w:pPr>
              <w:jc w:val="left"/>
            </w:pPr>
            <w:r>
              <w:rPr>
                <w:rFonts w:ascii="Aptos" w:hAnsi="Aptos"/>
                <w:b w:val="0"/>
                <w:i w:val="0"/>
                <w:sz w:val="16"/>
              </w:rPr>
              <w:t>Die Erklärung ist vorhanden, könnte aber direkt an den Übergängen deutlicher erscheinen.</w:t>
            </w:r>
          </w:p>
        </w:tc>
      </w:tr>
    </w:tbl>
    <w:p>
      <w:pPr>
        <w:spacing w:after="0"/>
      </w:pPr>
    </w:p>
    <w:p>
      <w:r>
        <w:br w:type="page"/>
      </w:r>
    </w:p>
    <w:p>
      <w:pPr>
        <w:pStyle w:val="Heading1"/>
        <w:keepNext/>
      </w:pPr>
      <w:r>
        <w:t>Bedeutung und Baubezug</w:t>
      </w:r>
    </w:p>
    <w:p>
      <w:pPr>
        <w:pStyle w:val="Heading2"/>
        <w:keepNext/>
      </w:pPr>
      <w:r>
        <w:t>B 01 Bedeutung des gesamten Verlaufs</w:t>
      </w:r>
    </w:p>
    <w:p>
      <w:r>
        <w:rPr>
          <w:rFonts w:ascii="Aptos" w:hAnsi="Aptos"/>
          <w:b w:val="0"/>
          <w:i w:val="0"/>
        </w:rPr>
        <w:t>Die Rekonstruktion ordnet die vorindustriellen Schwankungen ein. Die instrumentelle Reihe zeigt eine deutliche Erwärmung, die in den jüngsten Jahren weit über den Schwankungsbereich des historischen Segments hinausreicht. Die Zukunftssegmente zeigen keinen feststehenden Verlauf, sondern unterschiedliche mögliche Erwärmungsniveaus unter verschiedenen Emissionspfaden.</w:t>
      </w:r>
    </w:p>
    <w:p>
      <w:pPr>
        <w:pStyle w:val="Heading2"/>
        <w:keepNext/>
      </w:pPr>
      <w:r>
        <w:t>B 02 Sicherheit der Aussagen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85"/>
        <w:gridCol w:w="5185"/>
      </w:tblGrid>
      <w:tr>
        <w:trPr>
          <w:tblHeader w:val="true"/>
        </w:trPr>
        <w:tc>
          <w:tcPr>
            <w:tcW w:type="dxa" w:w="2268"/>
            <w:shd w:fill="17365D"/>
            <w:tcMar>
              <w:top w:w="90" w:type="dxa"/>
              <w:start w:w="110" w:type="dxa"/>
              <w:bottom w:w="90" w:type="dxa"/>
              <w:end w:w="110" w:type="dxa"/>
            </w:tcMar>
            <w:vAlign w:val="center"/>
          </w:tcPr>
          <w:p>
            <w:pPr>
              <w:jc w:val="center"/>
            </w:pPr>
            <w:r>
              <w:rPr>
                <w:rFonts w:ascii="Aptos" w:hAnsi="Aptos"/>
                <w:b/>
                <w:i w:val="0"/>
                <w:color w:val="FFFFFF"/>
                <w:sz w:val="16"/>
              </w:rPr>
              <w:t>Aussageart</w:t>
            </w:r>
          </w:p>
        </w:tc>
        <w:tc>
          <w:tcPr>
            <w:tcW w:type="dxa" w:w="7370"/>
            <w:shd w:fill="17365D"/>
            <w:tcMar>
              <w:top w:w="90" w:type="dxa"/>
              <w:start w:w="110" w:type="dxa"/>
              <w:bottom w:w="90" w:type="dxa"/>
              <w:end w:w="110" w:type="dxa"/>
            </w:tcMar>
            <w:vAlign w:val="center"/>
          </w:tcPr>
          <w:p>
            <w:pPr>
              <w:jc w:val="center"/>
            </w:pPr>
            <w:r>
              <w:rPr>
                <w:rFonts w:ascii="Aptos" w:hAnsi="Aptos"/>
                <w:b/>
                <w:i w:val="0"/>
                <w:color w:val="FFFFFF"/>
                <w:sz w:val="16"/>
              </w:rPr>
              <w:t>Beispiel</w:t>
            </w:r>
          </w:p>
        </w:tc>
      </w:tr>
      <w:tr>
        <w:tc>
          <w:tcPr>
            <w:tcW w:type="dxa" w:w="2268"/>
            <w:tcMar>
              <w:top w:w="90" w:type="dxa"/>
              <w:start w:w="110" w:type="dxa"/>
              <w:bottom w:w="90" w:type="dxa"/>
              <w:end w:w="110" w:type="dxa"/>
            </w:tcMar>
            <w:vAlign w:val="center"/>
          </w:tcPr>
          <w:p>
            <w:pPr>
              <w:jc w:val="left"/>
            </w:pPr>
            <w:r>
              <w:rPr>
                <w:rFonts w:ascii="Aptos" w:hAnsi="Aptos"/>
                <w:b w:val="0"/>
                <w:i w:val="0"/>
                <w:sz w:val="16"/>
              </w:rPr>
              <w:t>Gut belegt</w:t>
            </w:r>
          </w:p>
        </w:tc>
        <w:tc>
          <w:tcPr>
            <w:tcW w:type="dxa" w:w="7370"/>
            <w:tcMar>
              <w:top w:w="90" w:type="dxa"/>
              <w:start w:w="110" w:type="dxa"/>
              <w:bottom w:w="90" w:type="dxa"/>
              <w:end w:w="110" w:type="dxa"/>
            </w:tcMar>
            <w:vAlign w:val="center"/>
          </w:tcPr>
          <w:p>
            <w:pPr>
              <w:jc w:val="left"/>
            </w:pPr>
            <w:r>
              <w:rPr>
                <w:rFonts w:ascii="Aptos" w:hAnsi="Aptos"/>
                <w:b w:val="0"/>
                <w:i w:val="0"/>
                <w:sz w:val="16"/>
              </w:rPr>
              <w:t>Die globale Mitteltemperatur ist gegenüber 1850–1900 deutlich gestiegen; HadCRUT5 weist 2025 rund +1,41 °C aus.</w:t>
            </w:r>
          </w:p>
        </w:tc>
      </w:tr>
      <w:tr>
        <w:tc>
          <w:tcPr>
            <w:tcW w:type="dxa" w:w="2268"/>
            <w:tcMar>
              <w:top w:w="90" w:type="dxa"/>
              <w:start w:w="110" w:type="dxa"/>
              <w:bottom w:w="90" w:type="dxa"/>
              <w:end w:w="110" w:type="dxa"/>
            </w:tcMar>
            <w:vAlign w:val="center"/>
            <w:shd w:fill="EAF2F8"/>
          </w:tcPr>
          <w:p>
            <w:pPr>
              <w:jc w:val="left"/>
            </w:pPr>
            <w:r>
              <w:rPr>
                <w:rFonts w:ascii="Aptos" w:hAnsi="Aptos"/>
                <w:b w:val="0"/>
                <w:i w:val="0"/>
                <w:sz w:val="16"/>
              </w:rPr>
              <w:t>Mit Einschränkung</w:t>
            </w:r>
          </w:p>
        </w:tc>
        <w:tc>
          <w:tcPr>
            <w:tcW w:type="dxa" w:w="7370"/>
            <w:tcMar>
              <w:top w:w="90" w:type="dxa"/>
              <w:start w:w="110" w:type="dxa"/>
              <w:bottom w:w="90" w:type="dxa"/>
              <w:end w:w="110" w:type="dxa"/>
            </w:tcMar>
            <w:vAlign w:val="center"/>
            <w:shd w:fill="EAF2F8"/>
          </w:tcPr>
          <w:p>
            <w:pPr>
              <w:jc w:val="left"/>
            </w:pPr>
            <w:r>
              <w:rPr>
                <w:rFonts w:ascii="Aptos" w:hAnsi="Aptos"/>
                <w:b w:val="0"/>
                <w:i w:val="0"/>
                <w:sz w:val="16"/>
              </w:rPr>
              <w:t>Die drei ausgewählten SSPs zeigen eine Spannweite möglicher langfristiger Entwicklungen; sie sind keine Wahrscheinlichkeitsrangfolge.</w:t>
            </w:r>
          </w:p>
        </w:tc>
      </w:tr>
      <w:tr>
        <w:tc>
          <w:tcPr>
            <w:tcW w:type="dxa" w:w="2268"/>
            <w:tcMar>
              <w:top w:w="90" w:type="dxa"/>
              <w:start w:w="110" w:type="dxa"/>
              <w:bottom w:w="90" w:type="dxa"/>
              <w:end w:w="110" w:type="dxa"/>
            </w:tcMar>
            <w:vAlign w:val="center"/>
          </w:tcPr>
          <w:p>
            <w:pPr>
              <w:jc w:val="left"/>
            </w:pPr>
            <w:r>
              <w:rPr>
                <w:rFonts w:ascii="Aptos" w:hAnsi="Aptos"/>
                <w:b w:val="0"/>
                <w:i w:val="0"/>
                <w:sz w:val="16"/>
              </w:rPr>
              <w:t>Nicht ableitbar</w:t>
            </w:r>
          </w:p>
        </w:tc>
        <w:tc>
          <w:tcPr>
            <w:tcW w:type="dxa" w:w="7370"/>
            <w:tcMar>
              <w:top w:w="90" w:type="dxa"/>
              <w:start w:w="110" w:type="dxa"/>
              <w:bottom w:w="90" w:type="dxa"/>
              <w:end w:w="110" w:type="dxa"/>
            </w:tcMar>
            <w:vAlign w:val="center"/>
          </w:tcPr>
          <w:p>
            <w:pPr>
              <w:jc w:val="left"/>
            </w:pPr>
            <w:r>
              <w:rPr>
                <w:rFonts w:ascii="Aptos" w:hAnsi="Aptos"/>
                <w:b w:val="0"/>
                <w:i w:val="0"/>
                <w:sz w:val="16"/>
              </w:rPr>
              <w:t>Die Kurve sagt nicht, welche Temperatur an einem bestimmten Ort oder in einem einzelnen Gebäude auftreten wird.</w:t>
            </w:r>
          </w:p>
        </w:tc>
      </w:tr>
    </w:tbl>
    <w:p>
      <w:pPr>
        <w:spacing w:after="0"/>
      </w:pPr>
    </w:p>
    <w:p>
      <w:pPr>
        <w:pStyle w:val="Heading2"/>
        <w:keepNext/>
      </w:pPr>
      <w:r>
        <w:t>B 03 Beispiel für den Baubezug</w:t>
      </w:r>
    </w:p>
    <w:p>
      <w:r>
        <w:rPr>
          <w:rFonts w:ascii="Aptos" w:hAnsi="Aptos"/>
          <w:b w:val="0"/>
          <w:i w:val="0"/>
        </w:rPr>
        <w:t>Steigende globale Temperaturen erhöhen in vielen Regionen den Kühlbedarf und das Risiko sommerlicher Überhitzung. Für Gebäude können daraus Anforderungen an Verschattung, Fensterflächen, Speichermasse, Nachtlüftung, Begrünung und effiziente Kühlung entstehen. Zugleich kann in kalten Regionen der Heizbedarf sinken. Welche Maßnahme an einem konkreten Standort sinnvoll ist, muss mit regionalen Klimaprojektionen und gebäudespezifischen Randbedingungen geprüft werden.</w:t>
      </w:r>
    </w:p>
    <w:p>
      <w:pPr>
        <w:pStyle w:val="Heading2"/>
        <w:keepNext/>
      </w:pPr>
      <w:r>
        <w:t>B 04 Konkrete Arbeitsfrage</w:t>
      </w:r>
    </w:p>
    <w:p>
      <w:r>
        <w:rPr>
          <w:rFonts w:ascii="Aptos" w:hAnsi="Aptos"/>
          <w:b w:val="0"/>
          <w:i w:val="0"/>
        </w:rPr>
        <w:t>Beispiel: Reicht der bisherige sommerliche Wärmeschutz eines geplanten Gebäudes auch für künftige Lübecker Sommer? Die globale Kurve liefert den Hintergrund, aber noch keine Bemessungsdaten. Benötigt werden mindestens regionale Klimadaten, Nutzung, Bauweise, Verschattung, interne Lasten und eine geeignete Überhitzungsberechnung.</w:t>
      </w:r>
    </w:p>
    <w:p>
      <w:pPr>
        <w:pStyle w:val="Heading2"/>
        <w:keepNext/>
      </w:pPr>
      <w:r>
        <w:t>B 05 Gefahr einer Fehlinterpretation</w:t>
      </w:r>
    </w:p>
    <w:p>
      <w:r>
        <w:rPr>
          <w:rFonts w:ascii="Aptos" w:hAnsi="Aptos"/>
          <w:b w:val="0"/>
          <w:i w:val="0"/>
        </w:rPr>
        <w:t>Aus +1,41 °C globaler Temperaturänderung darf nicht geschlossen werden, dass jeder Ort oder jeder Sommertag genau 1,41 °C wärmer ist. Globale Jahresmittel, regionale Veränderungen und Extremereignisse sind unterschiedliche Größen.</w:t>
      </w:r>
    </w:p>
    <w:p>
      <w:pPr>
        <w:pStyle w:val="Heading2"/>
        <w:keepNext/>
      </w:pPr>
      <w:r>
        <w:t>Auftrag an die Studierenden</w:t>
      </w:r>
    </w:p>
    <w:p>
      <w:r>
        <w:rPr>
          <w:rFonts w:ascii="Aptos" w:hAnsi="Aptos"/>
          <w:b w:val="0"/>
          <w:i w:val="0"/>
        </w:rPr>
        <w:t>Im echten Gruppenbericht wird hier ein selbst recherchiertes Bau- oder Praxisbeispiel mit mindestens einer zusätzlichen Fachquelle ergänzt. Der Zusammenhang muss als belegt, begründet übertragen oder noch offen gekennzeichnet werden.</w:t>
      </w:r>
    </w:p>
    <w:p>
      <w:r>
        <w:br w:type="page"/>
      </w:r>
    </w:p>
    <w:p>
      <w:pPr>
        <w:pStyle w:val="Heading1"/>
        <w:keepNext/>
      </w:pPr>
      <w:r>
        <w:t>Wechselwirkungen und Verbesserungen</w:t>
      </w:r>
    </w:p>
    <w:p>
      <w:pPr>
        <w:pStyle w:val="Heading2"/>
        <w:keepNext/>
      </w:pPr>
      <w:r>
        <w:t>W 01 Verbindungen zu anderen Kurven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92"/>
        <w:gridCol w:w="2592"/>
        <w:gridCol w:w="2592"/>
        <w:gridCol w:w="2592"/>
      </w:tblGrid>
      <w:tr>
        <w:trPr>
          <w:tblHeader w:val="true"/>
        </w:trPr>
        <w:tc>
          <w:tcPr>
            <w:tcW w:type="dxa" w:w="1984"/>
            <w:shd w:fill="17365D"/>
            <w:tcMar>
              <w:top w:w="90" w:type="dxa"/>
              <w:start w:w="110" w:type="dxa"/>
              <w:bottom w:w="90" w:type="dxa"/>
              <w:end w:w="110" w:type="dxa"/>
            </w:tcMar>
            <w:vAlign w:val="center"/>
          </w:tcPr>
          <w:p>
            <w:pPr>
              <w:jc w:val="center"/>
            </w:pPr>
            <w:r>
              <w:rPr>
                <w:rFonts w:ascii="Aptos" w:hAnsi="Aptos"/>
                <w:b/>
                <w:i w:val="0"/>
                <w:color w:val="FFFFFF"/>
                <w:sz w:val="15"/>
              </w:rPr>
              <w:t>Andere Kurve</w:t>
            </w:r>
          </w:p>
        </w:tc>
        <w:tc>
          <w:tcPr>
            <w:tcW w:type="dxa" w:w="4989"/>
            <w:shd w:fill="17365D"/>
            <w:tcMar>
              <w:top w:w="90" w:type="dxa"/>
              <w:start w:w="110" w:type="dxa"/>
              <w:bottom w:w="90" w:type="dxa"/>
              <w:end w:w="110" w:type="dxa"/>
            </w:tcMar>
            <w:vAlign w:val="center"/>
          </w:tcPr>
          <w:p>
            <w:pPr>
              <w:jc w:val="center"/>
            </w:pPr>
            <w:r>
              <w:rPr>
                <w:rFonts w:ascii="Aptos" w:hAnsi="Aptos"/>
                <w:b/>
                <w:i w:val="0"/>
                <w:color w:val="FFFFFF"/>
                <w:sz w:val="15"/>
              </w:rPr>
              <w:t>Mögliche Verbindung</w:t>
            </w:r>
          </w:p>
        </w:tc>
        <w:tc>
          <w:tcPr>
            <w:tcW w:type="dxa" w:w="1701"/>
            <w:shd w:fill="17365D"/>
            <w:tcMar>
              <w:top w:w="90" w:type="dxa"/>
              <w:start w:w="110" w:type="dxa"/>
              <w:bottom w:w="90" w:type="dxa"/>
              <w:end w:w="110" w:type="dxa"/>
            </w:tcMar>
            <w:vAlign w:val="center"/>
          </w:tcPr>
          <w:p>
            <w:pPr>
              <w:jc w:val="center"/>
            </w:pPr>
            <w:r>
              <w:rPr>
                <w:rFonts w:ascii="Aptos" w:hAnsi="Aptos"/>
                <w:b/>
                <w:i w:val="0"/>
                <w:color w:val="FFFFFF"/>
                <w:sz w:val="15"/>
              </w:rPr>
              <w:t>Art</w:t>
            </w:r>
          </w:p>
        </w:tc>
        <w:tc>
          <w:tcPr>
            <w:tcW w:type="dxa" w:w="1361"/>
            <w:shd w:fill="17365D"/>
            <w:tcMar>
              <w:top w:w="90" w:type="dxa"/>
              <w:start w:w="110" w:type="dxa"/>
              <w:bottom w:w="90" w:type="dxa"/>
              <w:end w:w="110" w:type="dxa"/>
            </w:tcMar>
            <w:vAlign w:val="center"/>
          </w:tcPr>
          <w:p>
            <w:pPr>
              <w:jc w:val="center"/>
            </w:pPr>
            <w:r>
              <w:rPr>
                <w:rFonts w:ascii="Aptos" w:hAnsi="Aptos"/>
                <w:b/>
                <w:i w:val="0"/>
                <w:color w:val="FFFFFF"/>
                <w:sz w:val="15"/>
              </w:rPr>
              <w:t>Sicherheit</w:t>
            </w:r>
          </w:p>
        </w:tc>
      </w:tr>
      <w:tr>
        <w:tc>
          <w:tcPr>
            <w:tcW w:type="dxa" w:w="1984"/>
            <w:tcMar>
              <w:top w:w="90" w:type="dxa"/>
              <w:start w:w="110" w:type="dxa"/>
              <w:bottom w:w="90" w:type="dxa"/>
              <w:end w:w="110" w:type="dxa"/>
            </w:tcMar>
            <w:vAlign w:val="center"/>
          </w:tcPr>
          <w:p>
            <w:pPr>
              <w:jc w:val="center"/>
            </w:pPr>
            <w:r>
              <w:rPr>
                <w:rFonts w:ascii="Aptos" w:hAnsi="Aptos"/>
                <w:b w:val="0"/>
                <w:i w:val="0"/>
                <w:sz w:val="15"/>
              </w:rPr>
              <w:t>Atmosphärisches CO₂</w:t>
            </w:r>
          </w:p>
        </w:tc>
        <w:tc>
          <w:tcPr>
            <w:tcW w:type="dxa" w:w="4989"/>
            <w:tcMar>
              <w:top w:w="90" w:type="dxa"/>
              <w:start w:w="110" w:type="dxa"/>
              <w:bottom w:w="90" w:type="dxa"/>
              <w:end w:w="110" w:type="dxa"/>
            </w:tcMar>
            <w:vAlign w:val="center"/>
          </w:tcPr>
          <w:p>
            <w:pPr>
              <w:jc w:val="left"/>
            </w:pPr>
            <w:r>
              <w:rPr>
                <w:rFonts w:ascii="Aptos" w:hAnsi="Aptos"/>
                <w:b w:val="0"/>
                <w:i w:val="0"/>
                <w:sz w:val="15"/>
              </w:rPr>
              <w:t>Steigende Treibhausgaskonzentrationen erhöhen den Strahlungsantrieb und tragen zur Erwärmung bei.</w:t>
            </w:r>
          </w:p>
        </w:tc>
        <w:tc>
          <w:tcPr>
            <w:tcW w:type="dxa" w:w="1701"/>
            <w:tcMar>
              <w:top w:w="90" w:type="dxa"/>
              <w:start w:w="110" w:type="dxa"/>
              <w:bottom w:w="90" w:type="dxa"/>
              <w:end w:w="110" w:type="dxa"/>
            </w:tcMar>
            <w:vAlign w:val="center"/>
          </w:tcPr>
          <w:p>
            <w:pPr>
              <w:jc w:val="left"/>
            </w:pPr>
            <w:r>
              <w:rPr>
                <w:rFonts w:ascii="Aptos" w:hAnsi="Aptos"/>
                <w:b w:val="0"/>
                <w:i w:val="0"/>
                <w:sz w:val="15"/>
              </w:rPr>
              <w:t>Ursache und Wirkung</w:t>
            </w:r>
          </w:p>
        </w:tc>
        <w:tc>
          <w:tcPr>
            <w:tcW w:type="dxa" w:w="1361"/>
            <w:tcMar>
              <w:top w:w="90" w:type="dxa"/>
              <w:start w:w="110" w:type="dxa"/>
              <w:bottom w:w="90" w:type="dxa"/>
              <w:end w:w="110" w:type="dxa"/>
            </w:tcMar>
            <w:vAlign w:val="center"/>
          </w:tcPr>
          <w:p>
            <w:pPr>
              <w:jc w:val="left"/>
            </w:pPr>
            <w:r>
              <w:rPr>
                <w:rFonts w:ascii="Aptos" w:hAnsi="Aptos"/>
                <w:b w:val="0"/>
                <w:i w:val="0"/>
                <w:sz w:val="15"/>
              </w:rPr>
              <w:t>gut belegt</w:t>
            </w:r>
          </w:p>
        </w:tc>
      </w:tr>
      <w:tr>
        <w:tc>
          <w:tcPr>
            <w:tcW w:type="dxa" w:w="1984"/>
            <w:tcMar>
              <w:top w:w="90" w:type="dxa"/>
              <w:start w:w="110" w:type="dxa"/>
              <w:bottom w:w="90" w:type="dxa"/>
              <w:end w:w="110" w:type="dxa"/>
            </w:tcMar>
            <w:vAlign w:val="center"/>
            <w:shd w:fill="EAF2F8"/>
          </w:tcPr>
          <w:p>
            <w:pPr>
              <w:jc w:val="center"/>
            </w:pPr>
            <w:r>
              <w:rPr>
                <w:rFonts w:ascii="Aptos" w:hAnsi="Aptos"/>
                <w:b w:val="0"/>
                <w:i w:val="0"/>
                <w:sz w:val="15"/>
              </w:rPr>
              <w:t>Globaler Meeresspiegel</w:t>
            </w:r>
          </w:p>
        </w:tc>
        <w:tc>
          <w:tcPr>
            <w:tcW w:type="dxa" w:w="4989"/>
            <w:tcMar>
              <w:top w:w="90" w:type="dxa"/>
              <w:start w:w="110" w:type="dxa"/>
              <w:bottom w:w="90" w:type="dxa"/>
              <w:end w:w="110" w:type="dxa"/>
            </w:tcMar>
            <w:vAlign w:val="center"/>
            <w:shd w:fill="EAF2F8"/>
          </w:tcPr>
          <w:p>
            <w:pPr>
              <w:jc w:val="left"/>
            </w:pPr>
            <w:r>
              <w:rPr>
                <w:rFonts w:ascii="Aptos" w:hAnsi="Aptos"/>
                <w:b w:val="0"/>
                <w:i w:val="0"/>
                <w:sz w:val="15"/>
              </w:rPr>
              <w:t>Erwärmung führt unter anderem zu thermischer Ausdehnung und verstärkt Eisschmelze; beides erhöht den Meeresspiegel.</w:t>
            </w:r>
          </w:p>
        </w:tc>
        <w:tc>
          <w:tcPr>
            <w:tcW w:type="dxa" w:w="1701"/>
            <w:tcMar>
              <w:top w:w="90" w:type="dxa"/>
              <w:start w:w="110" w:type="dxa"/>
              <w:bottom w:w="90" w:type="dxa"/>
              <w:end w:w="110" w:type="dxa"/>
            </w:tcMar>
            <w:vAlign w:val="center"/>
            <w:shd w:fill="EAF2F8"/>
          </w:tcPr>
          <w:p>
            <w:pPr>
              <w:jc w:val="left"/>
            </w:pPr>
            <w:r>
              <w:rPr>
                <w:rFonts w:ascii="Aptos" w:hAnsi="Aptos"/>
                <w:b w:val="0"/>
                <w:i w:val="0"/>
                <w:sz w:val="15"/>
              </w:rPr>
              <w:t>Wirkungspfad</w:t>
            </w:r>
          </w:p>
        </w:tc>
        <w:tc>
          <w:tcPr>
            <w:tcW w:type="dxa" w:w="1361"/>
            <w:tcMar>
              <w:top w:w="90" w:type="dxa"/>
              <w:start w:w="110" w:type="dxa"/>
              <w:bottom w:w="90" w:type="dxa"/>
              <w:end w:w="110" w:type="dxa"/>
            </w:tcMar>
            <w:vAlign w:val="center"/>
            <w:shd w:fill="EAF2F8"/>
          </w:tcPr>
          <w:p>
            <w:pPr>
              <w:jc w:val="left"/>
            </w:pPr>
            <w:r>
              <w:rPr>
                <w:rFonts w:ascii="Aptos" w:hAnsi="Aptos"/>
                <w:b w:val="0"/>
                <w:i w:val="0"/>
                <w:sz w:val="15"/>
              </w:rPr>
              <w:t>gut belegt</w:t>
            </w:r>
          </w:p>
        </w:tc>
      </w:tr>
      <w:tr>
        <w:tc>
          <w:tcPr>
            <w:tcW w:type="dxa" w:w="1984"/>
            <w:tcMar>
              <w:top w:w="90" w:type="dxa"/>
              <w:start w:w="110" w:type="dxa"/>
              <w:bottom w:w="90" w:type="dxa"/>
              <w:end w:w="110" w:type="dxa"/>
            </w:tcMar>
            <w:vAlign w:val="center"/>
          </w:tcPr>
          <w:p>
            <w:pPr>
              <w:jc w:val="center"/>
            </w:pPr>
            <w:r>
              <w:rPr>
                <w:rFonts w:ascii="Aptos" w:hAnsi="Aptos"/>
                <w:b w:val="0"/>
                <w:i w:val="0"/>
                <w:sz w:val="15"/>
              </w:rPr>
              <w:t>Arktische Meereisfläche</w:t>
            </w:r>
          </w:p>
        </w:tc>
        <w:tc>
          <w:tcPr>
            <w:tcW w:type="dxa" w:w="4989"/>
            <w:tcMar>
              <w:top w:w="90" w:type="dxa"/>
              <w:start w:w="110" w:type="dxa"/>
              <w:bottom w:w="90" w:type="dxa"/>
              <w:end w:w="110" w:type="dxa"/>
            </w:tcMar>
            <w:vAlign w:val="center"/>
          </w:tcPr>
          <w:p>
            <w:pPr>
              <w:jc w:val="left"/>
            </w:pPr>
            <w:r>
              <w:rPr>
                <w:rFonts w:ascii="Aptos" w:hAnsi="Aptos"/>
                <w:b w:val="0"/>
                <w:i w:val="0"/>
                <w:sz w:val="15"/>
              </w:rPr>
              <w:t>Erwärmung begünstigt Meereisverlust; geringere Rückstrahlung kann die Erwärmung regional verstärken.</w:t>
            </w:r>
          </w:p>
        </w:tc>
        <w:tc>
          <w:tcPr>
            <w:tcW w:type="dxa" w:w="1701"/>
            <w:tcMar>
              <w:top w:w="90" w:type="dxa"/>
              <w:start w:w="110" w:type="dxa"/>
              <w:bottom w:w="90" w:type="dxa"/>
              <w:end w:w="110" w:type="dxa"/>
            </w:tcMar>
            <w:vAlign w:val="center"/>
          </w:tcPr>
          <w:p>
            <w:pPr>
              <w:jc w:val="left"/>
            </w:pPr>
            <w:r>
              <w:rPr>
                <w:rFonts w:ascii="Aptos" w:hAnsi="Aptos"/>
                <w:b w:val="0"/>
                <w:i w:val="0"/>
                <w:sz w:val="15"/>
              </w:rPr>
              <w:t>Wirkung und Rückkopplung</w:t>
            </w:r>
          </w:p>
        </w:tc>
        <w:tc>
          <w:tcPr>
            <w:tcW w:type="dxa" w:w="1361"/>
            <w:tcMar>
              <w:top w:w="90" w:type="dxa"/>
              <w:start w:w="110" w:type="dxa"/>
              <w:bottom w:w="90" w:type="dxa"/>
              <w:end w:w="110" w:type="dxa"/>
            </w:tcMar>
            <w:vAlign w:val="center"/>
          </w:tcPr>
          <w:p>
            <w:pPr>
              <w:jc w:val="left"/>
            </w:pPr>
            <w:r>
              <w:rPr>
                <w:rFonts w:ascii="Aptos" w:hAnsi="Aptos"/>
                <w:b w:val="0"/>
                <w:i w:val="0"/>
                <w:sz w:val="15"/>
              </w:rPr>
              <w:t>gut belegt, regional unterschiedlich</w:t>
            </w:r>
          </w:p>
        </w:tc>
      </w:tr>
    </w:tbl>
    <w:p>
      <w:pPr>
        <w:spacing w:after="0"/>
      </w:pPr>
    </w:p>
    <w:p>
      <w:r>
        <w:rPr>
          <w:rFonts w:ascii="Aptos" w:hAnsi="Aptos"/>
          <w:b w:val="0"/>
          <w:i w:val="0"/>
        </w:rPr>
        <w:t>Prüfregel: Zeitliche Ähnlichkeit allein reicht nicht. Jede Wirkungsrichtung braucht eine Quelle; gemeinsame Ursachen und Rückkopplungen sind getrennt zu benennen.</w:t>
      </w:r>
    </w:p>
    <w:p>
      <w:pPr>
        <w:pStyle w:val="Heading2"/>
        <w:keepNext/>
      </w:pPr>
      <w:r>
        <w:t>V 01 Verbesserungsvorschläge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92"/>
        <w:gridCol w:w="2592"/>
        <w:gridCol w:w="2592"/>
        <w:gridCol w:w="2592"/>
      </w:tblGrid>
      <w:tr>
        <w:trPr>
          <w:tblHeader w:val="true"/>
        </w:trPr>
        <w:tc>
          <w:tcPr>
            <w:tcW w:type="dxa" w:w="1247"/>
            <w:shd w:fill="17365D"/>
            <w:tcMar>
              <w:top w:w="90" w:type="dxa"/>
              <w:start w:w="110" w:type="dxa"/>
              <w:bottom w:w="90" w:type="dxa"/>
              <w:end w:w="110" w:type="dxa"/>
            </w:tcMar>
            <w:vAlign w:val="center"/>
          </w:tcPr>
          <w:p>
            <w:pPr>
              <w:jc w:val="center"/>
            </w:pPr>
            <w:r>
              <w:rPr>
                <w:rFonts w:ascii="Aptos" w:hAnsi="Aptos"/>
                <w:b/>
                <w:i w:val="0"/>
                <w:color w:val="FFFFFF"/>
                <w:sz w:val="15"/>
              </w:rPr>
              <w:t>Ziel</w:t>
            </w:r>
          </w:p>
        </w:tc>
        <w:tc>
          <w:tcPr>
            <w:tcW w:type="dxa" w:w="3061"/>
            <w:shd w:fill="17365D"/>
            <w:tcMar>
              <w:top w:w="90" w:type="dxa"/>
              <w:start w:w="110" w:type="dxa"/>
              <w:bottom w:w="90" w:type="dxa"/>
              <w:end w:w="110" w:type="dxa"/>
            </w:tcMar>
            <w:vAlign w:val="center"/>
          </w:tcPr>
          <w:p>
            <w:pPr>
              <w:jc w:val="center"/>
            </w:pPr>
            <w:r>
              <w:rPr>
                <w:rFonts w:ascii="Aptos" w:hAnsi="Aptos"/>
                <w:b/>
                <w:i w:val="0"/>
                <w:color w:val="FFFFFF"/>
                <w:sz w:val="15"/>
              </w:rPr>
              <w:t>Beobachtung</w:t>
            </w:r>
          </w:p>
        </w:tc>
        <w:tc>
          <w:tcPr>
            <w:tcW w:type="dxa" w:w="4252"/>
            <w:shd w:fill="17365D"/>
            <w:tcMar>
              <w:top w:w="90" w:type="dxa"/>
              <w:start w:w="110" w:type="dxa"/>
              <w:bottom w:w="90" w:type="dxa"/>
              <w:end w:w="110" w:type="dxa"/>
            </w:tcMar>
            <w:vAlign w:val="center"/>
          </w:tcPr>
          <w:p>
            <w:pPr>
              <w:jc w:val="center"/>
            </w:pPr>
            <w:r>
              <w:rPr>
                <w:rFonts w:ascii="Aptos" w:hAnsi="Aptos"/>
                <w:b/>
                <w:i w:val="0"/>
                <w:color w:val="FFFFFF"/>
                <w:sz w:val="15"/>
              </w:rPr>
              <w:t>Vorschlag</w:t>
            </w:r>
          </w:p>
        </w:tc>
        <w:tc>
          <w:tcPr>
            <w:tcW w:type="dxa" w:w="1247"/>
            <w:shd w:fill="17365D"/>
            <w:tcMar>
              <w:top w:w="90" w:type="dxa"/>
              <w:start w:w="110" w:type="dxa"/>
              <w:bottom w:w="90" w:type="dxa"/>
              <w:end w:w="110" w:type="dxa"/>
            </w:tcMar>
            <w:vAlign w:val="center"/>
          </w:tcPr>
          <w:p>
            <w:pPr>
              <w:jc w:val="center"/>
            </w:pPr>
            <w:r>
              <w:rPr>
                <w:rFonts w:ascii="Aptos" w:hAnsi="Aptos"/>
                <w:b/>
                <w:i w:val="0"/>
                <w:color w:val="FFFFFF"/>
                <w:sz w:val="15"/>
              </w:rPr>
              <w:t>Dringlichkeit</w:t>
            </w:r>
          </w:p>
        </w:tc>
      </w:tr>
      <w:tr>
        <w:tc>
          <w:tcPr>
            <w:tcW w:type="dxa" w:w="1247"/>
            <w:tcMar>
              <w:top w:w="90" w:type="dxa"/>
              <w:start w:w="110" w:type="dxa"/>
              <w:bottom w:w="90" w:type="dxa"/>
              <w:end w:w="110" w:type="dxa"/>
            </w:tcMar>
            <w:vAlign w:val="center"/>
          </w:tcPr>
          <w:p>
            <w:pPr>
              <w:jc w:val="center"/>
            </w:pPr>
            <w:r>
              <w:rPr>
                <w:rFonts w:ascii="Aptos" w:hAnsi="Aptos"/>
                <w:b w:val="0"/>
                <w:i w:val="0"/>
                <w:sz w:val="15"/>
              </w:rPr>
              <w:t>BLC26</w:t>
            </w:r>
          </w:p>
        </w:tc>
        <w:tc>
          <w:tcPr>
            <w:tcW w:type="dxa" w:w="3061"/>
            <w:tcMar>
              <w:top w:w="90" w:type="dxa"/>
              <w:start w:w="110" w:type="dxa"/>
              <w:bottom w:w="90" w:type="dxa"/>
              <w:end w:w="110" w:type="dxa"/>
            </w:tcMar>
            <w:vAlign w:val="center"/>
          </w:tcPr>
          <w:p>
            <w:pPr>
              <w:jc w:val="left"/>
            </w:pPr>
            <w:r>
              <w:rPr>
                <w:rFonts w:ascii="Aptos" w:hAnsi="Aptos"/>
                <w:b w:val="0"/>
                <w:i w:val="0"/>
                <w:sz w:val="15"/>
              </w:rPr>
              <w:t>HadCRUT5 5.2 ist seit 18.09.2026 verfügbar.</w:t>
            </w:r>
          </w:p>
        </w:tc>
        <w:tc>
          <w:tcPr>
            <w:tcW w:type="dxa" w:w="4252"/>
            <w:tcMar>
              <w:top w:w="90" w:type="dxa"/>
              <w:start w:w="110" w:type="dxa"/>
              <w:bottom w:w="90" w:type="dxa"/>
              <w:end w:w="110" w:type="dxa"/>
            </w:tcMar>
            <w:vAlign w:val="center"/>
          </w:tcPr>
          <w:p>
            <w:pPr>
              <w:jc w:val="left"/>
            </w:pPr>
            <w:r>
              <w:rPr>
                <w:rFonts w:ascii="Aptos" w:hAnsi="Aptos"/>
                <w:b w:val="0"/>
                <w:i w:val="0"/>
                <w:sz w:val="15"/>
              </w:rPr>
              <w:t>Version 5.2 gegen 5.1 prüfen; Änderung dokumentieren oder 5.1 bewusst festschreiben.</w:t>
            </w:r>
          </w:p>
        </w:tc>
        <w:tc>
          <w:tcPr>
            <w:tcW w:type="dxa" w:w="1247"/>
            <w:tcMar>
              <w:top w:w="90" w:type="dxa"/>
              <w:start w:w="110" w:type="dxa"/>
              <w:bottom w:w="90" w:type="dxa"/>
              <w:end w:w="110" w:type="dxa"/>
            </w:tcMar>
            <w:vAlign w:val="center"/>
          </w:tcPr>
          <w:p>
            <w:pPr>
              <w:jc w:val="left"/>
            </w:pPr>
            <w:r>
              <w:rPr>
                <w:rFonts w:ascii="Aptos" w:hAnsi="Aptos"/>
                <w:b w:val="0"/>
                <w:i w:val="0"/>
                <w:sz w:val="15"/>
              </w:rPr>
              <w:t>hoch</w:t>
            </w:r>
          </w:p>
        </w:tc>
      </w:tr>
      <w:tr>
        <w:tc>
          <w:tcPr>
            <w:tcW w:type="dxa" w:w="1247"/>
            <w:tcMar>
              <w:top w:w="90" w:type="dxa"/>
              <w:start w:w="110" w:type="dxa"/>
              <w:bottom w:w="90" w:type="dxa"/>
              <w:end w:w="110" w:type="dxa"/>
            </w:tcMar>
            <w:vAlign w:val="center"/>
            <w:shd w:fill="EAF2F8"/>
          </w:tcPr>
          <w:p>
            <w:pPr>
              <w:jc w:val="center"/>
            </w:pPr>
            <w:r>
              <w:rPr>
                <w:rFonts w:ascii="Aptos" w:hAnsi="Aptos"/>
                <w:b w:val="0"/>
                <w:i w:val="0"/>
                <w:sz w:val="15"/>
              </w:rPr>
              <w:t>BLC26</w:t>
            </w:r>
          </w:p>
        </w:tc>
        <w:tc>
          <w:tcPr>
            <w:tcW w:type="dxa" w:w="3061"/>
            <w:tcMar>
              <w:top w:w="90" w:type="dxa"/>
              <w:start w:w="110" w:type="dxa"/>
              <w:bottom w:w="90" w:type="dxa"/>
              <w:end w:w="110" w:type="dxa"/>
            </w:tcMar>
            <w:vAlign w:val="center"/>
            <w:shd w:fill="EAF2F8"/>
          </w:tcPr>
          <w:p>
            <w:pPr>
              <w:jc w:val="left"/>
            </w:pPr>
            <w:r>
              <w:rPr>
                <w:rFonts w:ascii="Aptos" w:hAnsi="Aptos"/>
                <w:b w:val="0"/>
                <w:i w:val="0"/>
                <w:sz w:val="15"/>
              </w:rPr>
              <w:t>Der Projektionspunkt 2030 ist ein Mittel 2021–2040.</w:t>
            </w:r>
          </w:p>
        </w:tc>
        <w:tc>
          <w:tcPr>
            <w:tcW w:type="dxa" w:w="4252"/>
            <w:tcMar>
              <w:top w:w="90" w:type="dxa"/>
              <w:start w:w="110" w:type="dxa"/>
              <w:bottom w:w="90" w:type="dxa"/>
              <w:end w:w="110" w:type="dxa"/>
            </w:tcMar>
            <w:vAlign w:val="center"/>
            <w:shd w:fill="EAF2F8"/>
          </w:tcPr>
          <w:p>
            <w:pPr>
              <w:jc w:val="left"/>
            </w:pPr>
            <w:r>
              <w:rPr>
                <w:rFonts w:ascii="Aptos" w:hAnsi="Aptos"/>
                <w:b w:val="0"/>
                <w:i w:val="0"/>
                <w:sz w:val="15"/>
              </w:rPr>
              <w:t>Periodenbezug auch direkt am Punkt und in barrierefreier Beschriftung anzeigen.</w:t>
            </w:r>
          </w:p>
        </w:tc>
        <w:tc>
          <w:tcPr>
            <w:tcW w:type="dxa" w:w="1247"/>
            <w:tcMar>
              <w:top w:w="90" w:type="dxa"/>
              <w:start w:w="110" w:type="dxa"/>
              <w:bottom w:w="90" w:type="dxa"/>
              <w:end w:w="110" w:type="dxa"/>
            </w:tcMar>
            <w:vAlign w:val="center"/>
            <w:shd w:fill="EAF2F8"/>
          </w:tcPr>
          <w:p>
            <w:pPr>
              <w:jc w:val="left"/>
            </w:pPr>
            <w:r>
              <w:rPr>
                <w:rFonts w:ascii="Aptos" w:hAnsi="Aptos"/>
                <w:b w:val="0"/>
                <w:i w:val="0"/>
                <w:sz w:val="15"/>
              </w:rPr>
              <w:t>hoch</w:t>
            </w:r>
          </w:p>
        </w:tc>
      </w:tr>
      <w:tr>
        <w:tc>
          <w:tcPr>
            <w:tcW w:type="dxa" w:w="1247"/>
            <w:tcMar>
              <w:top w:w="90" w:type="dxa"/>
              <w:start w:w="110" w:type="dxa"/>
              <w:bottom w:w="90" w:type="dxa"/>
              <w:end w:w="110" w:type="dxa"/>
            </w:tcMar>
            <w:vAlign w:val="center"/>
          </w:tcPr>
          <w:p>
            <w:pPr>
              <w:jc w:val="center"/>
            </w:pPr>
            <w:r>
              <w:rPr>
                <w:rFonts w:ascii="Aptos" w:hAnsi="Aptos"/>
                <w:b w:val="0"/>
                <w:i w:val="0"/>
                <w:sz w:val="15"/>
              </w:rPr>
              <w:t>BLC26</w:t>
            </w:r>
          </w:p>
        </w:tc>
        <w:tc>
          <w:tcPr>
            <w:tcW w:type="dxa" w:w="3061"/>
            <w:tcMar>
              <w:top w:w="90" w:type="dxa"/>
              <w:start w:w="110" w:type="dxa"/>
              <w:bottom w:w="90" w:type="dxa"/>
              <w:end w:w="110" w:type="dxa"/>
            </w:tcMar>
            <w:vAlign w:val="center"/>
          </w:tcPr>
          <w:p>
            <w:pPr>
              <w:jc w:val="left"/>
            </w:pPr>
            <w:r>
              <w:rPr>
                <w:rFonts w:ascii="Aptos" w:hAnsi="Aptos"/>
                <w:b w:val="0"/>
                <w:i w:val="0"/>
                <w:sz w:val="15"/>
              </w:rPr>
              <w:t>Methodenwechsel sind in Details beschrieben, aber nicht als eigene Übergänge geführt.</w:t>
            </w:r>
          </w:p>
        </w:tc>
        <w:tc>
          <w:tcPr>
            <w:tcW w:type="dxa" w:w="4252"/>
            <w:tcMar>
              <w:top w:w="90" w:type="dxa"/>
              <w:start w:w="110" w:type="dxa"/>
              <w:bottom w:w="90" w:type="dxa"/>
              <w:end w:w="110" w:type="dxa"/>
            </w:tcMar>
            <w:vAlign w:val="center"/>
          </w:tcPr>
          <w:p>
            <w:pPr>
              <w:jc w:val="left"/>
            </w:pPr>
            <w:r>
              <w:rPr>
                <w:rFonts w:ascii="Aptos" w:hAnsi="Aptos"/>
                <w:b w:val="0"/>
                <w:i w:val="0"/>
                <w:sz w:val="15"/>
              </w:rPr>
              <w:t>Übergänge 1849/1850 und Beobachtung/Projektion sichtbar markieren.</w:t>
            </w:r>
          </w:p>
        </w:tc>
        <w:tc>
          <w:tcPr>
            <w:tcW w:type="dxa" w:w="1247"/>
            <w:tcMar>
              <w:top w:w="90" w:type="dxa"/>
              <w:start w:w="110" w:type="dxa"/>
              <w:bottom w:w="90" w:type="dxa"/>
              <w:end w:w="110" w:type="dxa"/>
            </w:tcMar>
            <w:vAlign w:val="center"/>
          </w:tcPr>
          <w:p>
            <w:pPr>
              <w:jc w:val="left"/>
            </w:pPr>
            <w:r>
              <w:rPr>
                <w:rFonts w:ascii="Aptos" w:hAnsi="Aptos"/>
                <w:b w:val="0"/>
                <w:i w:val="0"/>
                <w:sz w:val="15"/>
              </w:rPr>
              <w:t>mittel</w:t>
            </w:r>
          </w:p>
        </w:tc>
      </w:tr>
      <w:tr>
        <w:tc>
          <w:tcPr>
            <w:tcW w:type="dxa" w:w="1247"/>
            <w:tcMar>
              <w:top w:w="90" w:type="dxa"/>
              <w:start w:w="110" w:type="dxa"/>
              <w:bottom w:w="90" w:type="dxa"/>
              <w:end w:w="110" w:type="dxa"/>
            </w:tcMar>
            <w:vAlign w:val="center"/>
            <w:shd w:fill="EAF2F8"/>
          </w:tcPr>
          <w:p>
            <w:pPr>
              <w:jc w:val="center"/>
            </w:pPr>
            <w:r>
              <w:rPr>
                <w:rFonts w:ascii="Aptos" w:hAnsi="Aptos"/>
                <w:b w:val="0"/>
                <w:i w:val="0"/>
                <w:sz w:val="15"/>
              </w:rPr>
              <w:t>GWL</w:t>
            </w:r>
          </w:p>
        </w:tc>
        <w:tc>
          <w:tcPr>
            <w:tcW w:type="dxa" w:w="3061"/>
            <w:tcMar>
              <w:top w:w="90" w:type="dxa"/>
              <w:start w:w="110" w:type="dxa"/>
              <w:bottom w:w="90" w:type="dxa"/>
              <w:end w:w="110" w:type="dxa"/>
            </w:tcMar>
            <w:vAlign w:val="center"/>
            <w:shd w:fill="EAF2F8"/>
          </w:tcPr>
          <w:p>
            <w:pPr>
              <w:jc w:val="left"/>
            </w:pPr>
            <w:r>
              <w:rPr>
                <w:rFonts w:ascii="Aptos" w:hAnsi="Aptos"/>
                <w:b w:val="0"/>
                <w:i w:val="0"/>
                <w:sz w:val="15"/>
              </w:rPr>
              <w:t>Globale Kurve kann als lokale Vorhersage missverstanden werden.</w:t>
            </w:r>
          </w:p>
        </w:tc>
        <w:tc>
          <w:tcPr>
            <w:tcW w:type="dxa" w:w="4252"/>
            <w:tcMar>
              <w:top w:w="90" w:type="dxa"/>
              <w:start w:w="110" w:type="dxa"/>
              <w:bottom w:w="90" w:type="dxa"/>
              <w:end w:w="110" w:type="dxa"/>
            </w:tcMar>
            <w:vAlign w:val="center"/>
            <w:shd w:fill="EAF2F8"/>
          </w:tcPr>
          <w:p>
            <w:pPr>
              <w:jc w:val="left"/>
            </w:pPr>
            <w:r>
              <w:rPr>
                <w:rFonts w:ascii="Aptos" w:hAnsi="Aptos"/>
                <w:b w:val="0"/>
                <w:i w:val="0"/>
                <w:sz w:val="15"/>
              </w:rPr>
              <w:t>Hinweis auf erforderliche regionale Klimadaten im Baubezug ergänzen.</w:t>
            </w:r>
          </w:p>
        </w:tc>
        <w:tc>
          <w:tcPr>
            <w:tcW w:type="dxa" w:w="1247"/>
            <w:tcMar>
              <w:top w:w="90" w:type="dxa"/>
              <w:start w:w="110" w:type="dxa"/>
              <w:bottom w:w="90" w:type="dxa"/>
              <w:end w:w="110" w:type="dxa"/>
            </w:tcMar>
            <w:vAlign w:val="center"/>
            <w:shd w:fill="EAF2F8"/>
          </w:tcPr>
          <w:p>
            <w:pPr>
              <w:jc w:val="left"/>
            </w:pPr>
            <w:r>
              <w:rPr>
                <w:rFonts w:ascii="Aptos" w:hAnsi="Aptos"/>
                <w:b w:val="0"/>
                <w:i w:val="0"/>
                <w:sz w:val="15"/>
              </w:rPr>
              <w:t>mittel</w:t>
            </w:r>
          </w:p>
        </w:tc>
      </w:tr>
    </w:tbl>
    <w:p>
      <w:pPr>
        <w:spacing w:after="0"/>
      </w:pPr>
    </w:p>
    <w:p>
      <w:pPr>
        <w:pStyle w:val="Heading2"/>
        <w:keepNext/>
      </w:pPr>
      <w:r>
        <w:t>V 02 Wichtigste Empfehlung</w:t>
      </w:r>
    </w:p>
    <w:p>
      <w:r>
        <w:rPr>
          <w:rFonts w:ascii="Aptos" w:hAnsi="Aptos"/>
          <w:b w:val="0"/>
          <w:i w:val="0"/>
        </w:rPr>
        <w:t>Die drei Datentypen sollten nicht nur farblich oder in technischen Details unterschieden werden. Die Darstellung sollte direkt erklären, dass Rekonstruktion, Jahresmessung und 20-Jahres-Szenariomittel methodisch verschieden sind.</w:t>
      </w:r>
    </w:p>
    <w:p>
      <w:pPr>
        <w:pStyle w:val="Heading2"/>
        <w:keepNext/>
      </w:pPr>
      <w:r>
        <w:t>D 01 Dokumentation des KI Einsatzes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85"/>
        <w:gridCol w:w="5185"/>
      </w:tblGrid>
      <w:tr>
        <w:trPr>
          <w:tblHeader w:val="true"/>
        </w:trPr>
        <w:tc>
          <w:tcPr>
            <w:tcW w:type="dxa" w:w="4535"/>
            <w:shd w:fill="17365D"/>
            <w:tcMar>
              <w:top w:w="90" w:type="dxa"/>
              <w:start w:w="110" w:type="dxa"/>
              <w:bottom w:w="90" w:type="dxa"/>
              <w:end w:w="110" w:type="dxa"/>
            </w:tcMar>
            <w:vAlign w:val="center"/>
          </w:tcPr>
          <w:p>
            <w:pPr>
              <w:jc w:val="center"/>
            </w:pPr>
            <w:r>
              <w:rPr>
                <w:rFonts w:ascii="Aptos" w:hAnsi="Aptos"/>
                <w:b/>
                <w:i w:val="0"/>
                <w:color w:val="FFFFFF"/>
                <w:sz w:val="16"/>
              </w:rPr>
              <w:t>Verwendung</w:t>
            </w:r>
          </w:p>
        </w:tc>
        <w:tc>
          <w:tcPr>
            <w:tcW w:type="dxa" w:w="5102"/>
            <w:shd w:fill="17365D"/>
            <w:tcMar>
              <w:top w:w="90" w:type="dxa"/>
              <w:start w:w="110" w:type="dxa"/>
              <w:bottom w:w="90" w:type="dxa"/>
              <w:end w:w="110" w:type="dxa"/>
            </w:tcMar>
            <w:vAlign w:val="center"/>
          </w:tcPr>
          <w:p>
            <w:pPr>
              <w:jc w:val="center"/>
            </w:pPr>
            <w:r>
              <w:rPr>
                <w:rFonts w:ascii="Aptos" w:hAnsi="Aptos"/>
                <w:b/>
                <w:i w:val="0"/>
                <w:color w:val="FFFFFF"/>
                <w:sz w:val="16"/>
              </w:rPr>
              <w:t>Notwendige Kontrolle</w:t>
            </w:r>
          </w:p>
        </w:tc>
      </w:tr>
      <w:tr>
        <w:tc>
          <w:tcPr>
            <w:tcW w:type="dxa" w:w="4535"/>
            <w:tcMar>
              <w:top w:w="90" w:type="dxa"/>
              <w:start w:w="110" w:type="dxa"/>
              <w:bottom w:w="90" w:type="dxa"/>
              <w:end w:w="110" w:type="dxa"/>
            </w:tcMar>
            <w:vAlign w:val="center"/>
          </w:tcPr>
          <w:p>
            <w:pPr>
              <w:jc w:val="left"/>
            </w:pPr>
            <w:r>
              <w:rPr>
                <w:rFonts w:ascii="Aptos" w:hAnsi="Aptos"/>
                <w:b w:val="0"/>
                <w:i w:val="0"/>
                <w:sz w:val="16"/>
              </w:rPr>
              <w:t>Strukturierung des Probelaufs und Formulierung kurzer Musterantworten</w:t>
            </w:r>
          </w:p>
        </w:tc>
        <w:tc>
          <w:tcPr>
            <w:tcW w:type="dxa" w:w="5102"/>
            <w:tcMar>
              <w:top w:w="90" w:type="dxa"/>
              <w:start w:w="110" w:type="dxa"/>
              <w:bottom w:w="90" w:type="dxa"/>
              <w:end w:w="110" w:type="dxa"/>
            </w:tcMar>
            <w:vAlign w:val="center"/>
          </w:tcPr>
          <w:p>
            <w:pPr>
              <w:jc w:val="left"/>
            </w:pPr>
            <w:r>
              <w:rPr>
                <w:rFonts w:ascii="Aptos" w:hAnsi="Aptos"/>
                <w:b w:val="0"/>
                <w:i w:val="0"/>
                <w:sz w:val="16"/>
              </w:rPr>
              <w:t>Zahlen gegen BLC26 und Originaldatei geprüft; wissenschaftliche Aussagen über Primärquellen eingeordnet</w:t>
            </w:r>
          </w:p>
        </w:tc>
      </w:tr>
    </w:tbl>
    <w:p>
      <w:pPr>
        <w:spacing w:after="0"/>
      </w:pPr>
    </w:p>
    <w:p>
      <w:r>
        <w:br w:type="page"/>
      </w:r>
    </w:p>
    <w:p>
      <w:pPr>
        <w:pStyle w:val="Heading1"/>
        <w:keepNext/>
      </w:pPr>
      <w:r>
        <w:t>Quellen und Auswertung des Probelaufs</w:t>
      </w:r>
    </w:p>
    <w:p>
      <w:pPr>
        <w:pStyle w:val="Heading2"/>
        <w:keepNext/>
      </w:pPr>
      <w:r>
        <w:t>Verwendete Hauptquellen</w:t>
      </w:r>
    </w:p>
    <w:p>
      <w:pPr>
        <w:pStyle w:val="ListBullet"/>
      </w:pPr>
      <w:hyperlink r:id="rId10">
        <w:r>
          <w:rPr>
            <w:color w:val="1F4E79"/>
            <w:u w:val="single"/>
          </w:rPr>
          <w:t>NOAA NCEI PAGES2k 2019 Global Common Era Temperature Reconstructions</w:t>
        </w:r>
      </w:hyperlink>
    </w:p>
    <w:p>
      <w:pPr>
        <w:pStyle w:val="ListBullet"/>
      </w:pPr>
      <w:hyperlink r:id="rId11">
        <w:r>
          <w:rPr>
            <w:color w:val="1F4E79"/>
            <w:u w:val="single"/>
          </w:rPr>
          <w:t>Met Office HadCRUT5 Datensatz und Methodik</w:t>
        </w:r>
      </w:hyperlink>
    </w:p>
    <w:p>
      <w:pPr>
        <w:pStyle w:val="ListBullet"/>
      </w:pPr>
      <w:hyperlink r:id="rId12">
        <w:r>
          <w:rPr>
            <w:color w:val="1F4E79"/>
            <w:u w:val="single"/>
          </w:rPr>
          <w:t>HadCRUT5 5.1 globale Jahresreihe</w:t>
        </w:r>
      </w:hyperlink>
    </w:p>
    <w:p>
      <w:pPr>
        <w:pStyle w:val="ListBullet"/>
      </w:pPr>
      <w:hyperlink r:id="rId13">
        <w:r>
          <w:rPr>
            <w:color w:val="1F4E79"/>
            <w:u w:val="single"/>
          </w:rPr>
          <w:t>IPCC AR6 WGI Kapitel 4 mit bewerteten SSP Temperaturänderungen</w:t>
        </w:r>
      </w:hyperlink>
    </w:p>
    <w:p>
      <w:pPr>
        <w:pStyle w:val="ListBullet"/>
      </w:pPr>
      <w:hyperlink r:id="rId14">
        <w:r>
          <w:rPr>
            <w:color w:val="1F4E79"/>
            <w:u w:val="single"/>
          </w:rPr>
          <w:t>IPCC AR6 WGIII Kapitel 9 Gebäude</w:t>
        </w:r>
      </w:hyperlink>
    </w:p>
    <w:p>
      <w:pPr>
        <w:pStyle w:val="ListBullet"/>
      </w:pPr>
      <w:hyperlink r:id="rId15">
        <w:r>
          <w:rPr>
            <w:color w:val="1F4E79"/>
            <w:u w:val="single"/>
          </w:rPr>
          <w:t>BLC26 Kurve Globale Temperaturänderung</w:t>
        </w:r>
      </w:hyperlink>
    </w:p>
    <w:p>
      <w:pPr>
        <w:pStyle w:val="ListBullet"/>
      </w:pPr>
      <w:hyperlink r:id="rId16">
        <w:r>
          <w:rPr>
            <w:color w:val="1F4E79"/>
            <w:u w:val="single"/>
          </w:rPr>
          <w:t>GWL Beitrag Globale Temperaturentwicklung</w:t>
        </w:r>
      </w:hyperlink>
    </w:p>
    <w:p>
      <w:pPr>
        <w:pStyle w:val="Heading2"/>
        <w:keepNext/>
      </w:pPr>
      <w:r>
        <w:t>Ergebnis der Belastungsprobe</w:t>
      </w:r>
    </w:p>
    <w:p>
      <w:pPr>
        <w:pStyle w:val="ListBullet"/>
      </w:pPr>
      <w:r>
        <w:rPr>
          <w:rFonts w:ascii="Aptos" w:hAnsi="Aptos"/>
          <w:b w:val="0"/>
          <w:i w:val="0"/>
        </w:rPr>
        <w:t>Fünf Inhaltsseiten reichen aus, wenn Antworten kurz bleiben und Nachweise in einen Anhang ausgelagert werden.</w:t>
      </w:r>
    </w:p>
    <w:p>
      <w:pPr>
        <w:pStyle w:val="ListBullet"/>
      </w:pPr>
      <w:r>
        <w:rPr>
          <w:rFonts w:ascii="Aptos" w:hAnsi="Aptos"/>
          <w:b w:val="0"/>
          <w:i w:val="0"/>
        </w:rPr>
        <w:t>Die Segmenttabelle ist der wichtigste gemeinsame Kern; sie erzwingt die Beschäftigung mit dem Methodenwechsel.</w:t>
      </w:r>
    </w:p>
    <w:p>
      <w:pPr>
        <w:pStyle w:val="ListBullet"/>
      </w:pPr>
      <w:r>
        <w:rPr>
          <w:rFonts w:ascii="Aptos" w:hAnsi="Aptos"/>
          <w:b w:val="0"/>
          <w:i w:val="0"/>
        </w:rPr>
        <w:t>Eine einzige integrierte Word-Vorlage ist für Erstsemester voraussichtlich verständlicher als getrennte Word- und Excel-Dateien.</w:t>
      </w:r>
    </w:p>
    <w:p>
      <w:pPr>
        <w:pStyle w:val="ListBullet"/>
      </w:pPr>
      <w:r>
        <w:rPr>
          <w:rFonts w:ascii="Aptos" w:hAnsi="Aptos"/>
          <w:b w:val="0"/>
          <w:i w:val="0"/>
        </w:rPr>
        <w:t>Die Bewertung der Aktualität braucht ein eigenes Feld, weil ein reproduzierbarer Datensatz fachlich korrekt und dennoch nicht mehr die jüngste Version sein kann.</w:t>
      </w:r>
    </w:p>
    <w:p>
      <w:pPr>
        <w:pStyle w:val="ListBullet"/>
      </w:pPr>
      <w:r>
        <w:rPr>
          <w:rFonts w:ascii="Aptos" w:hAnsi="Aptos"/>
          <w:b w:val="0"/>
          <w:i w:val="0"/>
        </w:rPr>
        <w:t>Der Baubezug sollte als begründete Übertragung gekennzeichnet werden; globale Temperaturwerte sind keine lokalen Bemessungsdaten.</w:t>
      </w:r>
    </w:p>
    <w:p>
      <w:pPr>
        <w:pStyle w:val="ListBullet"/>
      </w:pPr>
      <w:r>
        <w:rPr>
          <w:rFonts w:ascii="Aptos" w:hAnsi="Aptos"/>
          <w:b w:val="0"/>
          <w:i w:val="0"/>
        </w:rPr>
        <w:t>Die Wechselwirkungsaufgabe braucht die Kategorien Ursache, Wirkung, Rückkopplung, gemeinsame Ursache und zeitliche Übereinstimmung.</w:t>
      </w:r>
    </w:p>
    <w:p>
      <w:pPr>
        <w:pStyle w:val="Heading2"/>
        <w:keepNext/>
      </w:pPr>
      <w:r>
        <w:t>Empfohlene Vereinfachung vor dem Einsatz</w:t>
      </w:r>
    </w:p>
    <w:p>
      <w:r>
        <w:rPr>
          <w:rFonts w:ascii="Aptos" w:hAnsi="Aptos"/>
          <w:b w:val="0"/>
          <w:i w:val="0"/>
        </w:rPr>
        <w:t>Die Studierenden erhalten nur die kurze Aufgabenbeschreibung und eine leere Fassung dieser fünf Inhaltsseiten. Diese ausgefüllte Fassung bleibt bei der Lehrperson als Test- und Vergleichsdokument. Für jede Gruppe werden die Links und Kurvenkennung bereits eingesetzt; alle fachlichen Antwortfelder bleiben leer.</w:t>
      </w:r>
    </w:p>
    <w:sectPr w:rsidR="00FC693F" w:rsidRPr="0006063C" w:rsidSect="00034616">
      <w:footerReference w:type="default" r:id="rId9"/>
      <w:pgSz w:w="12240" w:h="15840"/>
      <w:pgMar w:top="822" w:right="935" w:bottom="765"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66666"/>
        <w:sz w:val="16"/>
      </w:rPr>
      <w:t xml:space="preserve">KoWo 2026/27 · Probelauf HadCRUT5 · Vorlage 0.1     </w:t>
    </w:r>
    <w:r>
      <w:rPr>
        <w:rFonts w:ascii="Aptos" w:hAnsi="Aptos"/>
        <w:b w:val="0"/>
        <w:i w:val="0"/>
        <w:color w:val="666666"/>
        <w:sz w:val="16"/>
      </w:rPr>
      <w:t xml:space="preserve">Seite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25921/tkxp-vn12" TargetMode="External"/><Relationship Id="rId11" Type="http://schemas.openxmlformats.org/officeDocument/2006/relationships/hyperlink" Target="https://hadleyserver.metoffice.gov.uk/hadcrut5/" TargetMode="External"/><Relationship Id="rId12" Type="http://schemas.openxmlformats.org/officeDocument/2006/relationships/hyperlink" Target="https://www.metoffice.gov.uk/hadobs/hadcrut5/data/HadCRUT.5.1.0.0/analysis/diagnostics/HadCRUT.5.1.0.0.analysis.summary_series.global.annual.csv" TargetMode="External"/><Relationship Id="rId13" Type="http://schemas.openxmlformats.org/officeDocument/2006/relationships/hyperlink" Target="https://www.ipcc.ch/report/ar6/wg1/chapter/chapter-4/" TargetMode="External"/><Relationship Id="rId14" Type="http://schemas.openxmlformats.org/officeDocument/2006/relationships/hyperlink" Target="https://www.ipcc.ch/report/ar6/wg3/chapter/chapter-9/" TargetMode="External"/><Relationship Id="rId15" Type="http://schemas.openxmlformats.org/officeDocument/2006/relationships/hyperlink" Target="https://blcdetlef.github.io/BLC26/?curve=knowledge%3Adata%2Fknowledge%2Fgwl_climate_temperature_global_v0.2.json%23global_temperature_hadcrut5_1850_2025" TargetMode="External"/><Relationship Id="rId16" Type="http://schemas.openxmlformats.org/officeDocument/2006/relationships/hyperlink" Target="https://blcdetlef.github.io/gwl-panel/?boundary=climate&amp;item=global-tempera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