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B2545"/>
          <w:sz w:val="46"/>
        </w:rPr>
        <w:t>INFORME TÉCNICO</w:t>
      </w:r>
    </w:p>
    <w:p>
      <w:pPr>
        <w:spacing w:after="280"/>
      </w:pPr>
      <w:r>
        <w:rPr>
          <w:rFonts w:ascii="Calibri" w:hAnsi="Calibri"/>
          <w:color w:val="373737"/>
          <w:sz w:val="30"/>
        </w:rPr>
        <w:t>Acciones de software pendientes antes de vuelo</w:t>
      </w:r>
    </w:p>
    <w:p>
      <w:pPr>
        <w:spacing w:before="0" w:after="40" w:line="264" w:lineRule="auto"/>
      </w:pPr>
      <w:r>
        <w:rPr>
          <w:rFonts w:ascii="Calibri" w:hAnsi="Calibri"/>
          <w:b/>
          <w:sz w:val="21"/>
        </w:rPr>
        <w:t xml:space="preserve">Proyecto: </w:t>
      </w:r>
      <w:r>
        <w:rPr>
          <w:rFonts w:ascii="Calibri" w:hAnsi="Calibri"/>
          <w:sz w:val="21"/>
        </w:rPr>
        <w:t>BEXUS 38 · BLESS</w:t>
      </w:r>
    </w:p>
    <w:p>
      <w:pPr>
        <w:spacing w:before="0" w:after="40" w:line="264" w:lineRule="auto"/>
      </w:pPr>
      <w:r>
        <w:rPr>
          <w:rFonts w:ascii="Calibri" w:hAnsi="Calibri"/>
          <w:b/>
          <w:sz w:val="21"/>
        </w:rPr>
        <w:t xml:space="preserve">Ámbito: </w:t>
      </w:r>
      <w:r>
        <w:rPr>
          <w:rFonts w:ascii="Calibri" w:hAnsi="Calibri"/>
          <w:sz w:val="21"/>
        </w:rPr>
        <w:t>Firmware STM32, comunicaciones E-Link/HaLow y Ground Station</w:t>
      </w:r>
    </w:p>
    <w:p>
      <w:pPr>
        <w:spacing w:before="0" w:after="40" w:line="264" w:lineRule="auto"/>
      </w:pPr>
      <w:r>
        <w:rPr>
          <w:rFonts w:ascii="Calibri" w:hAnsi="Calibri"/>
          <w:b/>
          <w:sz w:val="21"/>
        </w:rPr>
        <w:t xml:space="preserve">Base: </w:t>
      </w:r>
      <w:r>
        <w:rPr>
          <w:rFonts w:ascii="Calibri" w:hAnsi="Calibri"/>
          <w:sz w:val="21"/>
        </w:rPr>
        <w:t>SED v3 de 29/06/2026 y código revisado el 19/08/2026</w:t>
      </w:r>
    </w:p>
    <w:p>
      <w:pPr>
        <w:spacing w:before="0" w:after="40" w:line="264" w:lineRule="auto"/>
      </w:pPr>
      <w:r>
        <w:rPr>
          <w:rFonts w:ascii="Calibri" w:hAnsi="Calibri"/>
          <w:b/>
          <w:sz w:val="21"/>
        </w:rPr>
        <w:t xml:space="preserve">Estado: </w:t>
      </w:r>
      <w:r>
        <w:rPr>
          <w:rFonts w:ascii="Calibri" w:hAnsi="Calibri"/>
          <w:sz w:val="21"/>
        </w:rPr>
        <w:t>Lista de cierre; no modifica requisitos del SED</w:t>
      </w:r>
    </w:p>
    <w:p>
      <w:pPr>
        <w:spacing w:before="0" w:after="40" w:line="264" w:lineRule="auto"/>
      </w:pPr>
      <w:r>
        <w:rPr>
          <w:rFonts w:ascii="Calibri" w:hAnsi="Calibri"/>
          <w:b/>
          <w:sz w:val="21"/>
        </w:rPr>
        <w:t xml:space="preserve">Prioridad: </w:t>
      </w:r>
      <w:r>
        <w:rPr>
          <w:rFonts w:ascii="Calibri" w:hAnsi="Calibri"/>
          <w:sz w:val="21"/>
        </w:rPr>
        <w:t>Cambios exclusivamente de software y configuración</w:t>
      </w:r>
    </w:p>
    <w:p>
      <w:pPr>
        <w:pBdr>
          <w:bottom w:val="single" w:sz="14" w:space="1" w:color="2E74B5"/>
        </w:pBdr>
        <w:spacing w:after="200"/>
      </w:pPr>
    </w:p>
    <w:p>
      <w:pPr>
        <w:spacing w:before="80" w:after="160" w:line="276" w:lineRule="auto"/>
        <w:ind w:left="173" w:right="173"/>
        <w:shd w:fill="F4F6F9"/>
        <w:pBdr>
          <w:left w:val="single" w:sz="18" w:space="8" w:color="0B2545"/>
        </w:pBdr>
      </w:pPr>
      <w:r>
        <w:rPr>
          <w:rFonts w:ascii="Calibri" w:hAnsi="Calibri"/>
          <w:b/>
          <w:color w:val="0B2545"/>
        </w:rPr>
        <w:t xml:space="preserve">Criterio de uso: </w:t>
      </w:r>
      <w:r>
        <w:rPr>
          <w:rFonts w:ascii="Calibri" w:hAnsi="Calibri"/>
        </w:rPr>
        <w:t>Las configuraciones temporales de desarrollo - formateo de memoria al arranque, inicio directo en STATE_FLIGHT y tareas E-Link inhibidas - no se consideran decisiones de diseño. Se mantienen durante desarrollo, pero deberán quedar desactivadas o gobernadas por un perfil DEV antes de generar el binario de vuelo.</w:t>
      </w:r>
    </w:p>
    <w:p>
      <w:pPr>
        <w:pStyle w:val="Heading1"/>
        <w:keepNext/>
      </w:pPr>
      <w:r>
        <w:t>1. Alcance y prioridades</w:t>
      </w:r>
    </w:p>
    <w:p>
      <w:pPr>
        <w:spacing w:before="0" w:after="120" w:line="300" w:lineRule="auto"/>
      </w:pPr>
      <w:r>
        <w:rPr>
          <w:rFonts w:ascii="Calibri" w:hAnsi="Calibri"/>
        </w:rPr>
        <w:t>Este documento identifica el trabajo software pendiente para que la implementación satisfaga los requisitos existentes. No propone modificar requisitos. Cuando un requisito depende de hardware eliminado o no disponible, se registra como brecha de cumplimiento externa al alcance del software.</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900"/>
        <w:gridCol w:w="4860"/>
        <w:gridCol w:w="3600"/>
      </w:tblGrid>
      <w:tr>
        <w:trPr>
          <w:tblHeader w:val="true"/>
        </w:trPr>
        <w:tc>
          <w:tcPr>
            <w:tcW w:type="dxa" w:w="900"/>
            <w:vAlign w:val="center"/>
            <w:tcMar>
              <w:top w:w="80" w:type="dxa"/>
              <w:start w:w="120" w:type="dxa"/>
              <w:bottom w:w="80" w:type="dxa"/>
              <w:end w:w="120" w:type="dxa"/>
            </w:tcMar>
            <w:shd w:fill="E8EEF5"/>
          </w:tcPr>
          <w:p>
            <w:pPr>
              <w:spacing w:after="0"/>
            </w:pPr>
            <w:r>
              <w:rPr>
                <w:rFonts w:ascii="Calibri" w:hAnsi="Calibri"/>
                <w:b/>
                <w:color w:val="0B2545"/>
                <w:sz w:val="19"/>
              </w:rPr>
              <w:t>Nivel</w:t>
            </w:r>
          </w:p>
        </w:tc>
        <w:tc>
          <w:tcPr>
            <w:tcW w:type="dxa" w:w="4860"/>
            <w:vAlign w:val="center"/>
            <w:tcMar>
              <w:top w:w="80" w:type="dxa"/>
              <w:start w:w="120" w:type="dxa"/>
              <w:bottom w:w="80" w:type="dxa"/>
              <w:end w:w="120" w:type="dxa"/>
            </w:tcMar>
            <w:shd w:fill="E8EEF5"/>
          </w:tcPr>
          <w:p>
            <w:pPr>
              <w:spacing w:after="0"/>
            </w:pPr>
            <w:r>
              <w:rPr>
                <w:rFonts w:ascii="Calibri" w:hAnsi="Calibri"/>
                <w:b/>
                <w:color w:val="0B2545"/>
                <w:sz w:val="19"/>
              </w:rPr>
              <w:t>Interpretación</w:t>
            </w:r>
          </w:p>
        </w:tc>
        <w:tc>
          <w:tcPr>
            <w:tcW w:type="dxa" w:w="3600"/>
            <w:vAlign w:val="center"/>
            <w:tcMar>
              <w:top w:w="80" w:type="dxa"/>
              <w:start w:w="120" w:type="dxa"/>
              <w:bottom w:w="80" w:type="dxa"/>
              <w:end w:w="120" w:type="dxa"/>
            </w:tcMar>
            <w:shd w:fill="E8EEF5"/>
          </w:tcPr>
          <w:p>
            <w:pPr>
              <w:spacing w:after="0"/>
            </w:pPr>
            <w:r>
              <w:rPr>
                <w:rFonts w:ascii="Calibri" w:hAnsi="Calibri"/>
                <w:b/>
                <w:color w:val="0B2545"/>
                <w:sz w:val="19"/>
              </w:rPr>
              <w:t>Momento de cierre</w:t>
            </w:r>
          </w:p>
        </w:tc>
      </w:tr>
      <w:tr>
        <w:tc>
          <w:tcPr>
            <w:tcW w:type="dxa" w:w="900"/>
            <w:vAlign w:val="center"/>
            <w:tcMar>
              <w:top w:w="80" w:type="dxa"/>
              <w:start w:w="120" w:type="dxa"/>
              <w:bottom w:w="80" w:type="dxa"/>
              <w:end w:w="120" w:type="dxa"/>
            </w:tcMar>
          </w:tcPr>
          <w:p>
            <w:pPr>
              <w:spacing w:after="0" w:line="264" w:lineRule="auto"/>
            </w:pPr>
            <w:r>
              <w:rPr>
                <w:rFonts w:ascii="Calibri" w:hAnsi="Calibri"/>
                <w:sz w:val="19"/>
              </w:rPr>
              <w:t>P0</w:t>
            </w:r>
          </w:p>
        </w:tc>
        <w:tc>
          <w:tcPr>
            <w:tcW w:type="dxa" w:w="4860"/>
            <w:vAlign w:val="center"/>
            <w:tcMar>
              <w:top w:w="80" w:type="dxa"/>
              <w:start w:w="120" w:type="dxa"/>
              <w:bottom w:w="80" w:type="dxa"/>
              <w:end w:w="120" w:type="dxa"/>
            </w:tcMar>
          </w:tcPr>
          <w:p>
            <w:pPr>
              <w:spacing w:after="0" w:line="264" w:lineRule="auto"/>
            </w:pPr>
            <w:r>
              <w:rPr>
                <w:rFonts w:ascii="Calibri" w:hAnsi="Calibri"/>
                <w:sz w:val="19"/>
              </w:rPr>
              <w:t>Bloqueante de seguridad, comunicaciones o conservación de datos.</w:t>
            </w:r>
          </w:p>
        </w:tc>
        <w:tc>
          <w:tcPr>
            <w:tcW w:type="dxa" w:w="3600"/>
            <w:vAlign w:val="center"/>
            <w:tcMar>
              <w:top w:w="80" w:type="dxa"/>
              <w:start w:w="120" w:type="dxa"/>
              <w:bottom w:w="80" w:type="dxa"/>
              <w:end w:w="120" w:type="dxa"/>
            </w:tcMar>
          </w:tcPr>
          <w:p>
            <w:pPr>
              <w:spacing w:after="0" w:line="264" w:lineRule="auto"/>
            </w:pPr>
            <w:r>
              <w:rPr>
                <w:rFonts w:ascii="Calibri" w:hAnsi="Calibri"/>
                <w:sz w:val="19"/>
              </w:rPr>
              <w:t>Antes de la versión candidata de vuelo.</w:t>
            </w:r>
          </w:p>
        </w:tc>
      </w:tr>
      <w:tr>
        <w:tc>
          <w:tcPr>
            <w:tcW w:type="dxa" w:w="900"/>
            <w:vAlign w:val="center"/>
            <w:tcMar>
              <w:top w:w="80" w:type="dxa"/>
              <w:start w:w="120" w:type="dxa"/>
              <w:bottom w:w="80" w:type="dxa"/>
              <w:end w:w="120" w:type="dxa"/>
            </w:tcMar>
          </w:tcPr>
          <w:p>
            <w:pPr>
              <w:spacing w:after="0" w:line="264" w:lineRule="auto"/>
            </w:pPr>
            <w:r>
              <w:rPr>
                <w:rFonts w:ascii="Calibri" w:hAnsi="Calibri"/>
                <w:sz w:val="19"/>
              </w:rPr>
              <w:t>P1</w:t>
            </w:r>
          </w:p>
        </w:tc>
        <w:tc>
          <w:tcPr>
            <w:tcW w:type="dxa" w:w="4860"/>
            <w:vAlign w:val="center"/>
            <w:tcMar>
              <w:top w:w="80" w:type="dxa"/>
              <w:start w:w="120" w:type="dxa"/>
              <w:bottom w:w="80" w:type="dxa"/>
              <w:end w:w="120" w:type="dxa"/>
            </w:tcMar>
          </w:tcPr>
          <w:p>
            <w:pPr>
              <w:spacing w:after="0" w:line="264" w:lineRule="auto"/>
            </w:pPr>
            <w:r>
              <w:rPr>
                <w:rFonts w:ascii="Calibri" w:hAnsi="Calibri"/>
                <w:sz w:val="19"/>
              </w:rPr>
              <w:t>Necesario para validez científica, operación o cumplimiento verificable.</w:t>
            </w:r>
          </w:p>
        </w:tc>
        <w:tc>
          <w:tcPr>
            <w:tcW w:type="dxa" w:w="3600"/>
            <w:vAlign w:val="center"/>
            <w:tcMar>
              <w:top w:w="80" w:type="dxa"/>
              <w:start w:w="120" w:type="dxa"/>
              <w:bottom w:w="80" w:type="dxa"/>
              <w:end w:w="120" w:type="dxa"/>
            </w:tcMar>
          </w:tcPr>
          <w:p>
            <w:pPr>
              <w:spacing w:after="0" w:line="264" w:lineRule="auto"/>
            </w:pPr>
            <w:r>
              <w:rPr>
                <w:rFonts w:ascii="Calibri" w:hAnsi="Calibri"/>
                <w:sz w:val="19"/>
              </w:rPr>
              <w:t>Antes de pruebas integradas y congelación.</w:t>
            </w:r>
          </w:p>
        </w:tc>
      </w:tr>
      <w:tr>
        <w:tc>
          <w:tcPr>
            <w:tcW w:type="dxa" w:w="900"/>
            <w:vAlign w:val="center"/>
            <w:tcMar>
              <w:top w:w="80" w:type="dxa"/>
              <w:start w:w="120" w:type="dxa"/>
              <w:bottom w:w="80" w:type="dxa"/>
              <w:end w:w="120" w:type="dxa"/>
            </w:tcMar>
          </w:tcPr>
          <w:p>
            <w:pPr>
              <w:spacing w:after="0" w:line="264" w:lineRule="auto"/>
            </w:pPr>
            <w:r>
              <w:rPr>
                <w:rFonts w:ascii="Calibri" w:hAnsi="Calibri"/>
                <w:sz w:val="19"/>
              </w:rPr>
              <w:t>P2</w:t>
            </w:r>
          </w:p>
        </w:tc>
        <w:tc>
          <w:tcPr>
            <w:tcW w:type="dxa" w:w="4860"/>
            <w:vAlign w:val="center"/>
            <w:tcMar>
              <w:top w:w="80" w:type="dxa"/>
              <w:start w:w="120" w:type="dxa"/>
              <w:bottom w:w="80" w:type="dxa"/>
              <w:end w:w="120" w:type="dxa"/>
            </w:tcMar>
          </w:tcPr>
          <w:p>
            <w:pPr>
              <w:spacing w:after="0" w:line="264" w:lineRule="auto"/>
            </w:pPr>
            <w:r>
              <w:rPr>
                <w:rFonts w:ascii="Calibri" w:hAnsi="Calibri"/>
                <w:sz w:val="19"/>
              </w:rPr>
              <w:t>Robustez, mantenibilidad, observabilidad o deuda técnica controlada.</w:t>
            </w:r>
          </w:p>
        </w:tc>
        <w:tc>
          <w:tcPr>
            <w:tcW w:type="dxa" w:w="3600"/>
            <w:vAlign w:val="center"/>
            <w:tcMar>
              <w:top w:w="80" w:type="dxa"/>
              <w:start w:w="120" w:type="dxa"/>
              <w:bottom w:w="80" w:type="dxa"/>
              <w:end w:w="120" w:type="dxa"/>
            </w:tcMar>
          </w:tcPr>
          <w:p>
            <w:pPr>
              <w:spacing w:after="0" w:line="264" w:lineRule="auto"/>
            </w:pPr>
            <w:r>
              <w:rPr>
                <w:rFonts w:ascii="Calibri" w:hAnsi="Calibri"/>
                <w:sz w:val="19"/>
              </w:rPr>
              <w:t>Antes de campaña o mediante desviación aceptada.</w:t>
            </w:r>
          </w:p>
        </w:tc>
      </w:tr>
    </w:tbl>
    <w:p>
      <w:pPr>
        <w:spacing w:after="40"/>
      </w:pPr>
    </w:p>
    <w:p>
      <w:pPr>
        <w:pStyle w:val="Heading1"/>
        <w:keepNext/>
      </w:pPr>
      <w:r>
        <w:t>2. Perfil de compilación y configuraciones temporales</w:t>
      </w:r>
    </w:p>
    <w:p>
      <w:pPr>
        <w:keepNext/>
        <w:spacing w:before="120" w:after="60"/>
      </w:pPr>
      <w:r>
        <w:rPr>
          <w:rFonts w:ascii="Calibri" w:hAnsi="Calibri"/>
          <w:b/>
          <w:color w:val="1F4D78"/>
          <w:sz w:val="23"/>
        </w:rPr>
        <w:t>REL-01 · P0 · Separar perfiles DEV y FLIGHT</w:t>
      </w:r>
    </w:p>
    <w:p>
      <w:pPr>
        <w:spacing w:before="0" w:after="120" w:line="300" w:lineRule="auto"/>
      </w:pPr>
      <w:r>
        <w:rPr>
          <w:rFonts w:ascii="Calibri" w:hAnsi="Calibri"/>
        </w:rPr>
        <w:t>Crear una configuración central de compilación que agrupe todas las ayudas temporales. El binario FLIGHT debe rechazar por compilación cualquier combinación que borre memoria, fuerce STATE_FLIGHT, desactive E-Link o relaje la validación CRC.</w:t>
      </w:r>
    </w:p>
    <w:p>
      <w:pPr>
        <w:numPr>
          <w:ilvl w:val="0"/>
          <w:numId w:val="10"/>
        </w:numPr>
        <w:spacing w:before="0" w:after="80" w:line="300" w:lineRule="auto"/>
      </w:pPr>
      <w:r>
        <w:rPr>
          <w:rFonts w:ascii="Calibri" w:hAnsi="Calibri"/>
          <w:b/>
        </w:rPr>
        <w:t>Criterio de cierre:</w:t>
      </w:r>
      <w:r>
        <w:rPr>
          <w:rFonts w:ascii="Calibri" w:hAnsi="Calibri"/>
        </w:rPr>
        <w:t xml:space="preserve"> El mapa de compilación registra BLESS_BUILD_FLIGHT y no contiene ningún flag DEV activo.</w:t>
      </w:r>
    </w:p>
    <w:p>
      <w:pPr>
        <w:keepNext/>
        <w:spacing w:before="120" w:after="60"/>
      </w:pPr>
      <w:r>
        <w:rPr>
          <w:rFonts w:ascii="Calibri" w:hAnsi="Calibri"/>
          <w:b/>
          <w:color w:val="1F4D78"/>
          <w:sz w:val="23"/>
        </w:rPr>
        <w:t>REL-02 · P0 · Estado inicial de vuelo</w:t>
      </w:r>
    </w:p>
    <w:p>
      <w:pPr>
        <w:spacing w:before="0" w:after="120" w:line="300" w:lineRule="auto"/>
      </w:pPr>
      <w:r>
        <w:rPr>
          <w:rFonts w:ascii="Calibri" w:hAnsi="Calibri"/>
        </w:rPr>
        <w:t>Mantener el arranque directo en STATE_FLIGHT únicamente en DEV. En FLIGHT, comenzar en INIT, ejecutar el self-test, pasar a IDLE/READY y aceptar la transición operacional definida por los comandos y el timeline.</w:t>
      </w:r>
    </w:p>
    <w:p>
      <w:pPr>
        <w:numPr>
          <w:ilvl w:val="0"/>
          <w:numId w:val="10"/>
        </w:numPr>
        <w:spacing w:before="0" w:after="80" w:line="300" w:lineRule="auto"/>
      </w:pPr>
      <w:r>
        <w:rPr>
          <w:rFonts w:ascii="Calibri" w:hAnsi="Calibri"/>
          <w:b/>
        </w:rPr>
        <w:t>Criterio de cierre:</w:t>
      </w:r>
      <w:r>
        <w:rPr>
          <w:rFonts w:ascii="Calibri" w:hAnsi="Calibri"/>
        </w:rPr>
        <w:t xml:space="preserve"> Tras power-on, el payload no transmite ni activa heaters hasta completar la inicialización prevista.</w:t>
      </w:r>
    </w:p>
    <w:p>
      <w:pPr>
        <w:keepNext/>
        <w:spacing w:before="120" w:after="60"/>
      </w:pPr>
      <w:r>
        <w:rPr>
          <w:rFonts w:ascii="Calibri" w:hAnsi="Calibri"/>
          <w:b/>
          <w:color w:val="1F4D78"/>
          <w:sz w:val="23"/>
        </w:rPr>
        <w:t>REL-03 · P0 · Formateo controlado de memoria</w:t>
      </w:r>
    </w:p>
    <w:p>
      <w:pPr>
        <w:spacing w:before="0" w:after="120" w:line="300" w:lineRule="auto"/>
      </w:pPr>
      <w:r>
        <w:rPr>
          <w:rFonts w:ascii="Calibri" w:hAnsi="Calibri"/>
        </w:rPr>
        <w:t>Mantener el formateo automático solo como utilidad de laboratorio. En FLIGHT, el arranque debe escanear la memoria existente, abrir una nueva sesión y conservar los registros de boots anteriores.</w:t>
      </w:r>
    </w:p>
    <w:p>
      <w:pPr>
        <w:numPr>
          <w:ilvl w:val="0"/>
          <w:numId w:val="10"/>
        </w:numPr>
        <w:spacing w:before="0" w:after="80" w:line="300" w:lineRule="auto"/>
      </w:pPr>
      <w:r>
        <w:rPr>
          <w:rFonts w:ascii="Calibri" w:hAnsi="Calibri"/>
          <w:b/>
        </w:rPr>
        <w:t>Criterio de cierre:</w:t>
      </w:r>
      <w:r>
        <w:rPr>
          <w:rFonts w:ascii="Calibri" w:hAnsi="Calibri"/>
        </w:rPr>
        <w:t xml:space="preserve"> Tres power-cycles consecutivos conservan los paquetes previos y permiten continuar escribiendo.</w:t>
      </w:r>
    </w:p>
    <w:p>
      <w:pPr>
        <w:keepNext/>
        <w:spacing w:before="120" w:after="60"/>
      </w:pPr>
      <w:r>
        <w:rPr>
          <w:rFonts w:ascii="Calibri" w:hAnsi="Calibri"/>
          <w:b/>
          <w:color w:val="1F4D78"/>
          <w:sz w:val="23"/>
        </w:rPr>
        <w:t>REL-04 · P1 · Gate de liberación</w:t>
      </w:r>
    </w:p>
    <w:p>
      <w:pPr>
        <w:spacing w:before="0" w:after="120" w:line="300" w:lineRule="auto"/>
      </w:pPr>
      <w:r>
        <w:rPr>
          <w:rFonts w:ascii="Calibri" w:hAnsi="Calibri"/>
        </w:rPr>
        <w:t>Añadir una comprobación automática previa a release que busque IP antiguas, FORMAT incondicional, force-flight, CRC permisivo y sockets comentados. La generación del binario de vuelo debe fallar si queda una condición temporal activa.</w:t>
      </w:r>
    </w:p>
    <w:p>
      <w:pPr>
        <w:numPr>
          <w:ilvl w:val="0"/>
          <w:numId w:val="10"/>
        </w:numPr>
        <w:spacing w:before="0" w:after="80" w:line="300" w:lineRule="auto"/>
      </w:pPr>
      <w:r>
        <w:rPr>
          <w:rFonts w:ascii="Calibri" w:hAnsi="Calibri"/>
          <w:b/>
        </w:rPr>
        <w:t>Criterio de cierre:</w:t>
      </w:r>
      <w:r>
        <w:rPr>
          <w:rFonts w:ascii="Calibri" w:hAnsi="Calibri"/>
        </w:rPr>
        <w:t xml:space="preserve"> Un script o job CI produce un informe limpio y archiva hash, versión y configuración del binario.</w:t>
      </w:r>
    </w:p>
    <w:p>
      <w:pPr>
        <w:pStyle w:val="Heading1"/>
        <w:keepNext/>
      </w:pPr>
      <w:r>
        <w:t>3. Configuración E-Link e IP definitivas</w:t>
      </w:r>
    </w:p>
    <w:p>
      <w:pPr>
        <w:spacing w:before="0" w:after="120" w:line="300" w:lineRule="auto"/>
      </w:pPr>
      <w:r>
        <w:rPr>
          <w:rFonts w:ascii="Calibri" w:hAnsi="Calibri"/>
        </w:rPr>
        <w:t>La asignación final de direcciones BEXUS no se incluyó en la solicitud. Por tanto, el cierre consiste en sustituir de forma coordinada todos los valores actuales cuando se facilite la hoja final de red. No deben quedar IP duplicadas o hardcodeadas en módulos distintos.</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900"/>
        <w:gridCol w:w="1800"/>
        <w:gridCol w:w="2100"/>
        <w:gridCol w:w="3560"/>
      </w:tblGrid>
      <w:tr>
        <w:trPr>
          <w:tblHeader w:val="true"/>
        </w:trPr>
        <w:tc>
          <w:tcPr>
            <w:tcW w:type="dxa" w:w="1900"/>
            <w:vAlign w:val="center"/>
            <w:tcMar>
              <w:top w:w="80" w:type="dxa"/>
              <w:start w:w="120" w:type="dxa"/>
              <w:bottom w:w="80" w:type="dxa"/>
              <w:end w:w="120" w:type="dxa"/>
            </w:tcMar>
            <w:shd w:fill="E8EEF5"/>
          </w:tcPr>
          <w:p>
            <w:pPr>
              <w:spacing w:after="0"/>
            </w:pPr>
            <w:r>
              <w:rPr>
                <w:rFonts w:ascii="Calibri" w:hAnsi="Calibri"/>
                <w:b/>
                <w:color w:val="0B2545"/>
                <w:sz w:val="17"/>
              </w:rPr>
              <w:t>Extremo</w:t>
            </w:r>
          </w:p>
        </w:tc>
        <w:tc>
          <w:tcPr>
            <w:tcW w:type="dxa" w:w="1800"/>
            <w:vAlign w:val="center"/>
            <w:tcMar>
              <w:top w:w="80" w:type="dxa"/>
              <w:start w:w="120" w:type="dxa"/>
              <w:bottom w:w="80" w:type="dxa"/>
              <w:end w:w="120" w:type="dxa"/>
            </w:tcMar>
            <w:shd w:fill="E8EEF5"/>
          </w:tcPr>
          <w:p>
            <w:pPr>
              <w:spacing w:after="0"/>
            </w:pPr>
            <w:r>
              <w:rPr>
                <w:rFonts w:ascii="Calibri" w:hAnsi="Calibri"/>
                <w:b/>
                <w:color w:val="0B2545"/>
                <w:sz w:val="17"/>
              </w:rPr>
              <w:t>Parámetro</w:t>
            </w:r>
          </w:p>
        </w:tc>
        <w:tc>
          <w:tcPr>
            <w:tcW w:type="dxa" w:w="2100"/>
            <w:vAlign w:val="center"/>
            <w:tcMar>
              <w:top w:w="80" w:type="dxa"/>
              <w:start w:w="120" w:type="dxa"/>
              <w:bottom w:w="80" w:type="dxa"/>
              <w:end w:w="120" w:type="dxa"/>
            </w:tcMar>
            <w:shd w:fill="E8EEF5"/>
          </w:tcPr>
          <w:p>
            <w:pPr>
              <w:spacing w:after="0"/>
            </w:pPr>
            <w:r>
              <w:rPr>
                <w:rFonts w:ascii="Calibri" w:hAnsi="Calibri"/>
                <w:b/>
                <w:color w:val="0B2545"/>
                <w:sz w:val="17"/>
              </w:rPr>
              <w:t>Valor actual</w:t>
            </w:r>
          </w:p>
        </w:tc>
        <w:tc>
          <w:tcPr>
            <w:tcW w:type="dxa" w:w="3560"/>
            <w:vAlign w:val="center"/>
            <w:tcMar>
              <w:top w:w="80" w:type="dxa"/>
              <w:start w:w="120" w:type="dxa"/>
              <w:bottom w:w="80" w:type="dxa"/>
              <w:end w:w="120" w:type="dxa"/>
            </w:tcMar>
            <w:shd w:fill="E8EEF5"/>
          </w:tcPr>
          <w:p>
            <w:pPr>
              <w:spacing w:after="0"/>
            </w:pPr>
            <w:r>
              <w:rPr>
                <w:rFonts w:ascii="Calibri" w:hAnsi="Calibri"/>
                <w:b/>
                <w:color w:val="0B2545"/>
                <w:sz w:val="17"/>
              </w:rPr>
              <w:t>Acción de cierre</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Payload / W5500</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IP local</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10.86.110.200</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Asignación final BEXUS no facilitada</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Payload / W5500</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Gateway</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10.86.110.190</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Asignación final BEXUS no facilitada</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Payload / W5500</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Netmask</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255.255.255.0</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Confirmar con hoja de red final</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Payload / W5500</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MAC</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00:08:DC:AB:CD:EF</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Confirmar unicidad y valor autorizado</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Destino Ground Station</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IP de downlink</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10.86.200.5</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Asignación final BEXUS no facilitada</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E-Link UDP</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Puerto payload RX/TX</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5000 / 5001 previsto</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Congelar puertos y sentido de cada socket</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Ground Station</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Payload remoto</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10.86.110.200:5000</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Debe coincidir con IP/puerto final del payload</w:t>
            </w:r>
          </w:p>
        </w:tc>
      </w:tr>
      <w:tr>
        <w:tc>
          <w:tcPr>
            <w:tcW w:type="dxa" w:w="1900"/>
            <w:vAlign w:val="center"/>
            <w:tcMar>
              <w:top w:w="80" w:type="dxa"/>
              <w:start w:w="120" w:type="dxa"/>
              <w:bottom w:w="80" w:type="dxa"/>
              <w:end w:w="120" w:type="dxa"/>
            </w:tcMar>
          </w:tcPr>
          <w:p>
            <w:pPr>
              <w:spacing w:after="0" w:line="264" w:lineRule="auto"/>
            </w:pPr>
            <w:r>
              <w:rPr>
                <w:rFonts w:ascii="Calibri" w:hAnsi="Calibri"/>
                <w:sz w:val="17"/>
              </w:rPr>
              <w:t>Ground Station</w:t>
            </w:r>
          </w:p>
        </w:tc>
        <w:tc>
          <w:tcPr>
            <w:tcW w:type="dxa" w:w="1800"/>
            <w:vAlign w:val="center"/>
            <w:tcMar>
              <w:top w:w="80" w:type="dxa"/>
              <w:start w:w="120" w:type="dxa"/>
              <w:bottom w:w="80" w:type="dxa"/>
              <w:end w:w="120" w:type="dxa"/>
            </w:tcMar>
          </w:tcPr>
          <w:p>
            <w:pPr>
              <w:spacing w:after="0" w:line="264" w:lineRule="auto"/>
            </w:pPr>
            <w:r>
              <w:rPr>
                <w:rFonts w:ascii="Calibri" w:hAnsi="Calibri"/>
                <w:sz w:val="17"/>
              </w:rPr>
              <w:t>Puerto local</w:t>
            </w:r>
          </w:p>
        </w:tc>
        <w:tc>
          <w:tcPr>
            <w:tcW w:type="dxa" w:w="2100"/>
            <w:vAlign w:val="center"/>
            <w:tcMar>
              <w:top w:w="80" w:type="dxa"/>
              <w:start w:w="120" w:type="dxa"/>
              <w:bottom w:w="80" w:type="dxa"/>
              <w:end w:w="120" w:type="dxa"/>
            </w:tcMar>
          </w:tcPr>
          <w:p>
            <w:pPr>
              <w:spacing w:after="0" w:line="264" w:lineRule="auto"/>
            </w:pPr>
            <w:r>
              <w:rPr>
                <w:rFonts w:ascii="Calibri" w:hAnsi="Calibri"/>
                <w:sz w:val="17"/>
              </w:rPr>
              <w:t>5000</w:t>
            </w:r>
          </w:p>
        </w:tc>
        <w:tc>
          <w:tcPr>
            <w:tcW w:type="dxa" w:w="3560"/>
            <w:vAlign w:val="center"/>
            <w:tcMar>
              <w:top w:w="80" w:type="dxa"/>
              <w:start w:w="120" w:type="dxa"/>
              <w:bottom w:w="80" w:type="dxa"/>
              <w:end w:w="120" w:type="dxa"/>
            </w:tcMar>
          </w:tcPr>
          <w:p>
            <w:pPr>
              <w:spacing w:after="0" w:line="264" w:lineRule="auto"/>
            </w:pPr>
            <w:r>
              <w:rPr>
                <w:rFonts w:ascii="Calibri" w:hAnsi="Calibri"/>
                <w:sz w:val="17"/>
              </w:rPr>
              <w:t>Confirmar bind y reglas de firewall</w:t>
            </w:r>
          </w:p>
        </w:tc>
      </w:tr>
    </w:tbl>
    <w:p>
      <w:pPr>
        <w:spacing w:after="40"/>
      </w:pPr>
    </w:p>
    <w:p>
      <w:pPr>
        <w:keepNext/>
        <w:spacing w:before="120" w:after="60"/>
      </w:pPr>
      <w:r>
        <w:rPr>
          <w:rFonts w:ascii="Calibri" w:hAnsi="Calibri"/>
          <w:b/>
          <w:color w:val="1F4D78"/>
          <w:sz w:val="23"/>
        </w:rPr>
        <w:t>NET-01 · P0 · Centralizar configuración de red</w:t>
      </w:r>
    </w:p>
    <w:p>
      <w:pPr>
        <w:spacing w:before="0" w:after="120" w:line="300" w:lineRule="auto"/>
      </w:pPr>
      <w:r>
        <w:rPr>
          <w:rFonts w:ascii="Calibri" w:hAnsi="Calibri"/>
        </w:rPr>
        <w:t>Definir una única estructura de configuración del payload con IP, gateway, máscara, MAC, puertos y destino. En Ground Station, cargar el mismo contrato desde variables de entorno o fichero versionado de campaña, sin defaults de desarrollo silenciosos.</w:t>
      </w:r>
    </w:p>
    <w:p>
      <w:pPr>
        <w:numPr>
          <w:ilvl w:val="0"/>
          <w:numId w:val="10"/>
        </w:numPr>
        <w:spacing w:before="0" w:after="80" w:line="300" w:lineRule="auto"/>
      </w:pPr>
      <w:r>
        <w:rPr>
          <w:rFonts w:ascii="Calibri" w:hAnsi="Calibri"/>
          <w:b/>
        </w:rPr>
        <w:t>Criterio de cierre:</w:t>
      </w:r>
      <w:r>
        <w:rPr>
          <w:rFonts w:ascii="Calibri" w:hAnsi="Calibri"/>
        </w:rPr>
        <w:t xml:space="preserve"> La configuración efectiva se imprime al arranque y coincide con la hoja BEXUS firmada.</w:t>
      </w:r>
    </w:p>
    <w:p>
      <w:pPr>
        <w:keepNext/>
        <w:spacing w:before="120" w:after="60"/>
      </w:pPr>
      <w:r>
        <w:rPr>
          <w:rFonts w:ascii="Calibri" w:hAnsi="Calibri"/>
          <w:b/>
          <w:color w:val="1F4D78"/>
          <w:sz w:val="23"/>
        </w:rPr>
        <w:t>NET-02 · P0 · Sustituir valores finales</w:t>
      </w:r>
    </w:p>
    <w:p>
      <w:pPr>
        <w:spacing w:before="0" w:after="120" w:line="300" w:lineRule="auto"/>
      </w:pPr>
      <w:r>
        <w:rPr>
          <w:rFonts w:ascii="Calibri" w:hAnsi="Calibri"/>
        </w:rPr>
        <w:t>Actualizar wizchip_port.c/.h, la configuración del backend, README y scripts de lanzamiento. Realizar una búsqueda global de las direcciones antiguas antes de etiquetar la release.</w:t>
      </w:r>
    </w:p>
    <w:p>
      <w:pPr>
        <w:numPr>
          <w:ilvl w:val="0"/>
          <w:numId w:val="10"/>
        </w:numPr>
        <w:spacing w:before="0" w:after="80" w:line="300" w:lineRule="auto"/>
      </w:pPr>
      <w:r>
        <w:rPr>
          <w:rFonts w:ascii="Calibri" w:hAnsi="Calibri"/>
          <w:b/>
        </w:rPr>
        <w:t>Criterio de cierre:</w:t>
      </w:r>
      <w:r>
        <w:rPr>
          <w:rFonts w:ascii="Calibri" w:hAnsi="Calibri"/>
        </w:rPr>
        <w:t xml:space="preserve"> No aparece ninguna IP obsoleta y se registra la tabla final de endpoints en el paquete de campaña.</w:t>
      </w:r>
    </w:p>
    <w:p>
      <w:pPr>
        <w:keepNext/>
        <w:spacing w:before="120" w:after="60"/>
      </w:pPr>
      <w:r>
        <w:rPr>
          <w:rFonts w:ascii="Calibri" w:hAnsi="Calibri"/>
          <w:b/>
          <w:color w:val="1F4D78"/>
          <w:sz w:val="23"/>
        </w:rPr>
        <w:t>NET-03 · P0 · Verificación bidireccional</w:t>
      </w:r>
    </w:p>
    <w:p>
      <w:pPr>
        <w:spacing w:before="0" w:after="120" w:line="300" w:lineRule="auto"/>
      </w:pPr>
      <w:r>
        <w:rPr>
          <w:rFonts w:ascii="Calibri" w:hAnsi="Calibri"/>
        </w:rPr>
        <w:t>Probar ping/ACK, telemetría continua y telecommand desde la red equivalente a campaña. Verificar ruta a través del gateway, firewall, puertos locales y respuesta al host/puerto de origen.</w:t>
      </w:r>
    </w:p>
    <w:p>
      <w:pPr>
        <w:numPr>
          <w:ilvl w:val="0"/>
          <w:numId w:val="10"/>
        </w:numPr>
        <w:spacing w:before="0" w:after="80" w:line="300" w:lineRule="auto"/>
      </w:pPr>
      <w:r>
        <w:rPr>
          <w:rFonts w:ascii="Calibri" w:hAnsi="Calibri"/>
          <w:b/>
        </w:rPr>
        <w:t>Criterio de cierre:</w:t>
      </w:r>
      <w:r>
        <w:rPr>
          <w:rFonts w:ascii="Calibri" w:hAnsi="Calibri"/>
        </w:rPr>
        <w:t xml:space="preserve"> Ensayo continuo de 30 minutos sin pérdida causada por configuración, con captura de tráfico archivada.</w:t>
      </w:r>
    </w:p>
    <w:p>
      <w:pPr>
        <w:pStyle w:val="Heading1"/>
        <w:keepNext/>
      </w:pPr>
      <w:r>
        <w:t>4. E-Link de vuelo</w:t>
      </w:r>
    </w:p>
    <w:p>
      <w:pPr>
        <w:keepNext/>
        <w:spacing w:before="120" w:after="60"/>
      </w:pPr>
      <w:r>
        <w:rPr>
          <w:rFonts w:ascii="Calibri" w:hAnsi="Calibri"/>
          <w:b/>
          <w:color w:val="1F4D78"/>
          <w:sz w:val="23"/>
        </w:rPr>
        <w:t>EL-01 · P0 · Habilitar TX durante STATE_FLIGHT</w:t>
      </w:r>
    </w:p>
    <w:p>
      <w:pPr>
        <w:spacing w:before="0" w:after="120" w:line="300" w:lineRule="auto"/>
      </w:pPr>
      <w:r>
        <w:rPr>
          <w:rFonts w:ascii="Calibri" w:hAnsi="Calibri"/>
        </w:rPr>
        <w:t>Restaurar la apertura del socket TX y eliminar la condición contradictoria que impide consumir txElinkMailBox en vuelo. La tarea debe enviar cada snapshot a 1 Hz y comprobar el resultado de sendto().</w:t>
      </w:r>
    </w:p>
    <w:p>
      <w:pPr>
        <w:numPr>
          <w:ilvl w:val="0"/>
          <w:numId w:val="10"/>
        </w:numPr>
        <w:spacing w:before="0" w:after="80" w:line="300" w:lineRule="auto"/>
      </w:pPr>
      <w:r>
        <w:rPr>
          <w:rFonts w:ascii="Calibri" w:hAnsi="Calibri"/>
          <w:b/>
        </w:rPr>
        <w:t>Criterio de cierre:</w:t>
      </w:r>
      <w:r>
        <w:rPr>
          <w:rFonts w:ascii="Calibri" w:hAnsi="Calibri"/>
        </w:rPr>
        <w:t xml:space="preserve"> La Ground Station recibe contadores consecutivos a 1 Hz durante al menos 12 horas.</w:t>
      </w:r>
    </w:p>
    <w:p>
      <w:pPr>
        <w:keepNext/>
        <w:spacing w:before="120" w:after="60"/>
      </w:pPr>
      <w:r>
        <w:rPr>
          <w:rFonts w:ascii="Calibri" w:hAnsi="Calibri"/>
          <w:b/>
          <w:color w:val="1F4D78"/>
          <w:sz w:val="23"/>
        </w:rPr>
        <w:t>EL-02 · P0 · Aceptar comandos durante vuelo</w:t>
      </w:r>
    </w:p>
    <w:p>
      <w:pPr>
        <w:spacing w:before="0" w:after="120" w:line="300" w:lineRule="auto"/>
      </w:pPr>
      <w:r>
        <w:rPr>
          <w:rFonts w:ascii="Calibri" w:hAnsi="Calibri"/>
        </w:rPr>
        <w:t>La tarea RX debe permanecer operativa en INIT, IDLE y FLIGHT para permitir PING, RF_SILENCE, STOP y comandos autorizados. Las acciones deben aplicarse mediante flags/colas y no ejecutar operaciones largas dentro del parser.</w:t>
      </w:r>
    </w:p>
    <w:p>
      <w:pPr>
        <w:numPr>
          <w:ilvl w:val="0"/>
          <w:numId w:val="10"/>
        </w:numPr>
        <w:spacing w:before="0" w:after="80" w:line="300" w:lineRule="auto"/>
      </w:pPr>
      <w:r>
        <w:rPr>
          <w:rFonts w:ascii="Calibri" w:hAnsi="Calibri"/>
          <w:b/>
        </w:rPr>
        <w:t>Criterio de cierre:</w:t>
      </w:r>
      <w:r>
        <w:rPr>
          <w:rFonts w:ascii="Calibri" w:hAnsi="Calibri"/>
        </w:rPr>
        <w:t xml:space="preserve"> RF_SILENCE y STOP se ejecutan y confirman durante transmisión nominal.</w:t>
      </w:r>
    </w:p>
    <w:p>
      <w:pPr>
        <w:keepNext/>
        <w:spacing w:before="120" w:after="60"/>
      </w:pPr>
      <w:r>
        <w:rPr>
          <w:rFonts w:ascii="Calibri" w:hAnsi="Calibri"/>
          <w:b/>
          <w:color w:val="1F4D78"/>
          <w:sz w:val="23"/>
        </w:rPr>
        <w:t>EL-03 · P0 · Inicialización y recuperación del W5500</w:t>
      </w:r>
    </w:p>
    <w:p>
      <w:pPr>
        <w:spacing w:before="0" w:after="120" w:line="300" w:lineRule="auto"/>
      </w:pPr>
      <w:r>
        <w:rPr>
          <w:rFonts w:ascii="Calibri" w:hAnsi="Calibri"/>
        </w:rPr>
        <w:t>Designar una única tarea propietaria de la inicialización, abrir ambos sockets de forma determinista, comprobar link PHY y reabrir sockets tras error. Evitar que una ausencia temporal de E-Link bloquee la adquisición o logging.</w:t>
      </w:r>
    </w:p>
    <w:p>
      <w:pPr>
        <w:numPr>
          <w:ilvl w:val="0"/>
          <w:numId w:val="10"/>
        </w:numPr>
        <w:spacing w:before="0" w:after="80" w:line="300" w:lineRule="auto"/>
      </w:pPr>
      <w:r>
        <w:rPr>
          <w:rFonts w:ascii="Calibri" w:hAnsi="Calibri"/>
          <w:b/>
        </w:rPr>
        <w:t>Criterio de cierre:</w:t>
      </w:r>
      <w:r>
        <w:rPr>
          <w:rFonts w:ascii="Calibri" w:hAnsi="Calibri"/>
        </w:rPr>
        <w:t xml:space="preserve"> Desconectar/reconectar Ethernet no reinicia la adquisición y el enlace se recupera automáticamente.</w:t>
      </w:r>
    </w:p>
    <w:p>
      <w:pPr>
        <w:keepNext/>
        <w:spacing w:before="120" w:after="60"/>
      </w:pPr>
      <w:r>
        <w:rPr>
          <w:rFonts w:ascii="Calibri" w:hAnsi="Calibri"/>
          <w:b/>
          <w:color w:val="1F4D78"/>
          <w:sz w:val="23"/>
        </w:rPr>
        <w:t>EL-04 · P0 · Excluir carreras en el W5500</w:t>
      </w:r>
    </w:p>
    <w:p>
      <w:pPr>
        <w:spacing w:before="0" w:after="120" w:line="300" w:lineRule="auto"/>
      </w:pPr>
      <w:r>
        <w:rPr>
          <w:rFonts w:ascii="Calibri" w:hAnsi="Calibri"/>
        </w:rPr>
        <w:t>Proteger la ioLibrary y el SPI2 mediante mutex o una tarea de red única. Limitar recvfrom() al tamaño real de eth_rx_buffer y descartar datagramas sobredimensionados.</w:t>
      </w:r>
    </w:p>
    <w:p>
      <w:pPr>
        <w:numPr>
          <w:ilvl w:val="0"/>
          <w:numId w:val="10"/>
        </w:numPr>
        <w:spacing w:before="0" w:after="80" w:line="300" w:lineRule="auto"/>
      </w:pPr>
      <w:r>
        <w:rPr>
          <w:rFonts w:ascii="Calibri" w:hAnsi="Calibri"/>
          <w:b/>
        </w:rPr>
        <w:t>Criterio de cierre:</w:t>
      </w:r>
      <w:r>
        <w:rPr>
          <w:rFonts w:ascii="Calibri" w:hAnsi="Calibri"/>
        </w:rPr>
        <w:t xml:space="preserve"> Fault injection con tráfico simultáneo TX/RX no produce corrupción, bloqueo ni overflow.</w:t>
      </w:r>
    </w:p>
    <w:p>
      <w:pPr>
        <w:keepNext/>
        <w:spacing w:before="120" w:after="60"/>
      </w:pPr>
      <w:r>
        <w:rPr>
          <w:rFonts w:ascii="Calibri" w:hAnsi="Calibri"/>
          <w:b/>
          <w:color w:val="1F4D78"/>
          <w:sz w:val="23"/>
        </w:rPr>
        <w:t>EL-05 · P1 · Estado real del enlace</w:t>
      </w:r>
    </w:p>
    <w:p>
      <w:pPr>
        <w:spacing w:before="0" w:after="120" w:line="300" w:lineRule="auto"/>
      </w:pPr>
      <w:r>
        <w:rPr>
          <w:rFonts w:ascii="Calibri" w:hAnsi="Calibri"/>
        </w:rPr>
        <w:t>Distinguir socket local abierto, conectividad de red y payload operativo. Publicar last_rx_age, último PONG, errores TX/RX y contador de reconexiones.</w:t>
      </w:r>
    </w:p>
    <w:p>
      <w:pPr>
        <w:numPr>
          <w:ilvl w:val="0"/>
          <w:numId w:val="10"/>
        </w:numPr>
        <w:spacing w:before="0" w:after="80" w:line="300" w:lineRule="auto"/>
      </w:pPr>
      <w:r>
        <w:rPr>
          <w:rFonts w:ascii="Calibri" w:hAnsi="Calibri"/>
          <w:b/>
        </w:rPr>
        <w:t>Criterio de cierre:</w:t>
      </w:r>
      <w:r>
        <w:rPr>
          <w:rFonts w:ascii="Calibri" w:hAnsi="Calibri"/>
        </w:rPr>
        <w:t xml:space="preserve"> La GUI presenta READY, STALE o LOST según telemetría/ping, no solo según bind local.</w:t>
      </w:r>
    </w:p>
    <w:p>
      <w:pPr>
        <w:pStyle w:val="Heading1"/>
        <w:keepNext/>
      </w:pPr>
      <w:r>
        <w:t>5. Paquete, integridad y tiempo</w:t>
      </w:r>
    </w:p>
    <w:p>
      <w:pPr>
        <w:keepNext/>
        <w:spacing w:before="120" w:after="60"/>
      </w:pPr>
      <w:r>
        <w:rPr>
          <w:rFonts w:ascii="Calibri" w:hAnsi="Calibri"/>
          <w:b/>
          <w:color w:val="1F4D78"/>
          <w:sz w:val="23"/>
        </w:rPr>
        <w:t>PKT-01 · P0 · Calcular CRC antes del fan-out</w:t>
      </w:r>
    </w:p>
    <w:p>
      <w:pPr>
        <w:spacing w:before="0" w:after="120" w:line="300" w:lineRule="auto"/>
      </w:pPr>
      <w:r>
        <w:rPr>
          <w:rFonts w:ascii="Calibri" w:hAnsi="Calibri"/>
        </w:rPr>
        <w:t>Construir el paquete completo en ACQUIRE, calcular el CRC una sola vez y después copiar exactamente el mismo frame a E-Link, HaLow y SPI Flash. La Ground Station debe rechazar CRC inválido en perfil de vuelo.</w:t>
      </w:r>
    </w:p>
    <w:p>
      <w:pPr>
        <w:numPr>
          <w:ilvl w:val="0"/>
          <w:numId w:val="10"/>
        </w:numPr>
        <w:spacing w:before="0" w:after="80" w:line="300" w:lineRule="auto"/>
      </w:pPr>
      <w:r>
        <w:rPr>
          <w:rFonts w:ascii="Calibri" w:hAnsi="Calibri"/>
          <w:b/>
        </w:rPr>
        <w:t>Criterio de cierre:</w:t>
      </w:r>
      <w:r>
        <w:rPr>
          <w:rFonts w:ascii="Calibri" w:hAnsi="Calibri"/>
        </w:rPr>
        <w:t xml:space="preserve"> Los tres destinos contienen bytes idénticos y un bit alterado causa rechazo verificable.</w:t>
      </w:r>
    </w:p>
    <w:p>
      <w:pPr>
        <w:keepNext/>
        <w:spacing w:before="120" w:after="60"/>
      </w:pPr>
      <w:r>
        <w:rPr>
          <w:rFonts w:ascii="Calibri" w:hAnsi="Calibri"/>
          <w:b/>
          <w:color w:val="1F4D78"/>
          <w:sz w:val="23"/>
        </w:rPr>
        <w:t>PKT-02 · P1 · Versionar el contrato binario</w:t>
      </w:r>
    </w:p>
    <w:p>
      <w:pPr>
        <w:spacing w:before="0" w:after="120" w:line="300" w:lineRule="auto"/>
      </w:pPr>
      <w:r>
        <w:rPr>
          <w:rFonts w:ascii="Calibri" w:hAnsi="Calibri"/>
        </w:rPr>
        <w:t>Añadir una versión explícita o, si se mantiene temporalmente el tamaño de 53 bytes, definir una versión de misión asociada al binario. No reutilizar silenciosamente RF_VOLT mientras P.25 siga vigente; si no hay detector, transmitir un valor inválido acompañado de un flag de validez.</w:t>
      </w:r>
    </w:p>
    <w:p>
      <w:pPr>
        <w:numPr>
          <w:ilvl w:val="0"/>
          <w:numId w:val="10"/>
        </w:numPr>
        <w:spacing w:before="0" w:after="80" w:line="300" w:lineRule="auto"/>
      </w:pPr>
      <w:r>
        <w:rPr>
          <w:rFonts w:ascii="Calibri" w:hAnsi="Calibri"/>
          <w:b/>
        </w:rPr>
        <w:t>Criterio de cierre:</w:t>
      </w:r>
      <w:r>
        <w:rPr>
          <w:rFonts w:ascii="Calibri" w:hAnsi="Calibri"/>
        </w:rPr>
        <w:t xml:space="preserve"> Firmware, parser, logger y pruebas comparten una única especificación de offsets/unidades.</w:t>
      </w:r>
    </w:p>
    <w:p>
      <w:pPr>
        <w:keepNext/>
        <w:spacing w:before="120" w:after="60"/>
      </w:pPr>
      <w:r>
        <w:rPr>
          <w:rFonts w:ascii="Calibri" w:hAnsi="Calibri"/>
          <w:b/>
          <w:color w:val="1F4D78"/>
          <w:sz w:val="23"/>
        </w:rPr>
        <w:t>PKT-03 · P1 · Separar secuencias</w:t>
      </w:r>
    </w:p>
    <w:p>
      <w:pPr>
        <w:spacing w:before="0" w:after="120" w:line="300" w:lineRule="auto"/>
      </w:pPr>
      <w:r>
        <w:rPr>
          <w:rFonts w:ascii="Calibri" w:hAnsi="Calibri"/>
        </w:rPr>
        <w:t>Mantener sample_seq a 1 Hz y halow_tx_seq para cada transmisión HaLow. Añadir boot/session ID para distinguir reinicios y evitar calcular PDR con huecos de muestreo deliberados.</w:t>
      </w:r>
    </w:p>
    <w:p>
      <w:pPr>
        <w:numPr>
          <w:ilvl w:val="0"/>
          <w:numId w:val="10"/>
        </w:numPr>
        <w:spacing w:before="0" w:after="80" w:line="300" w:lineRule="auto"/>
      </w:pPr>
      <w:r>
        <w:rPr>
          <w:rFonts w:ascii="Calibri" w:hAnsi="Calibri"/>
          <w:b/>
        </w:rPr>
        <w:t>Criterio de cierre:</w:t>
      </w:r>
      <w:r>
        <w:rPr>
          <w:rFonts w:ascii="Calibri" w:hAnsi="Calibri"/>
        </w:rPr>
        <w:t xml:space="preserve"> PDR se calcula únicamente sobre halow_tx_seq y no penaliza la periodicidad de 10 s.</w:t>
      </w:r>
    </w:p>
    <w:p>
      <w:pPr>
        <w:keepNext/>
        <w:spacing w:before="120" w:after="60"/>
      </w:pPr>
      <w:r>
        <w:rPr>
          <w:rFonts w:ascii="Calibri" w:hAnsi="Calibri"/>
          <w:b/>
          <w:color w:val="1F4D78"/>
          <w:sz w:val="23"/>
        </w:rPr>
        <w:t>PKT-04 · P1 · Tiempo común de misión</w:t>
      </w:r>
    </w:p>
    <w:p>
      <w:pPr>
        <w:spacing w:before="0" w:after="120" w:line="300" w:lineRule="auto"/>
      </w:pPr>
      <w:r>
        <w:rPr>
          <w:rFonts w:ascii="Calibri" w:hAnsi="Calibri"/>
        </w:rPr>
        <w:t>Implementar sincronización manual/automática por E-Link y, si procede, GNSS. Registrar mission_time, tiempo desde boot, boot ID y calidad/fuente temporal.</w:t>
      </w:r>
    </w:p>
    <w:p>
      <w:pPr>
        <w:numPr>
          <w:ilvl w:val="0"/>
          <w:numId w:val="10"/>
        </w:numPr>
        <w:spacing w:before="0" w:after="80" w:line="300" w:lineRule="auto"/>
      </w:pPr>
      <w:r>
        <w:rPr>
          <w:rFonts w:ascii="Calibri" w:hAnsi="Calibri"/>
          <w:b/>
        </w:rPr>
        <w:t>Criterio de cierre:</w:t>
      </w:r>
      <w:r>
        <w:rPr>
          <w:rFonts w:ascii="Calibri" w:hAnsi="Calibri"/>
        </w:rPr>
        <w:t xml:space="preserve"> Tras reset, la línea temporal puede reconstruirse y correlacionarse con los logs de tierra.</w:t>
      </w:r>
    </w:p>
    <w:p>
      <w:pPr>
        <w:keepNext/>
        <w:spacing w:before="120" w:after="60"/>
      </w:pPr>
      <w:r>
        <w:rPr>
          <w:rFonts w:ascii="Calibri" w:hAnsi="Calibri"/>
          <w:b/>
          <w:color w:val="1F4D78"/>
          <w:sz w:val="23"/>
        </w:rPr>
        <w:t>PKT-05 · P1 · Métricas científicas</w:t>
      </w:r>
    </w:p>
    <w:p>
      <w:pPr>
        <w:spacing w:before="0" w:after="120" w:line="300" w:lineRule="auto"/>
      </w:pPr>
      <w:r>
        <w:rPr>
          <w:rFonts w:ascii="Calibri" w:hAnsi="Calibri"/>
        </w:rPr>
        <w:t>Implementar o cerrar por evidencia RSSI, SNR, frequency deviation, PDR, reintentos y RTT HaLow. El RTT del PING E-Link no debe presentarse como RTT HaLow. Distinguir estadísticas del módulo de vuelo y estadísticas del receptor de tierra.</w:t>
      </w:r>
    </w:p>
    <w:p>
      <w:pPr>
        <w:numPr>
          <w:ilvl w:val="0"/>
          <w:numId w:val="10"/>
        </w:numPr>
        <w:spacing w:before="0" w:after="80" w:line="300" w:lineRule="auto"/>
      </w:pPr>
      <w:r>
        <w:rPr>
          <w:rFonts w:ascii="Calibri" w:hAnsi="Calibri"/>
          <w:b/>
        </w:rPr>
        <w:t>Criterio de cierre:</w:t>
      </w:r>
      <w:r>
        <w:rPr>
          <w:rFonts w:ascii="Calibri" w:hAnsi="Calibri"/>
        </w:rPr>
        <w:t xml:space="preserve"> Cada métrica tiene fuente, unidad, resolución, validez y procedimiento de prueba definidos.</w:t>
      </w:r>
    </w:p>
    <w:p>
      <w:pPr>
        <w:pStyle w:val="Heading1"/>
        <w:keepNext/>
      </w:pPr>
      <w:r>
        <w:t>6. Persistencia SPI Flash</w:t>
      </w:r>
    </w:p>
    <w:p>
      <w:pPr>
        <w:spacing w:before="80" w:after="160" w:line="276" w:lineRule="auto"/>
        <w:ind w:left="173" w:right="173"/>
        <w:shd w:fill="F7F7F7"/>
        <w:pBdr>
          <w:left w:val="single" w:sz="18" w:space="8" w:color="0B2545"/>
        </w:pBdr>
      </w:pPr>
      <w:r>
        <w:rPr>
          <w:rFonts w:ascii="Calibri" w:hAnsi="Calibri"/>
          <w:b/>
          <w:color w:val="0B2545"/>
        </w:rPr>
        <w:t xml:space="preserve">Prioridad operativa: </w:t>
      </w:r>
      <w:r>
        <w:rPr>
          <w:rFonts w:ascii="Calibri" w:hAnsi="Calibri"/>
        </w:rPr>
        <w:t>La recuperación SPI deja de ser la vía nominal porque el dataset se enviará por E-Link. Aun así, la memoria sigue siendo respaldo ante pérdida de downlink; por ello se prioriza conservar e identificar datos, no desarrollar una interfaz de usuario sofisticada de extracción.</w:t>
      </w:r>
    </w:p>
    <w:p>
      <w:pPr>
        <w:keepNext/>
        <w:spacing w:before="120" w:after="60"/>
      </w:pPr>
      <w:r>
        <w:rPr>
          <w:rFonts w:ascii="Calibri" w:hAnsi="Calibri"/>
          <w:b/>
          <w:color w:val="1F4D78"/>
          <w:sz w:val="23"/>
        </w:rPr>
        <w:t>LOG-01 · P1 · Registros resistentes a power-cut</w:t>
      </w:r>
    </w:p>
    <w:p>
      <w:pPr>
        <w:spacing w:before="0" w:after="120" w:line="300" w:lineRule="auto"/>
      </w:pPr>
      <w:r>
        <w:rPr>
          <w:rFonts w:ascii="Calibri" w:hAnsi="Calibri"/>
        </w:rPr>
        <w:t>Añadir CRC por registro y un commit marker escrito al final. En arranque, ignorar el último registro parcial y continuar desde la siguiente posición segura.</w:t>
      </w:r>
    </w:p>
    <w:p>
      <w:pPr>
        <w:numPr>
          <w:ilvl w:val="0"/>
          <w:numId w:val="10"/>
        </w:numPr>
        <w:spacing w:before="0" w:after="80" w:line="300" w:lineRule="auto"/>
      </w:pPr>
      <w:r>
        <w:rPr>
          <w:rFonts w:ascii="Calibri" w:hAnsi="Calibri"/>
          <w:b/>
        </w:rPr>
        <w:t>Criterio de cierre:</w:t>
      </w:r>
      <w:r>
        <w:rPr>
          <w:rFonts w:ascii="Calibri" w:hAnsi="Calibri"/>
        </w:rPr>
        <w:t xml:space="preserve"> Cortar alimentación durante escritura no invalida registros anteriores ni detiene el siguiente arranque.</w:t>
      </w:r>
    </w:p>
    <w:p>
      <w:pPr>
        <w:keepNext/>
        <w:spacing w:before="120" w:after="60"/>
      </w:pPr>
      <w:r>
        <w:rPr>
          <w:rFonts w:ascii="Calibri" w:hAnsi="Calibri"/>
          <w:b/>
          <w:color w:val="1F4D78"/>
          <w:sz w:val="23"/>
        </w:rPr>
        <w:t>LOG-02 · P1 · Propagar fallos del driver</w:t>
      </w:r>
    </w:p>
    <w:p>
      <w:pPr>
        <w:spacing w:before="0" w:after="120" w:line="300" w:lineRule="auto"/>
      </w:pPr>
      <w:r>
        <w:rPr>
          <w:rFonts w:ascii="Calibri" w:hAnsi="Calibri"/>
        </w:rPr>
        <w:t>Todas las operaciones W25QXX deben devolver estado, tener timeout y activar error_flags/telemetría. Evitar waits infinitos. Corregir el caso de sector exactamente lleno en W25LOG_Init().</w:t>
      </w:r>
    </w:p>
    <w:p>
      <w:pPr>
        <w:numPr>
          <w:ilvl w:val="0"/>
          <w:numId w:val="10"/>
        </w:numPr>
        <w:spacing w:before="0" w:after="80" w:line="300" w:lineRule="auto"/>
      </w:pPr>
      <w:r>
        <w:rPr>
          <w:rFonts w:ascii="Calibri" w:hAnsi="Calibri"/>
          <w:b/>
        </w:rPr>
        <w:t>Criterio de cierre:</w:t>
      </w:r>
      <w:r>
        <w:rPr>
          <w:rFonts w:ascii="Calibri" w:hAnsi="Calibri"/>
        </w:rPr>
        <w:t xml:space="preserve"> Flash ausente, ocupada o llena no bloquea el scheduler y queda diagnosticada.</w:t>
      </w:r>
    </w:p>
    <w:p>
      <w:pPr>
        <w:keepNext/>
        <w:spacing w:before="120" w:after="60"/>
      </w:pPr>
      <w:r>
        <w:rPr>
          <w:rFonts w:ascii="Calibri" w:hAnsi="Calibri"/>
          <w:b/>
          <w:color w:val="1F4D78"/>
          <w:sz w:val="23"/>
        </w:rPr>
        <w:t>LOG-03 · P1 · Política de capacidad</w:t>
      </w:r>
    </w:p>
    <w:p>
      <w:pPr>
        <w:spacing w:before="0" w:after="120" w:line="300" w:lineRule="auto"/>
      </w:pPr>
      <w:r>
        <w:rPr>
          <w:rFonts w:ascii="Calibri" w:hAnsi="Calibri"/>
        </w:rPr>
        <w:t>Configurar el tamaño real del chip montado y decidir stop-on-full o ring buffer. Si existen dos flashes, implementar mirroring y detección de divergencia; si no, desactivar esa ruta sin simular redundancia.</w:t>
      </w:r>
    </w:p>
    <w:p>
      <w:pPr>
        <w:numPr>
          <w:ilvl w:val="0"/>
          <w:numId w:val="10"/>
        </w:numPr>
        <w:spacing w:before="0" w:after="80" w:line="300" w:lineRule="auto"/>
      </w:pPr>
      <w:r>
        <w:rPr>
          <w:rFonts w:ascii="Calibri" w:hAnsi="Calibri"/>
          <w:b/>
        </w:rPr>
        <w:t>Criterio de cierre:</w:t>
      </w:r>
      <w:r>
        <w:rPr>
          <w:rFonts w:ascii="Calibri" w:hAnsi="Calibri"/>
        </w:rPr>
        <w:t xml:space="preserve"> Un ensayo llena el área configurada sin escribir fuera de rango y reporta la política aplicada.</w:t>
      </w:r>
    </w:p>
    <w:p>
      <w:pPr>
        <w:keepNext/>
        <w:spacing w:before="120" w:after="60"/>
      </w:pPr>
      <w:r>
        <w:rPr>
          <w:rFonts w:ascii="Calibri" w:hAnsi="Calibri"/>
          <w:b/>
          <w:color w:val="1F4D78"/>
          <w:sz w:val="23"/>
        </w:rPr>
        <w:t>LOG-04 · P2 · Extracción de mantenimiento</w:t>
      </w:r>
    </w:p>
    <w:p>
      <w:pPr>
        <w:spacing w:before="0" w:after="120" w:line="300" w:lineRule="auto"/>
      </w:pPr>
      <w:r>
        <w:rPr>
          <w:rFonts w:ascii="Calibri" w:hAnsi="Calibri"/>
        </w:rPr>
        <w:t>Mantener, si se considera útil, una herramienta de laboratorio para dump binario con framing, versión y CRC. No exponer el volcado completo como comando de vuelo ni confundir SAVE_DATA con DUMP_DATA.</w:t>
      </w:r>
    </w:p>
    <w:p>
      <w:pPr>
        <w:numPr>
          <w:ilvl w:val="0"/>
          <w:numId w:val="10"/>
        </w:numPr>
        <w:spacing w:before="0" w:after="80" w:line="300" w:lineRule="auto"/>
      </w:pPr>
      <w:r>
        <w:rPr>
          <w:rFonts w:ascii="Calibri" w:hAnsi="Calibri"/>
          <w:b/>
        </w:rPr>
        <w:t>Criterio de cierre:</w:t>
      </w:r>
      <w:r>
        <w:rPr>
          <w:rFonts w:ascii="Calibri" w:hAnsi="Calibri"/>
        </w:rPr>
        <w:t xml:space="preserve"> La herramienta reconstruye una sesión conocida y detecta registros corruptos.</w:t>
      </w:r>
    </w:p>
    <w:p>
      <w:pPr>
        <w:pStyle w:val="Heading1"/>
        <w:keepNext/>
      </w:pPr>
      <w:r>
        <w:t>7. Estados, seguridad y telecommand</w:t>
      </w:r>
    </w:p>
    <w:p>
      <w:pPr>
        <w:keepNext/>
        <w:spacing w:before="120" w:after="60"/>
      </w:pPr>
      <w:r>
        <w:rPr>
          <w:rFonts w:ascii="Calibri" w:hAnsi="Calibri"/>
          <w:b/>
          <w:color w:val="1F4D78"/>
          <w:sz w:val="23"/>
        </w:rPr>
        <w:t>SAFE-01 · P0 · Watchdog independiente</w:t>
      </w:r>
    </w:p>
    <w:p>
      <w:pPr>
        <w:spacing w:before="0" w:after="120" w:line="300" w:lineRule="auto"/>
      </w:pPr>
      <w:r>
        <w:rPr>
          <w:rFonts w:ascii="Calibri" w:hAnsi="Calibri"/>
        </w:rPr>
        <w:t>Inicializar el IWDG con el timeout requerido y refrescarlo solo cuando los ciclos críticos hayan progresado. Registrar motivo de reset y añadir una prueba de stall deliberado.</w:t>
      </w:r>
    </w:p>
    <w:p>
      <w:pPr>
        <w:numPr>
          <w:ilvl w:val="0"/>
          <w:numId w:val="10"/>
        </w:numPr>
        <w:spacing w:before="0" w:after="80" w:line="300" w:lineRule="auto"/>
      </w:pPr>
      <w:r>
        <w:rPr>
          <w:rFonts w:ascii="Calibri" w:hAnsi="Calibri"/>
          <w:b/>
        </w:rPr>
        <w:t>Criterio de cierre:</w:t>
      </w:r>
      <w:r>
        <w:rPr>
          <w:rFonts w:ascii="Calibri" w:hAnsi="Calibri"/>
        </w:rPr>
        <w:t xml:space="preserve"> El MCU se reinicia tras bloqueo y reanuda adquisición/logging sin borrar memoria.</w:t>
      </w:r>
    </w:p>
    <w:p>
      <w:pPr>
        <w:keepNext/>
        <w:spacing w:before="120" w:after="60"/>
      </w:pPr>
      <w:r>
        <w:rPr>
          <w:rFonts w:ascii="Calibri" w:hAnsi="Calibri"/>
          <w:b/>
          <w:color w:val="1F4D78"/>
          <w:sz w:val="23"/>
        </w:rPr>
        <w:t>SAFE-02 · P0 · Heater a estado seguro</w:t>
      </w:r>
    </w:p>
    <w:p>
      <w:pPr>
        <w:spacing w:before="0" w:after="120" w:line="300" w:lineRule="auto"/>
      </w:pPr>
      <w:r>
        <w:rPr>
          <w:rFonts w:ascii="Calibri" w:hAnsi="Calibri"/>
        </w:rPr>
        <w:t>SYS_STOP, SAFE/LANDED, reset, fallo de sensor térmico y temperatura interna superior a +40 °C deben forzar PWM=0. Las órdenes manuales deben tener timeout y límites independientes del valor recibido.</w:t>
      </w:r>
    </w:p>
    <w:p>
      <w:pPr>
        <w:numPr>
          <w:ilvl w:val="0"/>
          <w:numId w:val="10"/>
        </w:numPr>
        <w:spacing w:before="0" w:after="80" w:line="300" w:lineRule="auto"/>
      </w:pPr>
      <w:r>
        <w:rPr>
          <w:rFonts w:ascii="Calibri" w:hAnsi="Calibri"/>
          <w:b/>
        </w:rPr>
        <w:t>Criterio de cierre:</w:t>
      </w:r>
      <w:r>
        <w:rPr>
          <w:rFonts w:ascii="Calibri" w:hAnsi="Calibri"/>
        </w:rPr>
        <w:t xml:space="preserve"> En cada transición/fallo el PWM cae a cero dentro del tiempo definido.</w:t>
      </w:r>
    </w:p>
    <w:p>
      <w:pPr>
        <w:keepNext/>
        <w:spacing w:before="120" w:after="60"/>
      </w:pPr>
      <w:r>
        <w:rPr>
          <w:rFonts w:ascii="Calibri" w:hAnsi="Calibri"/>
          <w:b/>
          <w:color w:val="1F4D78"/>
          <w:sz w:val="23"/>
        </w:rPr>
        <w:t>SAFE-03 · P0 · Radio silence real</w:t>
      </w:r>
    </w:p>
    <w:p>
      <w:pPr>
        <w:spacing w:before="0" w:after="120" w:line="300" w:lineRule="auto"/>
      </w:pPr>
      <w:r>
        <w:rPr>
          <w:rFonts w:ascii="Calibri" w:hAnsi="Calibri"/>
        </w:rPr>
        <w:t>Implementar CMD_RF_SILENCE de forma idempotente, impedir nuevos envíos HaLow y controlar/monitorizar la señal de inhibición hardware disponible. El estado debe persistir hasta una orden explícita autorizada.</w:t>
      </w:r>
    </w:p>
    <w:p>
      <w:pPr>
        <w:numPr>
          <w:ilvl w:val="0"/>
          <w:numId w:val="10"/>
        </w:numPr>
        <w:spacing w:before="0" w:after="80" w:line="300" w:lineRule="auto"/>
      </w:pPr>
      <w:r>
        <w:rPr>
          <w:rFonts w:ascii="Calibri" w:hAnsi="Calibri"/>
          <w:b/>
        </w:rPr>
        <w:t>Criterio de cierre:</w:t>
      </w:r>
      <w:r>
        <w:rPr>
          <w:rFonts w:ascii="Calibri" w:hAnsi="Calibri"/>
        </w:rPr>
        <w:t xml:space="preserve"> El comando durante vuelo detiene RF, genera ACK por E-Link y no detiene E-Link ni logging.</w:t>
      </w:r>
    </w:p>
    <w:p>
      <w:pPr>
        <w:keepNext/>
        <w:spacing w:before="120" w:after="60"/>
      </w:pPr>
      <w:r>
        <w:rPr>
          <w:rFonts w:ascii="Calibri" w:hAnsi="Calibri"/>
          <w:b/>
          <w:color w:val="1F4D78"/>
          <w:sz w:val="23"/>
        </w:rPr>
        <w:t>SAFE-04 · P0 · Límites RF en firmware</w:t>
      </w:r>
    </w:p>
    <w:p>
      <w:pPr>
        <w:spacing w:before="0" w:after="120" w:line="300" w:lineRule="auto"/>
      </w:pPr>
      <w:r>
        <w:rPr>
          <w:rFonts w:ascii="Calibri" w:hAnsi="Calibri"/>
        </w:rPr>
        <w:t>Validar TX power y MCS en payload y backend. Aplicar un máximo de software derivado de la ganancia/pérdidas reales del amplificador/LNA y rechazar valores que puedan exceder el EIRP permitido.</w:t>
      </w:r>
    </w:p>
    <w:p>
      <w:pPr>
        <w:numPr>
          <w:ilvl w:val="0"/>
          <w:numId w:val="10"/>
        </w:numPr>
        <w:spacing w:before="0" w:after="80" w:line="300" w:lineRule="auto"/>
      </w:pPr>
      <w:r>
        <w:rPr>
          <w:rFonts w:ascii="Calibri" w:hAnsi="Calibri"/>
          <w:b/>
        </w:rPr>
        <w:t>Criterio de cierre:</w:t>
      </w:r>
      <w:r>
        <w:rPr>
          <w:rFonts w:ascii="Calibri" w:hAnsi="Calibri"/>
        </w:rPr>
        <w:t xml:space="preserve"> Valores fuera de rango producen NACK y no modifican la configuración activa.</w:t>
      </w:r>
    </w:p>
    <w:p>
      <w:pPr>
        <w:keepNext/>
        <w:spacing w:before="120" w:after="60"/>
      </w:pPr>
      <w:r>
        <w:rPr>
          <w:rFonts w:ascii="Calibri" w:hAnsi="Calibri"/>
          <w:b/>
          <w:color w:val="1F4D78"/>
          <w:sz w:val="23"/>
        </w:rPr>
        <w:t>SAFE-05 · P1 · Validación de comandos</w:t>
      </w:r>
    </w:p>
    <w:p>
      <w:pPr>
        <w:spacing w:before="0" w:after="120" w:line="300" w:lineRule="auto"/>
      </w:pPr>
      <w:r>
        <w:rPr>
          <w:rFonts w:ascii="Calibri" w:hAnsi="Calibri"/>
        </w:rPr>
        <w:t>Congelar IDs y longitudes, comprobar payload_size por comando, rangos, estados permitidos y duplicados. Responder con ACK/NACK estructurado que incluya command ID, resultado y secuencia.</w:t>
      </w:r>
    </w:p>
    <w:p>
      <w:pPr>
        <w:numPr>
          <w:ilvl w:val="0"/>
          <w:numId w:val="10"/>
        </w:numPr>
        <w:spacing w:before="0" w:after="80" w:line="300" w:lineRule="auto"/>
      </w:pPr>
      <w:r>
        <w:rPr>
          <w:rFonts w:ascii="Calibri" w:hAnsi="Calibri"/>
          <w:b/>
        </w:rPr>
        <w:t>Criterio de cierre:</w:t>
      </w:r>
      <w:r>
        <w:rPr>
          <w:rFonts w:ascii="Calibri" w:hAnsi="Calibri"/>
        </w:rPr>
        <w:t xml:space="preserve"> Malformed packets, comandos repetidos y parámetros inválidos no cambian actuadores.</w:t>
      </w:r>
    </w:p>
    <w:p>
      <w:pPr>
        <w:keepNext/>
        <w:spacing w:before="120" w:after="60"/>
      </w:pPr>
      <w:r>
        <w:rPr>
          <w:rFonts w:ascii="Calibri" w:hAnsi="Calibri"/>
          <w:b/>
          <w:color w:val="1F4D78"/>
          <w:sz w:val="23"/>
        </w:rPr>
        <w:t>SAFE-06 · P1 · Aterrizaje / modo seguro</w:t>
      </w:r>
    </w:p>
    <w:p>
      <w:pPr>
        <w:spacing w:before="0" w:after="120" w:line="300" w:lineRule="auto"/>
      </w:pPr>
      <w:r>
        <w:rPr>
          <w:rFonts w:ascii="Calibri" w:hAnsi="Calibri"/>
        </w:rPr>
        <w:t>Implementar la transición requerida a modo seguro mediante evento disponible, comando o criterio acordado. Debe desactivar heaters y RF manteniendo, si procede, housekeeping y logging mínimo.</w:t>
      </w:r>
    </w:p>
    <w:p>
      <w:pPr>
        <w:numPr>
          <w:ilvl w:val="0"/>
          <w:numId w:val="10"/>
        </w:numPr>
        <w:spacing w:before="0" w:after="80" w:line="300" w:lineRule="auto"/>
      </w:pPr>
      <w:r>
        <w:rPr>
          <w:rFonts w:ascii="Calibri" w:hAnsi="Calibri"/>
          <w:b/>
        </w:rPr>
        <w:t>Criterio de cierre:</w:t>
      </w:r>
      <w:r>
        <w:rPr>
          <w:rFonts w:ascii="Calibri" w:hAnsi="Calibri"/>
        </w:rPr>
        <w:t xml:space="preserve"> La prueba operacional reproduce el evento y verifica todas las salidas.</w:t>
      </w:r>
    </w:p>
    <w:p>
      <w:pPr>
        <w:pStyle w:val="Heading1"/>
        <w:keepNext/>
      </w:pPr>
      <w:r>
        <w:t>8. Adquisición y sensores</w:t>
      </w:r>
    </w:p>
    <w:p>
      <w:pPr>
        <w:numPr>
          <w:ilvl w:val="0"/>
          <w:numId w:val="10"/>
        </w:numPr>
        <w:spacing w:before="0" w:after="80" w:line="300" w:lineRule="auto"/>
      </w:pPr>
      <w:r>
        <w:rPr>
          <w:rFonts w:ascii="Calibri" w:hAnsi="Calibri"/>
        </w:rPr>
        <w:t>Corregir la condición imposible del self-test TMP102 y la extensión de signo para temperaturas negativas.</w:t>
      </w:r>
    </w:p>
    <w:p>
      <w:pPr>
        <w:numPr>
          <w:ilvl w:val="0"/>
          <w:numId w:val="10"/>
        </w:numPr>
        <w:spacing w:before="0" w:after="80" w:line="300" w:lineRule="auto"/>
      </w:pPr>
      <w:r>
        <w:rPr>
          <w:rFonts w:ascii="Calibri" w:hAnsi="Calibri"/>
        </w:rPr>
        <w:t>Evitar que la temperatura del SHT45 sobrescriba int_temp; fijar el origen de cada campo y conservar lecturas de respaldo por separado.</w:t>
      </w:r>
    </w:p>
    <w:p>
      <w:pPr>
        <w:numPr>
          <w:ilvl w:val="0"/>
          <w:numId w:val="10"/>
        </w:numPr>
        <w:spacing w:before="0" w:after="80" w:line="300" w:lineRule="auto"/>
      </w:pPr>
      <w:r>
        <w:rPr>
          <w:rFonts w:ascii="Calibri" w:hAnsi="Calibri"/>
        </w:rPr>
        <w:t>Validar CRC del SHT45, CRC/PROM y estados HAL del MS5803, y estado/resultado HAL del NPA730.</w:t>
      </w:r>
    </w:p>
    <w:p>
      <w:pPr>
        <w:numPr>
          <w:ilvl w:val="0"/>
          <w:numId w:val="10"/>
        </w:numPr>
        <w:spacing w:before="0" w:after="80" w:line="300" w:lineRule="auto"/>
      </w:pPr>
      <w:r>
        <w:rPr>
          <w:rFonts w:ascii="Calibri" w:hAnsi="Calibri"/>
        </w:rPr>
        <w:t>Implementar selección/cross-check de barómetros y la calibración realmente aplicable al hardware final.</w:t>
      </w:r>
    </w:p>
    <w:p>
      <w:pPr>
        <w:numPr>
          <w:ilvl w:val="0"/>
          <w:numId w:val="10"/>
        </w:numPr>
        <w:spacing w:before="0" w:after="80" w:line="300" w:lineRule="auto"/>
      </w:pPr>
      <w:r>
        <w:rPr>
          <w:rFonts w:ascii="Calibri" w:hAnsi="Calibri"/>
        </w:rPr>
        <w:t>Leer tensión de bus del INA219 y conservar la resolución requerida de corriente; implementar el muestreo sincronizado exigido durante TX si el hardware lo permite.</w:t>
      </w:r>
    </w:p>
    <w:p>
      <w:pPr>
        <w:numPr>
          <w:ilvl w:val="0"/>
          <w:numId w:val="10"/>
        </w:numPr>
        <w:spacing w:before="0" w:after="80" w:line="300" w:lineRule="auto"/>
      </w:pPr>
      <w:r>
        <w:rPr>
          <w:rFonts w:ascii="Calibri" w:hAnsi="Calibri"/>
        </w:rPr>
        <w:t>Convertir radiación CPS a la magnitud requerida mediante calibración, o marcar claramente el dato como CPS auxiliar sin presentarlo como dosis.</w:t>
      </w:r>
    </w:p>
    <w:p>
      <w:pPr>
        <w:numPr>
          <w:ilvl w:val="0"/>
          <w:numId w:val="10"/>
        </w:numPr>
        <w:spacing w:before="0" w:after="80" w:line="300" w:lineRule="auto"/>
      </w:pPr>
      <w:r>
        <w:rPr>
          <w:rFonts w:ascii="Calibri" w:hAnsi="Calibri"/>
        </w:rPr>
        <w:t>Definir un mapa único de error_flags: un bit por sensor/fallo, sin reutilizar bits, con contador de errores y validez por muestra.</w:t>
      </w:r>
    </w:p>
    <w:p>
      <w:pPr>
        <w:numPr>
          <w:ilvl w:val="0"/>
          <w:numId w:val="10"/>
        </w:numPr>
        <w:spacing w:before="0" w:after="80" w:line="300" w:lineRule="auto"/>
      </w:pPr>
      <w:r>
        <w:rPr>
          <w:rFonts w:ascii="Calibri" w:hAnsi="Calibri"/>
        </w:rPr>
        <w:t>Completar el self-test con sensores, flash, W5500, HaLow, GNSS, heater/salida y watchdog; un fallo debe producir diagnóstico y comportamiento degradado seguro.</w:t>
      </w:r>
    </w:p>
    <w:p>
      <w:pPr>
        <w:numPr>
          <w:ilvl w:val="0"/>
          <w:numId w:val="10"/>
        </w:numPr>
        <w:spacing w:before="0" w:after="80" w:line="300" w:lineRule="auto"/>
      </w:pPr>
      <w:r>
        <w:rPr>
          <w:rFonts w:ascii="Calibri" w:hAnsi="Calibri"/>
        </w:rPr>
        <w:t>Confirmar el GNSS final y eliminar drivers/interfaces no utilizados; el código actual usa MAX-M10S por I2C.</w:t>
      </w:r>
    </w:p>
    <w:p>
      <w:pPr>
        <w:numPr>
          <w:ilvl w:val="0"/>
          <w:numId w:val="10"/>
        </w:numPr>
        <w:spacing w:before="0" w:after="80" w:line="300" w:lineRule="auto"/>
      </w:pPr>
      <w:r>
        <w:rPr>
          <w:rFonts w:ascii="Calibri" w:hAnsi="Calibri"/>
          <w:b/>
        </w:rPr>
        <w:t>Criterio de cierre:</w:t>
      </w:r>
      <w:r>
        <w:rPr>
          <w:rFonts w:ascii="Calibri" w:hAnsi="Calibri"/>
        </w:rPr>
        <w:t xml:space="preserve"> fault injection individual demuestra error identificable sin bloquear ACQUIRE ni el resto del sistema.</w:t>
      </w:r>
    </w:p>
    <w:p>
      <w:pPr>
        <w:pStyle w:val="Heading1"/>
        <w:keepNext/>
      </w:pPr>
      <w:r>
        <w:t>9. Wi-Fi HaLow</w:t>
      </w:r>
    </w:p>
    <w:p>
      <w:pPr>
        <w:numPr>
          <w:ilvl w:val="0"/>
          <w:numId w:val="10"/>
        </w:numPr>
        <w:spacing w:before="0" w:after="80" w:line="300" w:lineRule="auto"/>
      </w:pPr>
      <w:r>
        <w:rPr>
          <w:rFonts w:ascii="Calibri" w:hAnsi="Calibri"/>
        </w:rPr>
        <w:t>Ejecutar Config_HaLow() y verificar cada parámetro leído de vuelta; no usar SensorsSelfCheck() como indicador de radio inicializada.</w:t>
      </w:r>
    </w:p>
    <w:p>
      <w:pPr>
        <w:numPr>
          <w:ilvl w:val="0"/>
          <w:numId w:val="10"/>
        </w:numPr>
        <w:spacing w:before="0" w:after="80" w:line="300" w:lineRule="auto"/>
      </w:pPr>
      <w:r>
        <w:rPr>
          <w:rFonts w:ascii="Calibri" w:hAnsi="Calibri"/>
        </w:rPr>
        <w:t>Aplicar periodicidad nominal de 10 s y un limitador de duty cycle basado en tiempo de aire o en un límite conservador verificado, no en una constante llamada DUTY_CYCLE_MS.</w:t>
      </w:r>
    </w:p>
    <w:p>
      <w:pPr>
        <w:numPr>
          <w:ilvl w:val="0"/>
          <w:numId w:val="10"/>
        </w:numPr>
        <w:spacing w:before="0" w:after="80" w:line="300" w:lineRule="auto"/>
      </w:pPr>
      <w:r>
        <w:rPr>
          <w:rFonts w:ascii="Calibri" w:hAnsi="Calibri"/>
        </w:rPr>
        <w:t>Configurar y verificar el máximo de tres reintentos MAC requerido.</w:t>
      </w:r>
    </w:p>
    <w:p>
      <w:pPr>
        <w:numPr>
          <w:ilvl w:val="0"/>
          <w:numId w:val="10"/>
        </w:numPr>
        <w:spacing w:before="0" w:after="80" w:line="300" w:lineRule="auto"/>
      </w:pPr>
      <w:r>
        <w:rPr>
          <w:rFonts w:ascii="Calibri" w:hAnsi="Calibri"/>
        </w:rPr>
        <w:t>Sustituir el buffer UART único por ring buffer/DMA o cola de líneas; separar respuestas AT, estadísticas y frames para evitar sobrescritura.</w:t>
      </w:r>
    </w:p>
    <w:p>
      <w:pPr>
        <w:numPr>
          <w:ilvl w:val="0"/>
          <w:numId w:val="10"/>
        </w:numPr>
        <w:spacing w:before="0" w:after="80" w:line="300" w:lineRule="auto"/>
      </w:pPr>
      <w:r>
        <w:rPr>
          <w:rFonts w:ascii="Calibri" w:hAnsi="Calibri"/>
        </w:rPr>
        <w:t>Devolver resultado real de cada transmisión y mantener contadores TX, ACK, retry y error.</w:t>
      </w:r>
    </w:p>
    <w:p>
      <w:pPr>
        <w:numPr>
          <w:ilvl w:val="0"/>
          <w:numId w:val="10"/>
        </w:numPr>
        <w:spacing w:before="0" w:after="80" w:line="300" w:lineRule="auto"/>
      </w:pPr>
      <w:r>
        <w:rPr>
          <w:rFonts w:ascii="Calibri" w:hAnsi="Calibri"/>
        </w:rPr>
        <w:t>Distinguir métricas de vuelo de las métricas del receptor de tierra y correlacionarlas con halow_tx_seq.</w:t>
      </w:r>
    </w:p>
    <w:p>
      <w:pPr>
        <w:pStyle w:val="Heading1"/>
        <w:keepNext/>
      </w:pPr>
      <w:r>
        <w:t>10. Ground Station</w:t>
      </w:r>
    </w:p>
    <w:p>
      <w:pPr>
        <w:numPr>
          <w:ilvl w:val="0"/>
          <w:numId w:val="10"/>
        </w:numPr>
        <w:spacing w:before="0" w:after="80" w:line="300" w:lineRule="auto"/>
      </w:pPr>
      <w:r>
        <w:rPr>
          <w:rFonts w:ascii="Calibri" w:hAnsi="Calibri"/>
        </w:rPr>
        <w:t>Usar E-Link como fuente canónica para telemetría, mapa, reloj y pointing; HaLow queda como stream experimental independiente y fallback controlado.</w:t>
      </w:r>
    </w:p>
    <w:p>
      <w:pPr>
        <w:numPr>
          <w:ilvl w:val="0"/>
          <w:numId w:val="10"/>
        </w:numPr>
        <w:spacing w:before="0" w:after="80" w:line="300" w:lineRule="auto"/>
      </w:pPr>
      <w:r>
        <w:rPr>
          <w:rFonts w:ascii="Calibri" w:hAnsi="Calibri"/>
        </w:rPr>
        <w:t>Implementar selección de fuente con last_rx_age, validez GNSS y prevención de saltos a datos simulados u obsoletos.</w:t>
      </w:r>
    </w:p>
    <w:p>
      <w:pPr>
        <w:numPr>
          <w:ilvl w:val="0"/>
          <w:numId w:val="10"/>
        </w:numPr>
        <w:spacing w:before="0" w:after="80" w:line="300" w:lineRule="auto"/>
      </w:pPr>
      <w:r>
        <w:rPr>
          <w:rFonts w:ascii="Calibri" w:hAnsi="Calibri"/>
        </w:rPr>
        <w:t>Rechazar CRC inválido en misión y contabilizar duplicados, paquetes fuera de orden, gaps y reinicios de sesión.</w:t>
      </w:r>
    </w:p>
    <w:p>
      <w:pPr>
        <w:numPr>
          <w:ilvl w:val="0"/>
          <w:numId w:val="10"/>
        </w:numPr>
        <w:spacing w:before="0" w:after="80" w:line="300" w:lineRule="auto"/>
      </w:pPr>
      <w:r>
        <w:rPr>
          <w:rFonts w:ascii="Calibri" w:hAnsi="Calibri"/>
        </w:rPr>
        <w:t>Iniciar logging automáticamente en un fichero nuevo por sesión; usar append/flush frecuente en vez de mantener todo el vuelo en RAM y reescribir el CSV completo.</w:t>
      </w:r>
    </w:p>
    <w:p>
      <w:pPr>
        <w:numPr>
          <w:ilvl w:val="0"/>
          <w:numId w:val="10"/>
        </w:numPr>
        <w:spacing w:before="0" w:after="80" w:line="300" w:lineRule="auto"/>
      </w:pPr>
      <w:r>
        <w:rPr>
          <w:rFonts w:ascii="Calibri" w:hAnsi="Calibri"/>
        </w:rPr>
        <w:t>No marcar E-Link READY solo porque el socket local esté abierto; usar PONG/telemetría reciente y mostrar estado STALE/LOST.</w:t>
      </w:r>
    </w:p>
    <w:p>
      <w:pPr>
        <w:numPr>
          <w:ilvl w:val="0"/>
          <w:numId w:val="10"/>
        </w:numPr>
        <w:spacing w:before="0" w:after="80" w:line="300" w:lineRule="auto"/>
      </w:pPr>
      <w:r>
        <w:rPr>
          <w:rFonts w:ascii="Calibri" w:hAnsi="Calibri"/>
        </w:rPr>
        <w:t>Validar parámetros de telecommand también en backend y solicitar confirmación explícita para comandos críticos.</w:t>
      </w:r>
    </w:p>
    <w:p>
      <w:pPr>
        <w:numPr>
          <w:ilvl w:val="0"/>
          <w:numId w:val="10"/>
        </w:numPr>
        <w:spacing w:before="0" w:after="80" w:line="300" w:lineRule="auto"/>
      </w:pPr>
      <w:r>
        <w:rPr>
          <w:rFonts w:ascii="Calibri" w:hAnsi="Calibri"/>
        </w:rPr>
        <w:t>Corregir parsers de estadísticas para aceptar valores negativos y registrar por separado RF de payload y RF del receptor.</w:t>
      </w:r>
    </w:p>
    <w:p>
      <w:pPr>
        <w:numPr>
          <w:ilvl w:val="0"/>
          <w:numId w:val="10"/>
        </w:numPr>
        <w:spacing w:before="0" w:after="80" w:line="300" w:lineRule="auto"/>
      </w:pPr>
      <w:r>
        <w:rPr>
          <w:rFonts w:ascii="Calibri" w:hAnsi="Calibri"/>
        </w:rPr>
        <w:t>Añadir export reproducible con metadatos de misión: versión de protocolo, hash de firmware, configuración de red y tiempos de inicio/fin.</w:t>
      </w:r>
    </w:p>
    <w:p>
      <w:pPr>
        <w:pStyle w:val="Heading1"/>
        <w:keepNext/>
      </w:pPr>
      <w:r>
        <w:t>11. Brechas que el software no puede cerrar por sí solo</w:t>
      </w:r>
    </w:p>
    <w:p>
      <w:pPr>
        <w:spacing w:before="80" w:after="160" w:line="276" w:lineRule="auto"/>
        <w:ind w:left="173" w:right="173"/>
        <w:shd w:fill="FFF4E5"/>
        <w:pBdr>
          <w:left w:val="single" w:sz="18" w:space="8" w:color="7A5A00"/>
        </w:pBdr>
      </w:pPr>
      <w:r>
        <w:rPr>
          <w:rFonts w:ascii="Calibri" w:hAnsi="Calibri"/>
          <w:b/>
          <w:color w:val="7A5A00"/>
        </w:rPr>
        <w:t xml:space="preserve">Importante: </w:t>
      </w:r>
      <w:r>
        <w:rPr>
          <w:rFonts w:ascii="Calibri" w:hAnsi="Calibri"/>
        </w:rPr>
        <w:t>Los requisitos se mantienen sin cambios. Los puntos siguientes deben permanecer abiertos en la matriz hasta que exista evidencia externa, hardware compatible o una aceptación formal de desviación. El software no debe fabricar valores ni reinterpretar campos para aparentar cumplimiento.</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100"/>
        <w:gridCol w:w="2600"/>
        <w:gridCol w:w="5660"/>
      </w:tblGrid>
      <w:tr>
        <w:trPr>
          <w:tblHeader w:val="true"/>
        </w:trPr>
        <w:tc>
          <w:tcPr>
            <w:tcW w:type="dxa" w:w="1100"/>
            <w:vAlign w:val="center"/>
            <w:tcMar>
              <w:top w:w="80" w:type="dxa"/>
              <w:start w:w="120" w:type="dxa"/>
              <w:bottom w:w="80" w:type="dxa"/>
              <w:end w:w="120" w:type="dxa"/>
            </w:tcMar>
            <w:shd w:fill="E8EEF5"/>
          </w:tcPr>
          <w:p>
            <w:pPr>
              <w:spacing w:after="0"/>
            </w:pPr>
            <w:r>
              <w:rPr>
                <w:rFonts w:ascii="Calibri" w:hAnsi="Calibri"/>
                <w:b/>
                <w:color w:val="0B2545"/>
                <w:sz w:val="18"/>
              </w:rPr>
              <w:t>Req.</w:t>
            </w:r>
          </w:p>
        </w:tc>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Tema</w:t>
            </w:r>
          </w:p>
        </w:tc>
        <w:tc>
          <w:tcPr>
            <w:tcW w:type="dxa" w:w="5660"/>
            <w:vAlign w:val="center"/>
            <w:tcMar>
              <w:top w:w="80" w:type="dxa"/>
              <w:start w:w="120" w:type="dxa"/>
              <w:bottom w:w="80" w:type="dxa"/>
              <w:end w:w="120" w:type="dxa"/>
            </w:tcMar>
            <w:shd w:fill="E8EEF5"/>
          </w:tcPr>
          <w:p>
            <w:pPr>
              <w:spacing w:after="0"/>
            </w:pPr>
            <w:r>
              <w:rPr>
                <w:rFonts w:ascii="Calibri" w:hAnsi="Calibri"/>
                <w:b/>
                <w:color w:val="0B2545"/>
                <w:sz w:val="18"/>
              </w:rPr>
              <w:t>Brecha externa</w:t>
            </w:r>
          </w:p>
        </w:tc>
      </w:tr>
      <w:tr>
        <w:tc>
          <w:tcPr>
            <w:tcW w:type="dxa" w:w="1100"/>
            <w:vAlign w:val="center"/>
            <w:tcMar>
              <w:top w:w="80" w:type="dxa"/>
              <w:start w:w="120" w:type="dxa"/>
              <w:bottom w:w="80" w:type="dxa"/>
              <w:end w:w="120" w:type="dxa"/>
            </w:tcMar>
          </w:tcPr>
          <w:p>
            <w:pPr>
              <w:spacing w:after="0" w:line="264" w:lineRule="auto"/>
            </w:pPr>
            <w:r>
              <w:rPr>
                <w:rFonts w:ascii="Calibri" w:hAnsi="Calibri"/>
                <w:sz w:val="18"/>
              </w:rPr>
              <w:t>P.23-P.25</w:t>
            </w:r>
          </w:p>
        </w:tc>
        <w:tc>
          <w:tcPr>
            <w:tcW w:type="dxa" w:w="2600"/>
            <w:vAlign w:val="center"/>
            <w:tcMar>
              <w:top w:w="80" w:type="dxa"/>
              <w:start w:w="120" w:type="dxa"/>
              <w:bottom w:w="80" w:type="dxa"/>
              <w:end w:w="120" w:type="dxa"/>
            </w:tcMar>
          </w:tcPr>
          <w:p>
            <w:pPr>
              <w:spacing w:after="0" w:line="264" w:lineRule="auto"/>
            </w:pPr>
            <w:r>
              <w:rPr>
                <w:rFonts w:ascii="Calibri" w:hAnsi="Calibri"/>
                <w:sz w:val="18"/>
              </w:rPr>
              <w:t>Potencia RF y tensión del detector</w:t>
            </w:r>
          </w:p>
        </w:tc>
        <w:tc>
          <w:tcPr>
            <w:tcW w:type="dxa" w:w="5660"/>
            <w:vAlign w:val="center"/>
            <w:tcMar>
              <w:top w:w="80" w:type="dxa"/>
              <w:start w:w="120" w:type="dxa"/>
              <w:bottom w:w="80" w:type="dxa"/>
              <w:end w:w="120" w:type="dxa"/>
            </w:tcMar>
          </w:tcPr>
          <w:p>
            <w:pPr>
              <w:spacing w:after="0" w:line="264" w:lineRule="auto"/>
            </w:pPr>
            <w:r>
              <w:rPr>
                <w:rFonts w:ascii="Calibri" w:hAnsi="Calibri"/>
                <w:sz w:val="18"/>
              </w:rPr>
              <w:t>El directional coupler, atenuador y RF log detector han sido eliminados. Sin señal física no es posible medir ni muestrear el detector por software.</w:t>
            </w:r>
          </w:p>
        </w:tc>
      </w:tr>
      <w:tr>
        <w:tc>
          <w:tcPr>
            <w:tcW w:type="dxa" w:w="1100"/>
            <w:vAlign w:val="center"/>
            <w:tcMar>
              <w:top w:w="80" w:type="dxa"/>
              <w:start w:w="120" w:type="dxa"/>
              <w:bottom w:w="80" w:type="dxa"/>
              <w:end w:w="120" w:type="dxa"/>
            </w:tcMar>
          </w:tcPr>
          <w:p>
            <w:pPr>
              <w:spacing w:after="0" w:line="264" w:lineRule="auto"/>
            </w:pPr>
            <w:r>
              <w:rPr>
                <w:rFonts w:ascii="Calibri" w:hAnsi="Calibri"/>
                <w:sz w:val="18"/>
              </w:rPr>
              <w:t>P.29</w:t>
            </w:r>
          </w:p>
        </w:tc>
        <w:tc>
          <w:tcPr>
            <w:tcW w:type="dxa" w:w="2600"/>
            <w:vAlign w:val="center"/>
            <w:tcMar>
              <w:top w:w="80" w:type="dxa"/>
              <w:start w:w="120" w:type="dxa"/>
              <w:bottom w:w="80" w:type="dxa"/>
              <w:end w:w="120" w:type="dxa"/>
            </w:tcMar>
          </w:tcPr>
          <w:p>
            <w:pPr>
              <w:spacing w:after="0" w:line="264" w:lineRule="auto"/>
            </w:pPr>
            <w:r>
              <w:rPr>
                <w:rFonts w:ascii="Calibri" w:hAnsi="Calibri"/>
                <w:sz w:val="18"/>
              </w:rPr>
              <w:t>Capacidad de memoria</w:t>
            </w:r>
          </w:p>
        </w:tc>
        <w:tc>
          <w:tcPr>
            <w:tcW w:type="dxa" w:w="5660"/>
            <w:vAlign w:val="center"/>
            <w:tcMar>
              <w:top w:w="80" w:type="dxa"/>
              <w:start w:w="120" w:type="dxa"/>
              <w:bottom w:w="80" w:type="dxa"/>
              <w:end w:w="120" w:type="dxa"/>
            </w:tcMar>
          </w:tcPr>
          <w:p>
            <w:pPr>
              <w:spacing w:after="0" w:line="264" w:lineRule="auto"/>
            </w:pPr>
            <w:r>
              <w:rPr>
                <w:rFonts w:ascii="Calibri" w:hAnsi="Calibri"/>
                <w:sz w:val="18"/>
              </w:rPr>
              <w:t>La capacidad física no puede aumentarse por firmware. Debe verificarse contra los chips realmente montados; el software solo puede gestionar el espacio disponible.</w:t>
            </w:r>
          </w:p>
        </w:tc>
      </w:tr>
      <w:tr>
        <w:tc>
          <w:tcPr>
            <w:tcW w:type="dxa" w:w="1100"/>
            <w:vAlign w:val="center"/>
            <w:tcMar>
              <w:top w:w="80" w:type="dxa"/>
              <w:start w:w="120" w:type="dxa"/>
              <w:bottom w:w="80" w:type="dxa"/>
              <w:end w:w="120" w:type="dxa"/>
            </w:tcMar>
          </w:tcPr>
          <w:p>
            <w:pPr>
              <w:spacing w:after="0" w:line="264" w:lineRule="auto"/>
            </w:pPr>
            <w:r>
              <w:rPr>
                <w:rFonts w:ascii="Calibri" w:hAnsi="Calibri"/>
                <w:sz w:val="18"/>
              </w:rPr>
              <w:t>D.16</w:t>
            </w:r>
          </w:p>
        </w:tc>
        <w:tc>
          <w:tcPr>
            <w:tcW w:type="dxa" w:w="2600"/>
            <w:vAlign w:val="center"/>
            <w:tcMar>
              <w:top w:w="80" w:type="dxa"/>
              <w:start w:w="120" w:type="dxa"/>
              <w:bottom w:w="80" w:type="dxa"/>
              <w:end w:w="120" w:type="dxa"/>
            </w:tcMar>
          </w:tcPr>
          <w:p>
            <w:pPr>
              <w:spacing w:after="0" w:line="264" w:lineRule="auto"/>
            </w:pPr>
            <w:r>
              <w:rPr>
                <w:rFonts w:ascii="Calibri" w:hAnsi="Calibri"/>
                <w:sz w:val="18"/>
              </w:rPr>
              <w:t>Inhibición hardware RF</w:t>
            </w:r>
          </w:p>
        </w:tc>
        <w:tc>
          <w:tcPr>
            <w:tcW w:type="dxa" w:w="5660"/>
            <w:vAlign w:val="center"/>
            <w:tcMar>
              <w:top w:w="80" w:type="dxa"/>
              <w:start w:w="120" w:type="dxa"/>
              <w:bottom w:w="80" w:type="dxa"/>
              <w:end w:w="120" w:type="dxa"/>
            </w:tcMar>
          </w:tcPr>
          <w:p>
            <w:pPr>
              <w:spacing w:after="0" w:line="264" w:lineRule="auto"/>
            </w:pPr>
            <w:r>
              <w:rPr>
                <w:rFonts w:ascii="Calibri" w:hAnsi="Calibri"/>
                <w:sz w:val="18"/>
              </w:rPr>
              <w:t>El software puede accionar y comprobar una entrada/salida existente, pero no sustituye un mecanismo físico ausente.</w:t>
            </w:r>
          </w:p>
        </w:tc>
      </w:tr>
      <w:tr>
        <w:tc>
          <w:tcPr>
            <w:tcW w:type="dxa" w:w="1100"/>
            <w:vAlign w:val="center"/>
            <w:tcMar>
              <w:top w:w="80" w:type="dxa"/>
              <w:start w:w="120" w:type="dxa"/>
              <w:bottom w:w="80" w:type="dxa"/>
              <w:end w:w="120" w:type="dxa"/>
            </w:tcMar>
          </w:tcPr>
          <w:p>
            <w:pPr>
              <w:spacing w:after="0" w:line="264" w:lineRule="auto"/>
            </w:pPr>
            <w:r>
              <w:rPr>
                <w:rFonts w:ascii="Calibri" w:hAnsi="Calibri"/>
                <w:sz w:val="18"/>
              </w:rPr>
              <w:t>F.06 / P.16-P.18</w:t>
            </w:r>
          </w:p>
        </w:tc>
        <w:tc>
          <w:tcPr>
            <w:tcW w:type="dxa" w:w="2600"/>
            <w:vAlign w:val="center"/>
            <w:tcMar>
              <w:top w:w="80" w:type="dxa"/>
              <w:start w:w="120" w:type="dxa"/>
              <w:bottom w:w="80" w:type="dxa"/>
              <w:end w:w="120" w:type="dxa"/>
            </w:tcMar>
          </w:tcPr>
          <w:p>
            <w:pPr>
              <w:spacing w:after="0" w:line="264" w:lineRule="auto"/>
            </w:pPr>
            <w:r>
              <w:rPr>
                <w:rFonts w:ascii="Calibri" w:hAnsi="Calibri"/>
                <w:sz w:val="18"/>
              </w:rPr>
              <w:t>Temperatura PA/TCXO</w:t>
            </w:r>
          </w:p>
        </w:tc>
        <w:tc>
          <w:tcPr>
            <w:tcW w:type="dxa" w:w="5660"/>
            <w:vAlign w:val="center"/>
            <w:tcMar>
              <w:top w:w="80" w:type="dxa"/>
              <w:start w:w="120" w:type="dxa"/>
              <w:bottom w:w="80" w:type="dxa"/>
              <w:end w:w="120" w:type="dxa"/>
            </w:tcMar>
          </w:tcPr>
          <w:p>
            <w:pPr>
              <w:spacing w:after="0" w:line="264" w:lineRule="auto"/>
            </w:pPr>
            <w:r>
              <w:rPr>
                <w:rFonts w:ascii="Calibri" w:hAnsi="Calibri"/>
                <w:sz w:val="18"/>
              </w:rPr>
              <w:t>Una estadística genérica del módulo solo cumple si se demuestra que representa el punto térmico requerido con rango, precisión y cadencia suficientes.</w:t>
            </w:r>
          </w:p>
        </w:tc>
      </w:tr>
    </w:tbl>
    <w:p>
      <w:pPr>
        <w:spacing w:after="40"/>
      </w:pPr>
    </w:p>
    <w:p>
      <w:pPr>
        <w:pStyle w:val="Heading1"/>
        <w:keepNext/>
      </w:pPr>
      <w:r>
        <w:t>12. Plan mínimo de verificación software</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050"/>
        <w:gridCol w:w="2050"/>
        <w:gridCol w:w="5210"/>
        <w:gridCol w:w="1050"/>
      </w:tblGrid>
      <w:tr>
        <w:trPr>
          <w:tblHeader w:val="true"/>
        </w:trPr>
        <w:tc>
          <w:tcPr>
            <w:tcW w:type="dxa" w:w="1050"/>
            <w:vAlign w:val="center"/>
            <w:tcMar>
              <w:top w:w="80" w:type="dxa"/>
              <w:start w:w="120" w:type="dxa"/>
              <w:bottom w:w="80" w:type="dxa"/>
              <w:end w:w="120" w:type="dxa"/>
            </w:tcMar>
            <w:shd w:fill="E8EEF5"/>
          </w:tcPr>
          <w:p>
            <w:pPr>
              <w:spacing w:after="0"/>
            </w:pPr>
            <w:r>
              <w:rPr>
                <w:rFonts w:ascii="Calibri" w:hAnsi="Calibri"/>
                <w:b/>
                <w:color w:val="0B2545"/>
                <w:sz w:val="17"/>
              </w:rPr>
              <w:t>ID</w:t>
            </w:r>
          </w:p>
        </w:tc>
        <w:tc>
          <w:tcPr>
            <w:tcW w:type="dxa" w:w="2050"/>
            <w:vAlign w:val="center"/>
            <w:tcMar>
              <w:top w:w="80" w:type="dxa"/>
              <w:start w:w="120" w:type="dxa"/>
              <w:bottom w:w="80" w:type="dxa"/>
              <w:end w:w="120" w:type="dxa"/>
            </w:tcMar>
            <w:shd w:fill="E8EEF5"/>
          </w:tcPr>
          <w:p>
            <w:pPr>
              <w:spacing w:after="0"/>
            </w:pPr>
            <w:r>
              <w:rPr>
                <w:rFonts w:ascii="Calibri" w:hAnsi="Calibri"/>
                <w:b/>
                <w:color w:val="0B2545"/>
                <w:sz w:val="17"/>
              </w:rPr>
              <w:t>Ensayo</w:t>
            </w:r>
          </w:p>
        </w:tc>
        <w:tc>
          <w:tcPr>
            <w:tcW w:type="dxa" w:w="5210"/>
            <w:vAlign w:val="center"/>
            <w:tcMar>
              <w:top w:w="80" w:type="dxa"/>
              <w:start w:w="120" w:type="dxa"/>
              <w:bottom w:w="80" w:type="dxa"/>
              <w:end w:w="120" w:type="dxa"/>
            </w:tcMar>
            <w:shd w:fill="E8EEF5"/>
          </w:tcPr>
          <w:p>
            <w:pPr>
              <w:spacing w:after="0"/>
            </w:pPr>
            <w:r>
              <w:rPr>
                <w:rFonts w:ascii="Calibri" w:hAnsi="Calibri"/>
                <w:b/>
                <w:color w:val="0B2545"/>
                <w:sz w:val="17"/>
              </w:rPr>
              <w:t>Aceptación resumida</w:t>
            </w:r>
          </w:p>
        </w:tc>
        <w:tc>
          <w:tcPr>
            <w:tcW w:type="dxa" w:w="1050"/>
            <w:vAlign w:val="center"/>
            <w:tcMar>
              <w:top w:w="80" w:type="dxa"/>
              <w:start w:w="120" w:type="dxa"/>
              <w:bottom w:w="80" w:type="dxa"/>
              <w:end w:w="120" w:type="dxa"/>
            </w:tcMar>
            <w:shd w:fill="E8EEF5"/>
          </w:tcPr>
          <w:p>
            <w:pPr>
              <w:spacing w:after="0"/>
            </w:pPr>
            <w:r>
              <w:rPr>
                <w:rFonts w:ascii="Calibri" w:hAnsi="Calibri"/>
                <w:b/>
                <w:color w:val="0B2545"/>
                <w:sz w:val="17"/>
              </w:rPr>
              <w:t>Prioridad</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SW-T01</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Release gate</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Binario FLIGHT sin flags DEV, IP antiguas ni CRC permisivo.</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P0</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SW-T02</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E-Link 12 h</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Telemetría 1 Hz, comandos concurrentes, cero bloqueos y conteo de gaps.</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P0</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SW-T03</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Power-cycle</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Tres cortes; memoria previa conservada y boot/session diferenciados.</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P0</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SW-T04</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Watchdog</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Stall forzado, reset autónomo, motivo registrado y recuperación.</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P0</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SW-T05</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Seguridad térmica</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&gt;40 °C, sensor inválido, STOP y SAFE fuerzan PWM=0.</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P0</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SW-T06</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RF silence/límites</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Silencio inmediato; TX power/MCS inválidos rechazados.</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P0</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SW-T07</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Final IPs</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Ping, telemetría y comando sobre topología de campaña con captura.</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P0</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SW-T08</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Integridad</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CRC, duplicados, orden, pérdida, datagramas sobredimensionados y corrupción.</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P1</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SW-T09</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Sensores</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Fault injection por dispositivo, error_flags y continuidad de adquisición.</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P1</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SW-T10</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HaLow</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10 s, retry&lt;=3, duty cycle, PDR y correlación E-Link/HaLow.</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P1</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SW-T11</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Ground Station</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Logging automático, restart del backend y fuente E-Link para tracking.</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P1</w:t>
            </w:r>
          </w:p>
        </w:tc>
      </w:tr>
      <w:tr>
        <w:tc>
          <w:tcPr>
            <w:tcW w:type="dxa" w:w="1050"/>
            <w:vAlign w:val="center"/>
            <w:tcMar>
              <w:top w:w="80" w:type="dxa"/>
              <w:start w:w="120" w:type="dxa"/>
              <w:bottom w:w="80" w:type="dxa"/>
              <w:end w:w="120" w:type="dxa"/>
            </w:tcMar>
          </w:tcPr>
          <w:p>
            <w:pPr>
              <w:spacing w:after="0" w:line="264" w:lineRule="auto"/>
            </w:pPr>
            <w:r>
              <w:rPr>
                <w:rFonts w:ascii="Calibri" w:hAnsi="Calibri"/>
                <w:sz w:val="17"/>
              </w:rPr>
              <w:t>SW-T12</w:t>
            </w:r>
          </w:p>
        </w:tc>
        <w:tc>
          <w:tcPr>
            <w:tcW w:type="dxa" w:w="2050"/>
            <w:vAlign w:val="center"/>
            <w:tcMar>
              <w:top w:w="80" w:type="dxa"/>
              <w:start w:w="120" w:type="dxa"/>
              <w:bottom w:w="80" w:type="dxa"/>
              <w:end w:w="120" w:type="dxa"/>
            </w:tcMar>
          </w:tcPr>
          <w:p>
            <w:pPr>
              <w:spacing w:after="0" w:line="264" w:lineRule="auto"/>
            </w:pPr>
            <w:r>
              <w:rPr>
                <w:rFonts w:ascii="Calibri" w:hAnsi="Calibri"/>
                <w:sz w:val="17"/>
              </w:rPr>
              <w:t>Flash llena</w:t>
            </w:r>
          </w:p>
        </w:tc>
        <w:tc>
          <w:tcPr>
            <w:tcW w:type="dxa" w:w="5210"/>
            <w:vAlign w:val="center"/>
            <w:tcMar>
              <w:top w:w="80" w:type="dxa"/>
              <w:start w:w="120" w:type="dxa"/>
              <w:bottom w:w="80" w:type="dxa"/>
              <w:end w:w="120" w:type="dxa"/>
            </w:tcMar>
          </w:tcPr>
          <w:p>
            <w:pPr>
              <w:spacing w:after="0" w:line="264" w:lineRule="auto"/>
            </w:pPr>
            <w:r>
              <w:rPr>
                <w:rFonts w:ascii="Calibri" w:hAnsi="Calibri"/>
                <w:sz w:val="17"/>
              </w:rPr>
              <w:t>Sin overflow; política aplicada y diagnóstico recibido en tierra.</w:t>
            </w:r>
          </w:p>
        </w:tc>
        <w:tc>
          <w:tcPr>
            <w:tcW w:type="dxa" w:w="1050"/>
            <w:vAlign w:val="center"/>
            <w:tcMar>
              <w:top w:w="80" w:type="dxa"/>
              <w:start w:w="120" w:type="dxa"/>
              <w:bottom w:w="80" w:type="dxa"/>
              <w:end w:w="120" w:type="dxa"/>
            </w:tcMar>
          </w:tcPr>
          <w:p>
            <w:pPr>
              <w:spacing w:after="0" w:line="264" w:lineRule="auto"/>
            </w:pPr>
            <w:r>
              <w:rPr>
                <w:rFonts w:ascii="Calibri" w:hAnsi="Calibri"/>
                <w:sz w:val="17"/>
              </w:rPr>
              <w:t>P2</w:t>
            </w:r>
          </w:p>
        </w:tc>
      </w:tr>
    </w:tbl>
    <w:p>
      <w:pPr>
        <w:spacing w:after="40"/>
      </w:pPr>
    </w:p>
    <w:p>
      <w:pPr>
        <w:pStyle w:val="Heading1"/>
        <w:keepNext/>
      </w:pPr>
      <w:r>
        <w:t>13. Secuencia recomendada de implementación</w:t>
      </w:r>
    </w:p>
    <w:p>
      <w:pPr>
        <w:numPr>
          <w:ilvl w:val="0"/>
          <w:numId w:val="11"/>
        </w:numPr>
        <w:spacing w:before="0" w:after="80" w:line="300" w:lineRule="auto"/>
      </w:pPr>
      <w:r>
        <w:rPr>
          <w:rFonts w:ascii="Calibri" w:hAnsi="Calibri"/>
        </w:rPr>
        <w:t>Congelar protocolo, comandos y configuración de red; incorporar las IP finales BEXUS.</w:t>
      </w:r>
    </w:p>
    <w:p>
      <w:pPr>
        <w:numPr>
          <w:ilvl w:val="0"/>
          <w:numId w:val="11"/>
        </w:numPr>
        <w:spacing w:before="0" w:after="80" w:line="300" w:lineRule="auto"/>
      </w:pPr>
      <w:r>
        <w:rPr>
          <w:rFonts w:ascii="Calibri" w:hAnsi="Calibri"/>
        </w:rPr>
        <w:t>Reactivar E-Link TX/RX y corregir CRC antes de cualquier cambio de interfaz de usuario.</w:t>
      </w:r>
    </w:p>
    <w:p>
      <w:pPr>
        <w:numPr>
          <w:ilvl w:val="0"/>
          <w:numId w:val="11"/>
        </w:numPr>
        <w:spacing w:before="0" w:after="80" w:line="300" w:lineRule="auto"/>
      </w:pPr>
      <w:r>
        <w:rPr>
          <w:rFonts w:ascii="Calibri" w:hAnsi="Calibri"/>
        </w:rPr>
        <w:t>Cerrar estados seguros, watchdog, heater-off, RF silence y límites de potencia.</w:t>
      </w:r>
    </w:p>
    <w:p>
      <w:pPr>
        <w:numPr>
          <w:ilvl w:val="0"/>
          <w:numId w:val="11"/>
        </w:numPr>
        <w:spacing w:before="0" w:after="80" w:line="300" w:lineRule="auto"/>
      </w:pPr>
      <w:r>
        <w:rPr>
          <w:rFonts w:ascii="Calibri" w:hAnsi="Calibri"/>
        </w:rPr>
        <w:t>Asegurar persistencia de flash y eliminar el formateo del perfil FLIGHT.</w:t>
      </w:r>
    </w:p>
    <w:p>
      <w:pPr>
        <w:numPr>
          <w:ilvl w:val="0"/>
          <w:numId w:val="11"/>
        </w:numPr>
        <w:spacing w:before="0" w:after="80" w:line="300" w:lineRule="auto"/>
      </w:pPr>
      <w:r>
        <w:rPr>
          <w:rFonts w:ascii="Calibri" w:hAnsi="Calibri"/>
        </w:rPr>
        <w:t>Corregir sensores, tiempo común, secuencias y métricas científicas.</w:t>
      </w:r>
    </w:p>
    <w:p>
      <w:pPr>
        <w:numPr>
          <w:ilvl w:val="0"/>
          <w:numId w:val="11"/>
        </w:numPr>
        <w:spacing w:before="0" w:after="80" w:line="300" w:lineRule="auto"/>
      </w:pPr>
      <w:r>
        <w:rPr>
          <w:rFonts w:ascii="Calibri" w:hAnsi="Calibri"/>
        </w:rPr>
        <w:t>Hacer E-Link canónico en Ground Station y endurecer logging/validación.</w:t>
      </w:r>
    </w:p>
    <w:p>
      <w:pPr>
        <w:numPr>
          <w:ilvl w:val="0"/>
          <w:numId w:val="11"/>
        </w:numPr>
        <w:spacing w:before="0" w:after="80" w:line="300" w:lineRule="auto"/>
      </w:pPr>
      <w:r>
        <w:rPr>
          <w:rFonts w:ascii="Calibri" w:hAnsi="Calibri"/>
        </w:rPr>
        <w:t>Ejecutar los ensayos SW-T01 a SW-T12 y archivar evidencias con la release candidata.</w:t>
      </w:r>
    </w:p>
    <w:p>
      <w:pPr>
        <w:pStyle w:val="Heading1"/>
        <w:keepNext/>
      </w:pPr>
      <w:r>
        <w:t>Anexo A. Localizaciones principales en código</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pPr>
            <w:r>
              <w:rPr>
                <w:rFonts w:ascii="Calibri" w:hAnsi="Calibri"/>
                <w:b/>
                <w:color w:val="0B2545"/>
                <w:sz w:val="18"/>
              </w:rPr>
              <w:t>Área</w:t>
            </w:r>
          </w:p>
        </w:tc>
        <w:tc>
          <w:tcPr>
            <w:tcW w:type="dxa" w:w="6660"/>
            <w:vAlign w:val="center"/>
            <w:tcMar>
              <w:top w:w="80" w:type="dxa"/>
              <w:start w:w="120" w:type="dxa"/>
              <w:bottom w:w="80" w:type="dxa"/>
              <w:end w:w="120" w:type="dxa"/>
            </w:tcMar>
            <w:shd w:fill="E8EEF5"/>
          </w:tcPr>
          <w:p>
            <w:pPr>
              <w:spacing w:after="0"/>
            </w:pPr>
            <w:r>
              <w:rPr>
                <w:rFonts w:ascii="Calibri" w:hAnsi="Calibri"/>
                <w:b/>
                <w:color w:val="0B2545"/>
                <w:sz w:val="18"/>
              </w:rPr>
              <w:t>Ruta</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Red W5500</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Drivers/Ethernet_W5500/wizchip_port.c y .h</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Estados, tareas y colas</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Core/Src/main.c</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Comandos E-Link</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Core/Src/elink_cmd.c; Core/Inc/elink_cmd.h</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Telemetría</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Core/Inc/telemetry.h; Core/Src/txhalow.c</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Flash</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Core/Src/w25qxx.c; Core/Src/w25log.c</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Sensores</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Core/Src/sensors.c y drivers individuales</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Backend GS</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bless-ground-station/backend/src/index.ts, protocol.ts, logger.ts</w:t>
            </w:r>
          </w:p>
        </w:tc>
      </w:tr>
      <w:tr>
        <w:tc>
          <w:tcPr>
            <w:tcW w:type="dxa" w:w="2700"/>
            <w:vAlign w:val="center"/>
            <w:tcMar>
              <w:top w:w="80" w:type="dxa"/>
              <w:start w:w="120" w:type="dxa"/>
              <w:bottom w:w="80" w:type="dxa"/>
              <w:end w:w="120" w:type="dxa"/>
            </w:tcMar>
          </w:tcPr>
          <w:p>
            <w:pPr>
              <w:spacing w:after="0" w:line="264" w:lineRule="auto"/>
            </w:pPr>
            <w:r>
              <w:rPr>
                <w:rFonts w:ascii="Calibri" w:hAnsi="Calibri"/>
                <w:sz w:val="18"/>
              </w:rPr>
              <w:t>Frontend GS</w:t>
            </w:r>
          </w:p>
        </w:tc>
        <w:tc>
          <w:tcPr>
            <w:tcW w:type="dxa" w:w="6660"/>
            <w:vAlign w:val="center"/>
            <w:tcMar>
              <w:top w:w="80" w:type="dxa"/>
              <w:start w:w="120" w:type="dxa"/>
              <w:bottom w:w="80" w:type="dxa"/>
              <w:end w:w="120" w:type="dxa"/>
            </w:tcMar>
          </w:tcPr>
          <w:p>
            <w:pPr>
              <w:spacing w:after="0" w:line="264" w:lineRule="auto"/>
            </w:pPr>
            <w:r>
              <w:rPr>
                <w:rFonts w:ascii="Calibri" w:hAnsi="Calibri"/>
                <w:sz w:val="18"/>
              </w:rPr>
              <w:t>frontend/src/hooks/useLiveData.tsx y páginas Telemetry/E-Link/Map/Antenna</w:t>
            </w:r>
          </w:p>
        </w:tc>
      </w:tr>
    </w:tbl>
    <w:p>
      <w:pPr>
        <w:spacing w:after="40"/>
      </w:pPr>
    </w:p>
    <w:p>
      <w:pPr>
        <w:spacing w:before="0" w:after="120" w:line="300" w:lineRule="auto"/>
      </w:pPr>
      <w:r>
        <w:rPr>
          <w:rFonts w:ascii="Calibri" w:hAnsi="Calibri"/>
          <w:color w:val="666666"/>
        </w:rPr>
        <w:t>Fin del documento. La asignación final de red deberá incorporarse en una revisión controlada cuando se facilite la hoja BEXUS definitiva.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6666"/>
        <w:sz w:val="18"/>
      </w:rPr>
      <w:t>BLESS · Cierre de software pre-vuelo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abstractNum>
  <w:num w:numId="10">
    <w:abstractNumId w:val="9"/>
  </w:num>
  <w:abstractNum w:abstractNumId="10">
    <w:multiLevelType w:val="singleLeve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BLESS - Acciones de software pendientes antes de vuelo</dc:title>
  <dc:subject>Lista de cierre software basada en SED v3</dc:subject>
  <dc:creator>BLESS Team</dc:creator>
  <cp:keywords>BLESS, BEXUS, software, E-Link, HaLow, pre-vuelo</cp:keywords>
  <dc:description>generated by python-docx</dc:description>
  <cp:lastModifiedBy/>
  <cp:revision>1</cp:revision>
  <dcterms:created xsi:type="dcterms:W3CDTF">2013-12-23T23:15:00Z</dcterms:created>
  <dcterms:modified xsi:type="dcterms:W3CDTF">2013-12-23T23:15:00Z</dcterms:modified>
  <cp:category/>
</cp:coreProperties>
</file>