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501829885"/>
      <w:r>
        <w:rPr>
          <w:rFonts w:ascii="Times New Roman" w:hAnsi="Times New Roman" w:cs="Times New Roman" w:hint="eastAsia"/>
          <w:sz w:val="44"/>
          <w:szCs w:val="44"/>
        </w:rPr>
        <w:t xml:space="preserve">电气</w:t>
      </w:r>
      <w:r w:rsidR="00B1273C">
        <w:rPr>
          <w:rFonts w:ascii="Times New Roman" w:hAnsi="Times New Roman" w:cs="Times New Roman" w:hint="eastAsia"/>
          <w:sz w:val="44"/>
          <w:szCs w:val="44"/>
        </w:rPr>
        <w:t xml:space="preserve">抗震支吊架受力计算书</w:t>
      </w:r>
    </w:p>
    <w:p>
      <w:pPr>
        <w:pStyle w:val="Heading1"/>
        <w:numPr>
          <w:ilvl w:val="0"/>
          <w:numId w:val="3"/>
        </w:numPr>
        <w:snapToGrid w:val="0"/>
        <w:spacing w:line="360" w:lineRule="auto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设计依据及范围</w:t>
      </w:r>
    </w:p>
    <w:p>
      <w:pPr>
        <w:pStyle w:val="Heading1"/>
        <w:snapToGrid w:val="0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设计依据</w:t>
      </w:r>
      <w:bookmarkEnd w:id="0"/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本相关</w:t>
      </w:r>
      <w:r>
        <w:rPr>
          <w:rFonts w:ascii="Times New Roman" w:hAnsi="Times New Roman" w:cs="Times New Roman"/>
          <w:sz w:val="24"/>
          <w:szCs w:val="24"/>
        </w:rPr>
        <w:t xml:space="preserve">设计执行国家现行（或即将发行）设计规范、标准、通用图集的有关规定，主要包括（但不限于）如表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所示。</w:t>
      </w:r>
    </w:p>
    <w:p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 xml:space="preserve">表</w:t>
      </w:r>
      <w:r>
        <w:rPr>
          <w:rFonts w:ascii="Times New Roman" w:eastAsia="黑体" w:hAnsi="Times New Roman" w:cs="Times New Roman"/>
          <w:b/>
        </w:rPr>
        <w:t xml:space="preserve">1 </w:t>
      </w:r>
      <w:r>
        <w:rPr>
          <w:rFonts w:ascii="Times New Roman" w:eastAsia="黑体" w:hAnsi="Times New Roman" w:cs="Times New Roman"/>
          <w:b/>
        </w:rPr>
        <w:t xml:space="preserve">设计依据</w:t>
      </w:r>
      <w:r>
        <w:rPr>
          <w:rFonts w:ascii="Times New Roman" w:eastAsia="黑体" w:hAnsi="Times New Roman" w:cs="Times New Roman"/>
          <w:b/>
        </w:rPr>
        <w:t xml:space="preserve">—</w:t>
      </w:r>
      <w:r>
        <w:rPr>
          <w:rFonts w:ascii="Times New Roman" w:eastAsia="黑体" w:hAnsi="Times New Roman" w:cs="Times New Roman"/>
          <w:b/>
        </w:rPr>
        <w:t xml:space="preserve">设计规范、标准、通用图集</w:t>
      </w: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6095"/>
      </w:tblGrid>
      <w:tr>
        <w:trPr>
          <w:trHeight w:val="589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序号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文件编号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文件名称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GB50981-2014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《建筑机电工程抗震设计规范》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2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GB50011-2010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《建筑抗震设计规范》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3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938C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19K112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金属、非金属风管支吊架</w:t>
            </w:r>
            <w:r w:rsidR="00451AC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(</w:t>
            </w:r>
            <w:r w:rsidR="00451AC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含抗震</w:t>
            </w:r>
            <w:r w:rsidR="00451A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支吊架</w:t>
            </w:r>
            <w:r w:rsidR="00451A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4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18</w:t>
            </w:r>
            <w:r w:rsidR="00B1273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R417-2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</w:t>
            </w:r>
            <w:r w:rsidR="00451A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装配式管道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</w:t>
            </w:r>
            <w:r w:rsidR="00451A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吊架</w:t>
            </w:r>
            <w:r w:rsidR="00451AC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(</w:t>
            </w:r>
            <w:r w:rsidR="00451AC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含抗震</w:t>
            </w:r>
            <w:r w:rsidR="00451A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支吊架</w:t>
            </w:r>
            <w:r w:rsidR="00451A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30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5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03S402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《室内管道支架及吊架》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6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IBC2009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《抗震工程指导纲要》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7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GB50367-2013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《混凝土结构加固设计规范》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8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JGJ 145-2013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混凝土结构后锚固技术规程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9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GB55002-2021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《建筑与市政工程抗震通用规范》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1</w:t>
            </w: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0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B55006-2021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《钢结构通用规范》</w:t>
            </w:r>
          </w:p>
        </w:tc>
      </w:tr>
      <w:tr>
        <w:trPr>
          <w:trHeight w:val="451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kern w:val="0"/>
                <w:sz w:val="24"/>
                <w:szCs w:val="24"/>
              </w:rPr>
              <w:t xml:space="preserve">1</w:t>
            </w:r>
            <w:r>
              <w:rPr>
                <w:rFonts w:ascii="Times New Roman" w:eastAsia="宋体" w:hAnsi="Times New Roman" w:eastAsiaTheme="majorEastAsia" w:cs="Times New Roman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G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B55001-2021</w:t>
            </w:r>
          </w:p>
        </w:tc>
        <w:tc>
          <w:tcPr>
            <w:tcW w:w="6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《工程结构通用规范》</w:t>
            </w:r>
          </w:p>
        </w:tc>
      </w:tr>
    </w:tbl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501829886"/>
      <w:r>
        <w:rPr>
          <w:rFonts w:ascii="Times New Roman" w:hAnsi="Times New Roman" w:cs="Times New Roman" w:hint="eastAsia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设计范围</w:t>
      </w:r>
      <w:bookmarkEnd w:id="1"/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本工程抗震支吊架系统设计主要包括内容：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）给水、消防管道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(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含消火栓、气体灭火、喷淋等）系统：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管道采用</w:t>
      </w:r>
      <w:r>
        <w:rPr>
          <w:rFonts w:ascii="Times New Roman" w:hAnsi="Times New Roman" w:cs="Times New Roman" w:hint="eastAsia"/>
          <w:sz w:val="24"/>
          <w:szCs w:val="24"/>
        </w:rPr>
        <w:t xml:space="preserve">内外</w:t>
      </w:r>
      <w:r>
        <w:rPr>
          <w:rFonts w:ascii="Times New Roman" w:hAnsi="Times New Roman" w:cs="Times New Roman"/>
          <w:sz w:val="24"/>
          <w:szCs w:val="24"/>
        </w:rPr>
        <w:t xml:space="preserve">热镀锌钢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≥65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管道均应设置抗震支吊架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</w:t>
      </w:r>
    </w:p>
    <w:p>
      <w:pPr>
        <w:spacing w:line="360" w:lineRule="auto"/>
        <w:ind w:firstLine="512" w:firstLineChars="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）</w:t>
      </w:r>
      <w:r>
        <w:rPr>
          <w:rFonts w:ascii="Times New Roman" w:hAnsi="Times New Roman" w:cs="Times New Roman" w:hint="eastAsia"/>
          <w:sz w:val="24"/>
          <w:szCs w:val="24"/>
        </w:rPr>
        <w:t xml:space="preserve">电气</w:t>
      </w:r>
      <w:r>
        <w:rPr>
          <w:rFonts w:ascii="Times New Roman" w:hAnsi="Times New Roman" w:cs="Times New Roman" w:hint="eastAsia"/>
          <w:sz w:val="24"/>
          <w:szCs w:val="24"/>
        </w:rPr>
        <w:t xml:space="preserve">(</w:t>
      </w:r>
      <w:r>
        <w:rPr>
          <w:rFonts w:ascii="Times New Roman" w:hAnsi="Times New Roman" w:cs="Times New Roman" w:hint="eastAsia"/>
          <w:sz w:val="24"/>
          <w:szCs w:val="24"/>
        </w:rPr>
        <w:t xml:space="preserve">包括消防报警</w:t>
      </w:r>
      <w:r>
        <w:rPr>
          <w:rFonts w:ascii="Times New Roman" w:hAnsi="Times New Roman" w:cs="Times New Roman" w:hint="eastAsia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系统：采用</w:t>
      </w:r>
      <w:r>
        <w:rPr>
          <w:rFonts w:ascii="Times New Roman" w:hAnsi="Times New Roman" w:cs="Times New Roman" w:hint="eastAsia"/>
          <w:sz w:val="24"/>
          <w:szCs w:val="24"/>
        </w:rPr>
        <w:t xml:space="preserve">电缆</w:t>
      </w:r>
      <w:r>
        <w:rPr>
          <w:rFonts w:ascii="Times New Roman" w:hAnsi="Times New Roman" w:cs="Times New Roman"/>
          <w:sz w:val="24"/>
          <w:szCs w:val="24"/>
        </w:rPr>
        <w:t xml:space="preserve">桥架或母线槽，重</w:t>
      </w:r>
      <w:r>
        <w:rPr>
          <w:rFonts w:ascii="Times New Roman" w:hAnsi="Times New Roman" w:cs="Times New Roman" w:hint="eastAsia"/>
          <w:sz w:val="24"/>
          <w:szCs w:val="24"/>
        </w:rPr>
        <w:t xml:space="preserve">力</w:t>
      </w:r>
      <w:r>
        <w:rPr>
          <w:rFonts w:ascii="Times New Roman" w:hAnsi="Times New Roman" w:cs="Times New Roman"/>
          <w:sz w:val="24"/>
          <w:szCs w:val="24"/>
        </w:rPr>
        <w:t xml:space="preserve">≥15</w:t>
      </w:r>
      <w:r>
        <w:rPr>
          <w:rFonts w:ascii="Times New Roman" w:hAnsi="Times New Roman" w:cs="Times New Roman" w:hint="eastAsia"/>
          <w:sz w:val="24"/>
          <w:szCs w:val="24"/>
        </w:rPr>
        <w:t xml:space="preserve">0N</w:t>
      </w:r>
      <w:r>
        <w:rPr>
          <w:rFonts w:ascii="Times New Roman" w:hAnsi="Times New Roman" w:cs="Times New Roman"/>
          <w:sz w:val="24"/>
          <w:szCs w:val="24"/>
        </w:rPr>
        <w:t xml:space="preserve">/m</w:t>
      </w:r>
      <w:r>
        <w:rPr>
          <w:rFonts w:ascii="Times New Roman" w:hAnsi="Times New Roman" w:cs="Times New Roman"/>
          <w:sz w:val="24"/>
          <w:szCs w:val="24"/>
        </w:rPr>
        <w:t xml:space="preserve">均</w:t>
      </w:r>
      <w:r>
        <w:rPr>
          <w:rFonts w:ascii="Times New Roman" w:hAnsi="Times New Roman" w:cs="Times New Roman" w:hint="eastAsia"/>
          <w:sz w:val="24"/>
          <w:szCs w:val="24"/>
        </w:rPr>
        <w:t xml:space="preserve">应</w:t>
      </w:r>
      <w:r>
        <w:rPr>
          <w:rFonts w:ascii="Times New Roman" w:hAnsi="Times New Roman" w:cs="Times New Roman"/>
          <w:sz w:val="24"/>
          <w:szCs w:val="24"/>
        </w:rPr>
        <w:t xml:space="preserve">设置抗震支吊架。</w:t>
      </w:r>
    </w:p>
    <w:p>
      <w:pPr>
        <w:spacing w:line="360" w:lineRule="auto"/>
        <w:ind w:left="1" w:firstLine="514" w:firstLineChars="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 w:hint="eastAsia"/>
          <w:sz w:val="24"/>
          <w:szCs w:val="24"/>
        </w:rPr>
        <w:t xml:space="preserve">）通风及防排烟系统：所有防排烟管道、</w:t>
      </w:r>
      <w:r>
        <w:rPr>
          <w:rFonts w:ascii="Times New Roman" w:hAnsi="Times New Roman" w:cs="Times New Roman"/>
          <w:sz w:val="24"/>
          <w:szCs w:val="24"/>
        </w:rPr>
        <w:t xml:space="preserve">事故通风风管</w:t>
      </w:r>
      <w:r>
        <w:rPr>
          <w:rFonts w:ascii="Times New Roman" w:hAnsi="Times New Roman" w:cs="Times New Roman" w:hint="eastAsia"/>
          <w:sz w:val="24"/>
          <w:szCs w:val="24"/>
        </w:rPr>
        <w:t xml:space="preserve">，普通送排风、空调风管横截面面积大于等于</w:t>
      </w:r>
      <w:r>
        <w:rPr>
          <w:rFonts w:ascii="Times New Roman" w:hAnsi="Times New Roman" w:cs="Times New Roman" w:hint="eastAsia"/>
          <w:sz w:val="24"/>
          <w:szCs w:val="24"/>
        </w:rPr>
        <w:t xml:space="preserve">0.38</w:t>
      </w:r>
      <w:r>
        <w:rPr>
          <w:rFonts w:ascii="Times New Roman" w:hAnsi="Times New Roman" w:cs="Times New Roman" w:hint="eastAsia"/>
          <w:sz w:val="24"/>
          <w:szCs w:val="24"/>
        </w:rPr>
        <w:t xml:space="preserve">㎡均应设置抗震支吊架。</w:t>
      </w:r>
    </w:p>
    <w:p>
      <w:pPr>
        <w:spacing w:line="360" w:lineRule="auto"/>
        <w:ind w:left="1" w:firstLine="514" w:firstLineChars="2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 w:hint="eastAsia"/>
          <w:sz w:val="24"/>
          <w:szCs w:val="24"/>
        </w:rPr>
        <w:t xml:space="preserve">）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悬吊管道中重力大于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1.8KN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的设备</w:t>
      </w:r>
      <w:r>
        <w:rPr>
          <w:rFonts w:ascii="Times New Roman" w:hAnsi="Times New Roman" w:cs="Times New Roman" w:hint="eastAsia"/>
          <w:sz w:val="24"/>
          <w:szCs w:val="24"/>
        </w:rPr>
        <w:t xml:space="preserve">应设置抗震支吊架。</w:t>
      </w: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" w:name="_Toc501007488"/>
      <w:bookmarkStart w:id="3" w:name="_Toc501829888"/>
      <w:bookmarkStart w:id="4" w:name="_Toc501007652"/>
      <w:bookmarkStart w:id="5" w:name="_Toc501007125"/>
      <w:r>
        <w:rPr>
          <w:rFonts w:ascii="Times New Roman" w:eastAsia="黑体" w:hAnsi="Times New Roman" w:cs="Times New Roman"/>
          <w:sz w:val="32"/>
          <w:szCs w:val="32"/>
        </w:rPr>
        <w:t xml:space="preserve">二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、</w:t>
      </w:r>
      <w:r>
        <w:rPr>
          <w:rFonts w:ascii="Times New Roman" w:eastAsia="黑体" w:hAnsi="Times New Roman" w:cs="Times New Roman"/>
          <w:sz w:val="32"/>
          <w:szCs w:val="32"/>
        </w:rPr>
        <w:t xml:space="preserve">计算选点说明</w:t>
      </w:r>
      <w:bookmarkEnd w:id="2"/>
      <w:bookmarkEnd w:id="3"/>
      <w:bookmarkEnd w:id="4"/>
      <w:bookmarkEnd w:id="5"/>
    </w:p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501829889"/>
      <w:r>
        <w:rPr>
          <w:rFonts w:ascii="Times New Roman" w:hAnsi="Times New Roman" w:cs="Times New Roman"/>
          <w:sz w:val="28"/>
          <w:szCs w:val="28"/>
        </w:rPr>
        <w:t xml:space="preserve">2.1</w:t>
      </w:r>
      <w:r>
        <w:rPr>
          <w:rFonts w:ascii="Times New Roman" w:hAnsi="Times New Roman" w:cs="Times New Roman"/>
          <w:sz w:val="28"/>
          <w:szCs w:val="28"/>
        </w:rPr>
        <w:t xml:space="preserve">选点区域范围</w:t>
      </w:r>
      <w:bookmarkEnd w:id="6"/>
    </w:p>
    <w:p>
      <w:pPr>
        <w:spacing w:before="156" w:beforeLines="50" w:after="156" w:afterLines="50" w:line="360" w:lineRule="auto"/>
        <w:ind w:firstLine="48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本计算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书选取的抗震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支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吊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区域为</w:t>
      </w:r>
      <w:r w:rsidR="000C4240">
        <w:rPr>
          <w:rFonts w:ascii="微软雅黑" w:eastAsia="微软雅黑" w:hAnsi="微软雅黑" w:cs="微软雅黑" w:hint="eastAsia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层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，管线布置依据设计图纸中的管线走向而定，实际工况如有不符则按实际工况另行计算选型。</w:t>
      </w:r>
    </w:p>
    <w:p>
      <w:pPr>
        <w:pStyle w:val="Heading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501829890"/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 w:hint="eastAsia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荷载取值</w:t>
      </w:r>
      <w:bookmarkEnd w:id="7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2.2.1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在抗震支架能够承担地震力综合值的条件下，支架间距取规范规定的最大值：</w:t>
      </w:r>
    </w:p>
    <w:p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365115" cy="2136775"/>
            <wp:effectExtent l="0" t="0" r="6985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对于抗震支架取最大间距无法满足受力要求时，可以适当调整支架间距。一般取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10m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、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8m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、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6m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</w:t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501829891"/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 w:hint="eastAsia"/>
          <w:sz w:val="28"/>
          <w:szCs w:val="28"/>
        </w:rPr>
        <w:t xml:space="preserve">计算依据</w:t>
      </w:r>
      <w:bookmarkEnd w:id="8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依据规范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要求，采用等效侧力法，水平地震作用标准值按下式计算：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F=γηζ1ζ2α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maxG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（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）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F——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沿最不利方向施加于机电设施重心处的水平地震作用标准值；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     γ——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非结构构件功能系数，按本规范第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条执行；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     η——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非结构构件类别系数，按本规范第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3.4.1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条执行；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ζ1——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状态系数；对支承点低于质心设备宜取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，其余情况可取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ζ2——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位置系数，建筑顶点宜取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2.0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，底部宜取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1.0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，沿高度线性分布；</w:t>
      </w:r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αmax——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地震影响系数最大值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按规范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3.3.5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条多遇地震的规定采用；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br/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      G——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非结构构件的重力，包括运行时有关的人员、容器和管道中的介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质及储物柜中物品的重力。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表3.4.1 建筑机电设备构件的类别系数和功能系数</w:t>
      </w:r>
    </w:p>
    <w:tbl>
      <w:tblPr>
        <w:tblStyle w:val="NormalTable"/>
        <w:tblW w:w="8221" w:type="dxa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1008"/>
        <w:gridCol w:w="741"/>
        <w:gridCol w:w="962"/>
        <w:gridCol w:w="1928"/>
      </w:tblGrid>
      <w:tr>
        <w:trPr>
          <w:cantSplit/>
        </w:trPr>
        <w:tc>
          <w:tcPr>
            <w:tcW w:w="3582" w:type="dxa"/>
            <w:vMerge w:val="restart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构件、部件所属系统</w:t>
            </w:r>
          </w:p>
        </w:tc>
        <w:tc>
          <w:tcPr>
            <w:tcW w:w="1008" w:type="dxa"/>
            <w:vMerge w:val="restart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类别系数</w:t>
            </w:r>
          </w:p>
        </w:tc>
        <w:tc>
          <w:tcPr>
            <w:tcW w:w="3631" w:type="dxa"/>
            <w:gridSpan w:val="3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功能系数</w:t>
            </w:r>
          </w:p>
        </w:tc>
      </w:tr>
      <w:tr>
        <w:trPr>
          <w:cantSplit/>
        </w:trPr>
        <w:tc>
          <w:tcPr>
            <w:tcW w:w="3582" w:type="dxa"/>
            <w:vMerge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</w:tc>
        <w:tc>
          <w:tcPr>
            <w:tcW w:w="1008" w:type="dxa"/>
            <w:vMerge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甲类建筑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乙类建筑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丙类建筑</w:t>
            </w:r>
          </w:p>
        </w:tc>
      </w:tr>
      <w:tr>
        <w:trPr>
          <w:cantSplit/>
          <w:trHeight w:val="290"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消防系统、燃气及其它气体系统；应急电源的主控系统、发电机，冷冻机等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2.0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电梯的支承结构，导轨、支架</w:t>
            </w: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,</w:t>
            </w: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轿箱导向构件等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  <w:trHeight w:val="171"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悬挂式或摇摆式灯具，给排水管道、通风空调管道及电缆桥架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0.9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其它灯具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柜式设备支座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0.6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水箱、冷却塔支座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1.2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锅炉、压力容器支座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  <w:tr>
        <w:trPr>
          <w:cantSplit/>
        </w:trPr>
        <w:tc>
          <w:tcPr>
            <w:tcW w:w="3582" w:type="dxa"/>
          </w:tcPr>
          <w:p>
            <w:pPr>
              <w:pStyle w:val="PlainText"/>
              <w:spacing w:line="32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公用天线支座</w:t>
            </w:r>
          </w:p>
        </w:tc>
        <w:tc>
          <w:tcPr>
            <w:tcW w:w="100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1.2</w:t>
            </w:r>
          </w:p>
        </w:tc>
        <w:tc>
          <w:tcPr>
            <w:tcW w:w="741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1.4</w:t>
            </w:r>
          </w:p>
        </w:tc>
        <w:tc>
          <w:tcPr>
            <w:tcW w:w="962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  <w:tc>
          <w:tcPr>
            <w:tcW w:w="1928" w:type="dxa"/>
          </w:tcPr>
          <w:p>
            <w:pPr>
              <w:pStyle w:val="PlainText"/>
              <w:spacing w:line="320" w:lineRule="exact"/>
              <w:jc w:val="center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 w:hint="eastAsia"/>
                <w:sz w:val="24"/>
                <w:szCs w:val="24"/>
              </w:rPr>
              <w:t xml:space="preserve">1.0</w:t>
            </w:r>
          </w:p>
        </w:tc>
      </w:tr>
    </w:tbl>
    <w:p>
      <w:pPr>
        <w:spacing w:line="360" w:lineRule="auto"/>
        <w:ind w:firstLine="480" w:firstLineChars="20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 xml:space="preserve"> 表3.3.5 水平地震影响系数最大值</w:t>
      </w:r>
    </w:p>
    <w:tbl>
      <w:tblPr>
        <w:tblStyle w:val="NormalTable"/>
        <w:tblW w:w="8190" w:type="dxa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11"/>
        <w:gridCol w:w="1530"/>
        <w:gridCol w:w="1710"/>
        <w:gridCol w:w="1890"/>
      </w:tblGrid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地震影响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度</w:t>
            </w:r>
          </w:p>
        </w:tc>
      </w:tr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多遇地震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0.04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0.08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0.12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0.16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0.24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0.32</w:t>
            </w:r>
          </w:p>
        </w:tc>
      </w:tr>
      <w:tr>
        <w:trPr/>
        <w:tc>
          <w:tcPr>
            <w:tcW w:w="1549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罕遇地震</w:t>
            </w:r>
          </w:p>
        </w:tc>
        <w:tc>
          <w:tcPr>
            <w:tcW w:w="1511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0.28</w:t>
            </w:r>
          </w:p>
        </w:tc>
        <w:tc>
          <w:tcPr>
            <w:tcW w:w="153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0.50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0.72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71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0.90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（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1.20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）</w:t>
            </w:r>
          </w:p>
        </w:tc>
        <w:tc>
          <w:tcPr>
            <w:tcW w:w="1890" w:type="dxa"/>
            <w:vAlign w:val="center"/>
          </w:tcPr>
          <w:p>
            <w:pPr>
              <w:spacing w:line="400" w:lineRule="exact"/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1.40</w:t>
            </w:r>
          </w:p>
        </w:tc>
      </w:tr>
    </w:tbl>
    <w:p>
      <w:pPr>
        <w:spacing w:line="400" w:lineRule="exact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注：括号中数值分别用于设计基本地震加速度为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0.15g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0.30g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的地区。</w:t>
      </w:r>
    </w:p>
    <w:p>
      <w:pPr>
        <w:spacing w:line="288" w:lineRule="auto"/>
        <w:jc w:val="left"/>
        <w:rPr>
          <w:rFonts w:ascii="微软雅黑" w:eastAsia="微软雅黑" w:hAnsi="微软雅黑"/>
          <w:sz w:val="18"/>
          <w:szCs w:val="18"/>
        </w:rPr>
      </w:pP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9" w:name="_Toc501829892"/>
      <w:bookmarkStart w:id="10" w:name="_Toc501007653"/>
      <w:bookmarkStart w:id="11" w:name="_Toc501007489"/>
      <w:bookmarkStart w:id="12" w:name="_Toc501007126"/>
      <w:r>
        <w:rPr>
          <w:rFonts w:ascii="Times New Roman" w:eastAsia="黑体" w:hAnsi="Times New Roman" w:cs="Times New Roman" w:hint="eastAsia"/>
          <w:sz w:val="32"/>
          <w:szCs w:val="32"/>
        </w:rPr>
        <w:t xml:space="preserve">三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抗</w:t>
      </w:r>
      <w:r>
        <w:rPr>
          <w:rFonts w:ascii="Times New Roman" w:eastAsia="黑体" w:hAnsi="Times New Roman" w:cs="Times New Roman"/>
          <w:sz w:val="32"/>
          <w:szCs w:val="32"/>
        </w:rPr>
        <w:t xml:space="preserve">震支吊架受力核算</w:t>
      </w:r>
      <w:bookmarkEnd w:id="9"/>
      <w:bookmarkEnd w:id="10"/>
      <w:bookmarkEnd w:id="11"/>
      <w:bookmarkEnd w:id="12"/>
    </w:p>
    <w:p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3" w:name="_Toc501829893"/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 w:hint="eastAsia"/>
          <w:sz w:val="28"/>
          <w:szCs w:val="28"/>
        </w:rPr>
        <w:t xml:space="preserve">计算</w:t>
      </w:r>
      <w:r>
        <w:rPr>
          <w:rFonts w:ascii="Times New Roman" w:hAnsi="Times New Roman" w:cs="Times New Roman"/>
          <w:sz w:val="28"/>
          <w:szCs w:val="28"/>
        </w:rPr>
        <w:t xml:space="preserve">校核节点图</w:t>
      </w:r>
      <w:bookmarkEnd w:id="13"/>
    </w:p>
    <w:p>
      <w:pPr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以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300</w:t>
      </w:r>
      <w:r w:rsidR="00B84DE9">
        <w:rPr>
          <w:rFonts w:ascii="宋体" w:eastAsia="宋体" w:hAnsi="宋体" w:cs="宋体"/>
          <w:color w:val="000000"/>
          <w:sz w:val="24"/>
          <w:szCs w:val="24"/>
        </w:rPr>
        <w:t xml:space="preserve">×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100</w:t>
      </w:r>
      <w:r w:rsidR="00B152B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桥架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为例：</w:t>
      </w:r>
    </w:p>
    <w:p>
      <w:pPr>
        <w:rPr/>
      </w:pPr>
      <w:bookmarkStart w:id="14" w:name="dayangtu"/>
      <w:bookmarkEnd w:id="14"/>
    </w:p>
    <w:p>
      <w:pPr>
        <w:rPr/>
      </w:pPr>
      <w:r>
        <w:rPr>
          <w:noProof/>
        </w:rPr>
        <w:drawing>
          <wp:inline distT="0" distB="0" distL="0" distR="0">
            <wp:extent cx="3371215" cy="1526540"/>
            <wp:effectExtent l="0" t="0" r="635" b="0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501829894"/>
      <w:r>
        <w:rPr>
          <w:rFonts w:ascii="Times New Roman" w:hAnsi="Times New Roman" w:cs="Times New Roman"/>
          <w:sz w:val="28"/>
          <w:szCs w:val="28"/>
        </w:rPr>
        <w:t xml:space="preserve">3.2</w:t>
      </w:r>
      <w:r>
        <w:rPr>
          <w:rFonts w:ascii="Times New Roman" w:hAnsi="Times New Roman" w:cs="Times New Roman" w:hint="eastAsia"/>
          <w:sz w:val="28"/>
          <w:szCs w:val="28"/>
        </w:rPr>
        <w:t xml:space="preserve">水平地震力综合系数计算</w:t>
      </w:r>
      <w:bookmarkEnd w:id="15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position w:val="-10"/>
          <w:sz w:val="24"/>
          <w:szCs w:val="24"/>
        </w:rPr>
        <w:object>
          <v:shape id="_x0000_i1027" o:spid="_x0000_i1038" type="#_x0000_t75" style="height:18.15pt;width:93.3pt" o:oleicon="f" o:ole="" o:bordertopcolor="this" o:borderleftcolor="this" o:borderbottomcolor="this" o:borderrightcolor="this">
            <v:imagedata r:id="rId6" o:title=""/>
            <o:lock v:ext="edit" aspectratio="t"/>
          </v:shape>
          <o:OLEObject Type="Embed" ProgID="Equation.3" ShapeID="_x0000_i1027" DrawAspect="Content" ObjectID="_1559595546" r:id="rId7"/>
        </w:objec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其中：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αmax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依据《建筑抗震设计规范》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GB 50011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附录查</w:t>
      </w:r>
      <w:r w:rsidR="000C4240">
        <w:rPr>
          <w:rFonts w:ascii="微软雅黑" w:eastAsia="微软雅黑" w:hAnsi="微软雅黑" w:cs="微软雅黑" w:hint="eastAsia"/>
          <w:w w:val="99"/>
          <w:sz w:val="24"/>
          <w:szCs w:val="24"/>
        </w:rPr>
        <w:t xml:space="preserve">白杨市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，设计基本地震加速度值为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0.10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，查表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3.3.5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多遇地震项，取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0.08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因</w:t>
      </w:r>
      <w:r w:rsidR="002B3EB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甲类建筑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的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悬挂式或摇摆式灯具，给排水管道、通风空调管道及电缆桥架，</w:t>
      </w:r>
      <w:r w:rsidRPr="00D878E1" w:rsidR="00D878E1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：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=1.4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，η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=0.9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节点为吊架，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故：</w:t>
      </w:r>
      <w:r w:rsidR="00B1273C"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ζ1=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节点位于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层（总高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22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层），故</w:t>
      </w:r>
      <w:r w:rsidR="00F01E6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ζ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2=1.05</w:t>
      </w:r>
      <w:r w:rsidR="00B1273C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故：α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5B2E74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1.4×0.9×1.0×1.05×0.08 = 0.11 &lt; 0.5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根据规范要求，取α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EK</w:t>
      </w:r>
      <w:r>
        <w:rPr>
          <w:rFonts w:ascii="Times New Roman" w:eastAsia="宋体" w:hAnsi="Times New Roman" w:eastAsiaTheme="majorEastAsia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890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0.5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;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）地震水平力标准值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依据规范，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根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300</w:t>
      </w:r>
      <w:r w:rsidR="00B84DE9">
        <w:rPr>
          <w:rFonts w:ascii="宋体" w:eastAsia="宋体" w:hAnsi="宋体" w:cs="宋体"/>
          <w:color w:val="000000"/>
          <w:sz w:val="24"/>
          <w:szCs w:val="24"/>
        </w:rPr>
        <w:t xml:space="preserve">×</w:t>
      </w:r>
      <w:r w:rsidR="00B84DE9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100</w:t>
      </w:r>
      <w:r w:rsidR="00474D17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桥架</w:t>
      </w:r>
      <w:r w:rsidR="00007307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质量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为：</w:t>
      </w:r>
      <w:r w:rsidRPr="000C4240" w:rsidR="000C424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45</w:t>
      </w:r>
      <w:r w:rsidR="0000730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 w:rsidR="000E4AA0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kg/m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侧向抗震支架地震水平力标准值：</w:t>
      </w:r>
    </w:p>
    <w:p>
      <w:pPr>
        <w:spacing w:line="360" w:lineRule="auto"/>
        <w:ind w:firstLine="1320" w:firstLineChars="550"/>
        <w:jc w:val="left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F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侧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 w:rsidRPr="000C4240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0.5×12×45.0×9.8/1000 = 2.646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纵向抗震支架地震水平力标准值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:</w:t>
      </w:r>
    </w:p>
    <w:p>
      <w:pPr>
        <w:spacing w:line="360" w:lineRule="auto"/>
        <w:ind w:firstLine="1200" w:firstLineChars="5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F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纵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0C4240" w:rsidR="000C42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0.5×24×45.0×9.8/1000 = 5.292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）地震水平力设计值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ab/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依据规范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3.5.1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要求，应按下式进行计算：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/>
          <w:sz w:val="24"/>
          <w:szCs w:val="24"/>
        </w:rPr>
        <w:object>
          <v:shape id="_x0000_i1029" o:spid="_x0000_i1039" type="#_x0000_t75" style="height:21.3pt;width:128.35pt" o:oleicon="f" o:ole="" o:bordertopcolor="this" o:borderleftcolor="this" o:borderbottomcolor="this" o:borderrightcolor="this">
            <v:imagedata r:id="rId8" o:title=""/>
            <o:lock v:ext="edit" aspectratio="t"/>
          </v:shape>
          <o:OLEObject Type="Embed" ProgID="Equation.3" ShapeID="_x0000_i1029" DrawAspect="Content" ObjectID="_1755192844" r:id="rId9"/>
        </w:objec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；其中荷载分项系数：γ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G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=1.</w:t>
      </w:r>
      <w:r w:rsidR="00A42E7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EH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=1.</w:t>
      </w:r>
      <w:r w:rsidR="00A42E7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4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由于本项目不考虑抗震支架与重力支架共架，</w:t>
      </w:r>
      <w:r>
        <w:rPr>
          <w:rFonts w:ascii="Times New Roman" w:eastAsia="宋体" w:hAnsi="Times New Roman" w:eastAsiaTheme="majorEastAsia" w:cs="Times New Roman"/>
          <w:position w:val="-10"/>
          <w:sz w:val="24"/>
          <w:szCs w:val="24"/>
        </w:rPr>
        <w:object>
          <v:shape id="_x0000_i1031" o:spid="_x0000_i1040" type="#_x0000_t75" style="height:18.15pt;width:60.1pt" o:oleicon="f" o:ole="" o:bordertopcolor="this" o:borderleftcolor="this" o:borderbottomcolor="this" o:borderrightcolor="this">
            <v:imagedata r:id="rId10" o:title=""/>
            <o:lock v:ext="edit" aspectratio="t"/>
          </v:shape>
          <o:OLEObject Type="Embed" ProgID="Equation.3" ShapeID="_x0000_i1031" DrawAspect="Content" ObjectID="_1649316166" r:id="rId11"/>
        </w:objec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侧向抗震支架地震水平力设计值：</w:t>
      </w:r>
    </w:p>
    <w:p>
      <w:pPr>
        <w:spacing w:line="360" w:lineRule="auto"/>
        <w:ind w:firstLine="1440" w:firstLineChars="6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1.4×2.65 = 3.70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纵向抗震支架地震水平力标准值：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</w:p>
    <w:p>
      <w:pPr>
        <w:spacing w:line="360" w:lineRule="auto"/>
        <w:ind w:firstLine="1440" w:firstLineChars="6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EHK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0C4240" w:rsidR="000C424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1.4×5.29 = 7.41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KN</w:t>
      </w:r>
    </w:p>
    <w:p>
      <w:pPr>
        <w:pStyle w:val="Heading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6" w:name="_Toc501007490"/>
      <w:bookmarkStart w:id="17" w:name="_Toc501007127"/>
      <w:bookmarkStart w:id="18" w:name="_Toc501007654"/>
      <w:bookmarkStart w:id="19" w:name="_Toc501829895"/>
      <w:r>
        <w:rPr>
          <w:rFonts w:ascii="Times New Roman" w:eastAsia="黑体" w:hAnsi="Times New Roman" w:cs="Times New Roman" w:hint="eastAsia"/>
          <w:sz w:val="32"/>
          <w:szCs w:val="32"/>
        </w:rPr>
        <w:t xml:space="preserve">四、节点配件受力校核</w:t>
      </w:r>
      <w:bookmarkEnd w:id="16"/>
      <w:bookmarkEnd w:id="17"/>
      <w:bookmarkEnd w:id="18"/>
      <w:bookmarkEnd w:id="19"/>
    </w:p>
    <w:p>
      <w:pPr>
        <w:pStyle w:val="Heading2"/>
        <w:rPr>
          <w:rFonts w:ascii="微软雅黑" w:eastAsia="微软雅黑" w:hAnsi="微软雅黑" w:cs="Arial"/>
          <w:bCs w:val="0"/>
          <w:iCs/>
          <w:color w:val="000000"/>
          <w:sz w:val="28"/>
          <w:szCs w:val="28"/>
        </w:rPr>
      </w:pPr>
      <w:bookmarkStart w:id="20" w:name="_Toc501829896"/>
      <w:r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 w:hint="eastAsia"/>
          <w:sz w:val="28"/>
          <w:szCs w:val="28"/>
        </w:rPr>
        <w:t xml:space="preserve">抗震支架立杆及纵向及横向斜撑受力简图</w:t>
      </w:r>
      <w:bookmarkEnd w:id="20"/>
    </w:p>
    <w:p>
      <w:pPr>
        <w:pStyle w:val="ListParagraph"/>
        <w:ind w:firstLine="2205" w:firstLineChars="105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2361565" cy="2194560"/>
            <wp:effectExtent l="0" t="0" r="635" b="0"/>
            <wp:docPr id="3" name="_x0000_i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firstLine="0" w:firstLineChars="0"/>
        <w:rPr>
          <w:rFonts w:ascii="微软雅黑" w:eastAsia="微软雅黑" w:hAnsi="微软雅黑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 w:cs="宋体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1</m:t>
            </m:r>
          </m:sub>
        </m:sSub>
      </m:oMath>
      <w:r w:rsidR="005056F7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为水平地震力荷载引起的抗震斜撑受力，</w:t>
      </w:r>
      <m:oMath>
        <m:sSub>
          <m:sSubPr>
            <m:ctrlPr>
              <w:rPr>
                <w:rFonts w:ascii="Cambria Math" w:eastAsia="微软雅黑" w:hAnsi="Cambria Math" w:cs="宋体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eastAsia="微软雅黑" w:hAnsi="Cambria Math" w:cs="宋体"/>
            <w:kern w:val="0"/>
            <w:sz w:val="24"/>
            <w:szCs w:val="24"/>
          </w:rPr>
          <m:t xml:space="preserve">=</m:t>
        </m:r>
        <m:f>
          <m:fPr>
            <m:ctrlPr>
              <w:rPr>
                <w:rFonts w:ascii="Cambria Math" w:eastAsia="微软雅黑" w:hAnsi="Cambria Math" w:cs="宋体"/>
                <w:i/>
                <w:sz w:val="24"/>
                <w:szCs w:val="24"/>
              </w:rPr>
            </m:ctrlPr>
          </m:fPr>
          <m:num>
            <m:ctrlPr/>
            <m:sSub>
              <m:sSubPr>
                <m:ctrlPr>
                  <w:rPr>
                    <w:rFonts w:ascii="Cambria Math" w:eastAsia="微软雅黑" w:hAnsi="Cambria Math" w:cs="宋体"/>
                    <w:i/>
                    <w:sz w:val="24"/>
                    <w:szCs w:val="24"/>
                  </w:rPr>
                </m:ctrlPr>
              </m:sSubPr>
              <m:e>
                <m:ctrlPr/>
                <m:r>
                  <w:rPr>
                    <w:rFonts w:ascii="Cambria Math" w:eastAsia="微软雅黑" w:hAnsi="Cambria Math" w:cs="宋体"/>
                    <w:kern w:val="0"/>
                    <w:sz w:val="24"/>
                    <w:szCs w:val="24"/>
                  </w:rPr>
                  <m:t xml:space="preserve">S</m:t>
                </m:r>
              </m:e>
              <m:sub>
                <m:ctrlPr/>
                <m:r>
                  <w:rPr>
                    <w:rFonts w:ascii="Cambria Math" w:eastAsia="微软雅黑" w:hAnsi="Cambria Math" w:cs="宋体"/>
                    <w:kern w:val="0"/>
                    <w:sz w:val="24"/>
                    <w:szCs w:val="24"/>
                  </w:rPr>
                  <m:t xml:space="preserve">1(2)</m:t>
                </m:r>
              </m:sub>
            </m:sSub>
          </m:num>
          <m:den>
            <m:ctrlPr/>
            <m:r>
              <w:rPr>
                <w:rFonts w:ascii="Cambria Math" w:eastAsia="微软雅黑" w:hAnsi="Cambria Math" w:cs="宋体"/>
                <w:kern w:val="0"/>
                <w:sz w:val="24"/>
                <w:szCs w:val="24"/>
              </w:rPr>
              <m:t xml:space="preserve">sin45°</m:t>
            </m:r>
          </m:den>
        </m:f>
      </m:oMath>
    </w:p>
    <w:p>
      <w:pPr>
        <w:spacing w:line="360" w:lineRule="auto"/>
        <w:rPr>
          <w:rFonts w:ascii="Times New Roman" w:eastAsia="宋体" w:hAnsi="Times New Roman" w:eastAsiaTheme="majorEastAsia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eastAsiaTheme="majorEastAsia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2</m:t>
            </m:r>
          </m:sub>
        </m:sSub>
      </m:oMath>
      <w:r w:rsidR="005056F7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为水平地震力荷载引起的立杆受力，</w:t>
      </w:r>
      <m:oMath>
        <m:sSub>
          <m:sSubPr>
            <m:ctrlPr>
              <w:rPr>
                <w:rFonts w:ascii="Cambria Math" w:eastAsia="宋体" w:hAnsi="Cambria Math" w:eastAsiaTheme="majorEastAsia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N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eastAsia="宋体" w:hAnsi="Cambria Math" w:eastAsiaTheme="majorEastAsia" w:cs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eastAsia="宋体" w:hAnsi="Cambria Math" w:eastAsiaTheme="majorEastAsia"/>
                <w:sz w:val="24"/>
                <w:szCs w:val="24"/>
              </w:rPr>
            </m:ctrlPr>
          </m:sSubPr>
          <m:e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S</m:t>
            </m:r>
          </m:e>
          <m:sub>
            <m:ctrlPr/>
            <m:r>
              <w:rPr>
                <w:rFonts w:ascii="Cambria Math" w:eastAsia="宋体" w:hAnsi="Cambria Math" w:eastAsiaTheme="majorEastAsia" w:cs="Times New Roman"/>
                <w:sz w:val="24"/>
                <w:szCs w:val="24"/>
              </w:rPr>
              <m:t xml:space="preserve">1(2)</m:t>
            </m:r>
          </m:sub>
        </m:sSub>
      </m:oMath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故，侧向支架斜撑受力，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3.70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5.24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侧向支架立杆受力，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 w:rsidR="00C61A20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3.70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故，纵向支架斜撑受力，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 w:rsidR="00C61A20"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707F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7.41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>
        <w:rPr>
          <w:rFonts w:ascii="Times New Roman" w:eastAsia="宋体" w:hAnsi="Times New Roman" w:eastAsiaTheme="majorEastAsia" w:cs="Times New Roman"/>
          <w:sz w:val="18"/>
          <w:szCs w:val="18"/>
        </w:rPr>
        <w:t xml:space="preserve">sin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45</w:t>
      </w:r>
      <w:r>
        <w:rPr>
          <w:rFonts w:ascii="Times New Roman" w:eastAsia="宋体" w:hAnsi="Times New Roman" w:eastAsiaTheme="majorEastAsia" w:cs="Times New Roman" w:hint="eastAsia"/>
          <w:sz w:val="18"/>
          <w:szCs w:val="18"/>
        </w:rPr>
        <w:t xml:space="preserve">°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10.48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 w:rsidR="000C03BD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纵向支架立杆受力，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=S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b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Pr="00707F6E" w:rsidR="00707F6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7.41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</w:p>
    <w:p>
      <w:pPr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br w:type="page"/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1" w:name="_Toc501829897"/>
      <w:r>
        <w:rPr>
          <w:rFonts w:ascii="Times New Roman" w:hAnsi="Times New Roman" w:cs="Times New Roman"/>
          <w:sz w:val="28"/>
          <w:szCs w:val="28"/>
        </w:rPr>
        <w:t xml:space="preserve">4.2 </w:t>
      </w:r>
      <w:r>
        <w:rPr>
          <w:rFonts w:ascii="Times New Roman" w:hAnsi="Times New Roman" w:cs="Times New Roman" w:hint="eastAsia"/>
          <w:sz w:val="28"/>
          <w:szCs w:val="28"/>
        </w:rPr>
        <w:t xml:space="preserve">配件受力校核</w:t>
      </w:r>
      <w:bookmarkEnd w:id="21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表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侧向支架配件受力校核</w:t>
      </w:r>
    </w:p>
    <w:tbl>
      <w:tblPr>
        <w:tblStyle w:val="NormalTable"/>
        <w:tblW w:w="864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925"/>
        <w:gridCol w:w="1059"/>
        <w:gridCol w:w="988"/>
        <w:gridCol w:w="1416"/>
        <w:gridCol w:w="1561"/>
        <w:gridCol w:w="985"/>
      </w:tblGrid>
      <w:tr>
        <w:trPr>
          <w:trHeight w:val="806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项目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配件名称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受力数量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个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）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单个</w:t>
            </w:r>
            <w:r w:rsidR="00C723E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</w:t>
            </w:r>
            <w:r w:rsidR="00B1273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配件受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力</w:t>
            </w:r>
            <w:r w:rsidR="00C723E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容许</w:t>
            </w:r>
            <w:r w:rsidR="00C723E3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值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验校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说明</w:t>
            </w:r>
          </w:p>
        </w:tc>
      </w:tr>
      <w:tr>
        <w:trPr/>
        <w:tc>
          <w:tcPr>
            <w:tcW w:w="706" w:type="dxa"/>
            <w:vMerge w:val="restart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斜撑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受力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688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抗震连接件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5.24</w:t>
            </w:r>
            <w:r w:rsidR="00B1273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5.24</w:t>
            </w:r>
            <w:r w:rsidR="00B1273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16.0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/>
        <w:tc>
          <w:tcPr>
            <w:tcW w:w="706" w:type="dxa"/>
            <w:vMerge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</w:t>
            </w:r>
            <w:r w:rsidR="007968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型槽钢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5.24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1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5.24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37.1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>
          <w:trHeight w:val="531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立杆</w:t>
            </w:r>
          </w:p>
        </w:tc>
        <w:tc>
          <w:tcPr>
            <w:tcW w:w="192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螺杆M12</w:t>
            </w:r>
          </w:p>
        </w:tc>
        <w:tc>
          <w:tcPr>
            <w:tcW w:w="1059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62F74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 xml:space="preserve">3.70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1.85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CC6FC0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32.8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C14E9C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</w:tbl>
    <w:p>
      <w:pPr>
        <w:spacing w:before="156" w:beforeLines="50"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表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2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纵向支架配件受力校核</w:t>
      </w:r>
    </w:p>
    <w:tbl>
      <w:tblPr>
        <w:tblStyle w:val="NormalTable"/>
        <w:tblW w:w="864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948"/>
        <w:gridCol w:w="1036"/>
        <w:gridCol w:w="988"/>
        <w:gridCol w:w="1416"/>
        <w:gridCol w:w="1561"/>
        <w:gridCol w:w="985"/>
      </w:tblGrid>
      <w:tr>
        <w:trPr>
          <w:trHeight w:val="806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项目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配件名称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受力数量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个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）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单个</w:t>
            </w:r>
            <w:r w:rsidR="00C723E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</w:t>
            </w:r>
            <w:r w:rsidR="00B1273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荷载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配件受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力</w:t>
            </w:r>
            <w:r w:rsidR="00C723E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容许</w:t>
            </w:r>
            <w:r w:rsidR="00C723E3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值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（KN）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验校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说明</w:t>
            </w:r>
          </w:p>
        </w:tc>
      </w:tr>
      <w:tr>
        <w:trPr/>
        <w:tc>
          <w:tcPr>
            <w:tcW w:w="706" w:type="dxa"/>
            <w:vMerge w:val="restart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斜撑</w:t>
            </w:r>
          </w:p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受力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688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抗震连接件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10.48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5.24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16.0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/>
        <w:tc>
          <w:tcPr>
            <w:tcW w:w="706" w:type="dxa"/>
            <w:vMerge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C型槽钢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10.48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5.24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37.1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  <w:tr>
        <w:trPr>
          <w:trHeight w:val="531"/>
        </w:trPr>
        <w:tc>
          <w:tcPr>
            <w:tcW w:w="70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立杆</w:t>
            </w:r>
          </w:p>
        </w:tc>
        <w:tc>
          <w:tcPr>
            <w:tcW w:w="194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螺杆M12</w:t>
            </w:r>
          </w:p>
        </w:tc>
        <w:tc>
          <w:tcPr>
            <w:tcW w:w="103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63485">
              <w:rPr>
                <w:rFonts w:ascii="微软雅黑" w:eastAsia="微软雅黑" w:hAnsi="微软雅黑" w:cs="微软雅黑"/>
                <w:sz w:val="20"/>
                <w:szCs w:val="20"/>
              </w:rPr>
              <w:t xml:space="preserve">7.41</w:t>
            </w:r>
            <w:r w:rsidR="00CC6FC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8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2</w:t>
            </w:r>
          </w:p>
        </w:tc>
        <w:tc>
          <w:tcPr>
            <w:tcW w:w="1416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3.70</w:t>
            </w:r>
          </w:p>
        </w:tc>
        <w:tc>
          <w:tcPr>
            <w:tcW w:w="1561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32.8</w:t>
            </w:r>
          </w:p>
        </w:tc>
        <w:tc>
          <w:tcPr>
            <w:tcW w:w="985" w:type="dxa"/>
            <w:shd w:val="clear" w:color="auto" w:fill="auto"/>
          </w:tcPr>
          <w:p>
            <w:pPr>
              <w:pStyle w:val="ListParagraph"/>
              <w:ind w:firstLine="0" w:firstLineChars="0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 xml:space="preserve">满足</w:t>
            </w:r>
          </w:p>
        </w:tc>
      </w:tr>
    </w:tbl>
    <w:p>
      <w:pPr>
        <w:rPr>
          <w:rFonts w:eastAsia="宋体" w:eastAsiaTheme="majorEastAsia"/>
        </w:rPr>
      </w:pPr>
      <w:bookmarkStart w:id="22" w:name="_Toc501829899"/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</w:t>
      </w:r>
      <w:r w:rsidR="00AF0C43">
        <w:rPr>
          <w:rFonts w:ascii="Times New Roman" w:hAnsi="Times New Roman" w:cs="Times New Roman"/>
          <w:sz w:val="28"/>
          <w:szCs w:val="28"/>
        </w:rPr>
        <w:t xml:space="preserve">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锚栓受力校核</w:t>
      </w:r>
      <w:bookmarkEnd w:id="22"/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bookmarkStart w:id="23" w:name="_Toc501829900"/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本项目采用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抗震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M12/18X110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，单个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M12/18X110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在开裂缝混凝土发生钢材破坏时，拉力设计值为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，剪力为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</w:t>
      </w:r>
      <w:r>
        <w:rPr>
          <w:rFonts w:ascii="Times New Roman" w:eastAsia="宋体" w:hAnsi="Times New Roman" w:eastAsiaTheme="majorEastAsia" w:cs="Times New Roman"/>
          <w:sz w:val="24"/>
          <w:szCs w:val="24"/>
        </w:rPr>
        <w:t xml:space="preserve">N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。锚栓最不利受力为纵向斜撑锚栓受力，锚栓验算如下，则：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N=</w:t>
      </w:r>
      <w:r w:rsidRPr="002E2826" w:rsidR="002E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7.41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÷2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3.70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KN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KN,</w:t>
      </w:r>
      <w:r w:rsidR="00BE1FBB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锚栓抗拉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N=</w:t>
      </w:r>
      <w:r w:rsidRPr="002E2826" w:rsidR="002E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7.41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÷2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3.70</w:t>
      </w:r>
      <w:r w:rsidR="009A0902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KN,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锚栓抗剪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(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3.70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21.0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)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per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+(</w:t>
      </w:r>
      <w:r w:rsidR="009A090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3.70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/</w:t>
      </w:r>
      <w:r w:rsidRPr="008A7BA8" w:rsidR="008A7BA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30.2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)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  <w:vertAlign w:val="superscript"/>
        </w:rPr>
        <w:t xml:space="preserve">2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=</w:t>
      </w:r>
      <w:r w:rsidR="00D574C2">
        <w:rPr>
          <w:rFonts w:ascii="Times New Roman" w:eastAsia="宋体" w:hAnsi="Times New Roman" w:eastAsiaTheme="majorEastAsia" w:cs="Times New Roman"/>
          <w:sz w:val="24"/>
          <w:szCs w:val="24"/>
        </w:rPr>
        <w:t xml:space="preserve">0.05</w:t>
      </w:r>
      <w:r w:rsidR="00385CF8">
        <w:rPr>
          <w:rFonts w:ascii="Times New Roman" w:eastAsia="宋体" w:hAnsi="Times New Roman" w:eastAsiaTheme="majorEastAsia" w:cs="Times New Roman"/>
          <w:sz w:val="24"/>
          <w:szCs w:val="24"/>
        </w:rPr>
        <w:t xml:space="preserve">&lt;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1.0</w:t>
      </w:r>
      <w:r w:rsidR="00646913"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,</w:t>
      </w:r>
      <w:r w:rsidR="00646913">
        <w:rPr>
          <w:rFonts w:ascii="Times New Roman" w:eastAsia="宋体" w:hAnsi="Times New Roman" w:eastAsiaTheme="majorEastAsia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拉剪复合受力</w:t>
      </w:r>
      <w:r w:rsidR="000126C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要求；</w:t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      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所以，锚栓强度</w:t>
      </w:r>
      <w:r w:rsidR="000126C7">
        <w:rPr>
          <w:rFonts w:ascii="Times New Roman" w:eastAsia="宋体" w:hAnsi="Times New Roman" w:eastAsiaTheme="majorEastAsia" w:cs="Times New Roman"/>
          <w:sz w:val="24"/>
          <w:szCs w:val="24"/>
        </w:rPr>
        <w:t xml:space="preserve">满足</w:t>
      </w:r>
      <w:r>
        <w:rPr>
          <w:rFonts w:ascii="Times New Roman" w:eastAsia="宋体" w:hAnsi="Times New Roman" w:eastAsiaTheme="majorEastAsia" w:cs="Times New Roman" w:hint="eastAsia"/>
          <w:sz w:val="24"/>
          <w:szCs w:val="24"/>
        </w:rPr>
        <w:t xml:space="preserve">要求。</w:t>
      </w:r>
    </w:p>
    <w:p>
      <w:pPr>
        <w:rPr/>
      </w:pPr>
      <w:r>
        <w:br w:type="page"/>
      </w:r>
    </w:p>
    <w:p>
      <w:pPr>
        <w:spacing w:line="360" w:lineRule="auto"/>
        <w:ind w:firstLine="480" w:firstLineChars="200"/>
        <w:rPr>
          <w:rFonts w:ascii="Times New Roman" w:eastAsia="宋体" w:hAnsi="Times New Roman" w:eastAsiaTheme="majorEastAsia" w:cs="Times New Roman"/>
          <w:sz w:val="24"/>
          <w:szCs w:val="24"/>
        </w:rPr>
      </w:pPr>
    </w:p>
    <w:p>
      <w:pPr>
        <w:jc w:val="center"/>
        <w:rPr>
          <w:rFonts w:ascii="微软雅黑" w:eastAsia="微软雅黑" w:hAnsi="微软雅黑" w:cs="Arial"/>
          <w:b/>
          <w:sz w:val="24"/>
          <w:szCs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抗震</w:t>
      </w:r>
      <w:r>
        <w:rPr>
          <w:rFonts w:ascii="微软雅黑" w:eastAsia="微软雅黑" w:hAnsi="微软雅黑" w:cs="Arial"/>
          <w:b/>
          <w:sz w:val="24"/>
          <w:szCs w:val="24"/>
        </w:rPr>
        <w:t xml:space="preserve">支吊架节点计算</w:t>
      </w: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结果</w:t>
      </w:r>
    </w:p>
    <w:tbl>
      <w:tblPr>
        <w:tblStyle w:val="TableGrid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8925"/>
      </w:tblGrid>
      <w:tr w:rsidTr="00B33EA4">
        <w:trPr>
          <w:trHeight w:val="861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抗震支吊架节点计算书</w:t>
            </w:r>
          </w:p>
        </w:tc>
      </w:tr>
      <w:tr w:rsidTr="00B33EA4">
        <w:trPr>
          <w:trHeight w:val="697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项目名称：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中共第九师白杨市党委党校(行政学院)基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项目地址：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白杨市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支吊架类型：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吊架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     支吊架编号：             楼层：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1层</w:t>
            </w:r>
          </w:p>
        </w:tc>
      </w:tr>
      <w:tr w:rsidTr="00B33EA4">
        <w:trPr>
          <w:trHeight w:val="445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支撑信息</w:t>
            </w:r>
          </w:p>
        </w:tc>
      </w:tr>
      <w:tr w:rsidTr="00B33EA4">
        <w:trPr>
          <w:trHeight w:val="2697"/>
          <w:jc w:val="center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吊挂规格：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螺杆M12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吊杆最大使用荷载：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32.8 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斜撑长度：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1400（mm）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斜撑垂直夹角：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45°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最小回转半径：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15 mm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L/R值：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93.333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撑最大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水平承载力：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37.1（KN）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</w:tbl>
    <w:p>
      <w:pPr>
        <w:rPr/>
      </w:pPr>
      <w:r>
        <w:br w:type="page"/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5953"/>
      </w:tblGrid>
      <w:tr w:rsidTr="00214A6C">
        <w:trPr>
          <w:trHeight w:val="558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5953" w:type="dxa"/>
            <w:vMerge w:val="restart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抗震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支吊架详图</w:t>
            </w: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object>
                <v:shape id="_x0000_i1034" o:spid="_x0000_i1041" type="#_x0000_t75" style="height:120.2pt;width:265.45pt" o:oleicon="f" o:ole="" o:bordertopcolor="this" o:borderleftcolor="this" o:borderbottomcolor="this" o:borderrightcolor="this">
                  <v:imagedata r:id="rId5" o:title=""/>
                  <o:lock v:ext="edit" aspectratio="t"/>
                </v:shape>
                <o:OLEObject Type="Embed" ProgID="PBrush" ShapeID="_x0000_i1034" DrawAspect="Content" ObjectID="_1198642031" r:id="rId13"/>
              </w:object>
            </w: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bookmarkStart w:id="24" w:name="dayangtu2"/>
            <w:bookmarkEnd w:id="24"/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bookmarkStart w:id="25" w:name="_GoBack"/>
            <w:bookmarkEnd w:id="25"/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214A6C">
        <w:trPr>
          <w:trHeight w:val="399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锚栓信息</w:t>
            </w:r>
          </w:p>
        </w:tc>
        <w:tc>
          <w:tcPr>
            <w:tcW w:w="5953" w:type="dxa"/>
            <w:vMerge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214A6C">
        <w:trPr>
          <w:trHeight w:val="3495"/>
          <w:jc w:val="center"/>
        </w:trPr>
        <w:tc>
          <w:tcPr>
            <w:tcW w:w="3256" w:type="dxa"/>
            <w:tcBorders>
              <w:bottom w:val="single" w:sz="4" w:space="0" w:color="auto"/>
            </w:tcBorders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锚栓规格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M12/18X110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斜撑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锚栓安装方向：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顶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埋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钻头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直径：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18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(mm)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有效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锚固深度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: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80 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mm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安装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扭矩：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45（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*</w:t>
            </w:r>
            <w:r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m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  <w:u w:val="single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抗拉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承载力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：</w:t>
            </w:r>
            <w:r w:rsidRPr="008A7BA8" w:rsid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21.0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（KN）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抗剪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承载力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  <w:r w:rsidRPr="008A7BA8" w:rsidR="008A7BA8">
              <w:rPr>
                <w:rFonts w:ascii="微软雅黑" w:eastAsia="微软雅黑" w:hAnsi="微软雅黑" w:cs="Arial"/>
                <w:sz w:val="24"/>
                <w:szCs w:val="24"/>
                <w:u w:val="single"/>
              </w:rPr>
              <w:t xml:space="preserve">30.2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（K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）</w:t>
            </w:r>
          </w:p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整体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安全分项系数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y=1.4</w:t>
            </w:r>
          </w:p>
        </w:tc>
        <w:tc>
          <w:tcPr>
            <w:tcW w:w="5953" w:type="dxa"/>
            <w:vMerge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214A6C">
        <w:trPr>
          <w:trHeight w:val="1053"/>
          <w:jc w:val="center"/>
        </w:trPr>
        <w:tc>
          <w:tcPr>
            <w:tcW w:w="9209" w:type="dxa"/>
            <w:gridSpan w:val="2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深化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设计：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                审核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        日期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：</w:t>
            </w:r>
          </w:p>
        </w:tc>
      </w:tr>
    </w:tbl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</w:p>
    <w:p>
      <w:pPr>
        <w:widowControl/>
        <w:jc w:val="left"/>
        <w:rPr>
          <w:rFonts w:ascii="微软雅黑" w:eastAsia="微软雅黑" w:hAnsi="微软雅黑" w:cs="Arial"/>
          <w:b/>
          <w:sz w:val="24"/>
          <w:szCs w:val="24"/>
        </w:rPr>
      </w:pPr>
      <w:r>
        <w:br w:type="page"/>
      </w:r>
    </w:p>
    <w:p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 xml:space="preserve">续表A    </w:t>
      </w:r>
      <w:r>
        <w:rPr>
          <w:rFonts w:ascii="微软雅黑" w:eastAsia="微软雅黑" w:hAnsi="微软雅黑" w:hint="eastAsia"/>
          <w:b/>
          <w:sz w:val="24"/>
        </w:rPr>
        <w:t xml:space="preserve">荷载</w:t>
      </w:r>
      <w:r>
        <w:rPr>
          <w:rFonts w:ascii="微软雅黑" w:eastAsia="微软雅黑" w:hAnsi="微软雅黑"/>
          <w:b/>
          <w:sz w:val="24"/>
        </w:rPr>
        <w:t xml:space="preserve">计算信息</w:t>
      </w:r>
    </w:p>
    <w:p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 xml:space="preserve">水平</w:t>
      </w:r>
      <w:r>
        <w:rPr>
          <w:rFonts w:ascii="微软雅黑" w:eastAsia="微软雅黑" w:hAnsi="微软雅黑" w:cs="Arial"/>
          <w:sz w:val="24"/>
          <w:szCs w:val="24"/>
        </w:rPr>
        <w:t xml:space="preserve">地震力综合系数{</w:t>
      </w:r>
      <w:r>
        <w:rPr>
          <w:rFonts w:ascii="微软雅黑" w:eastAsia="微软雅黑" w:hAnsi="微软雅黑"/>
          <w:position w:val="-12"/>
          <w:sz w:val="24"/>
          <w:szCs w:val="24"/>
        </w:rPr>
        <w:object>
          <v:shape id="_x0000_i1036" o:spid="_x0000_i1042" type="#_x0000_t75" style="height:18.15pt;width:20.05pt" o:oleicon="f" o:ole="" o:bordertopcolor="this" o:borderleftcolor="this" o:borderbottomcolor="this" o:borderrightcolor="this">
            <v:imagedata r:id="rId14" o:title=""/>
            <o:lock v:ext="edit" aspectratio="t"/>
          </v:shape>
          <o:OLEObject Type="Embed" ProgID="Equation.3" ShapeID="_x0000_i1036" DrawAspect="Content" ObjectID="_442452829" r:id="rId15"/>
        </w:object>
      </w:r>
      <w:r>
        <w:rPr>
          <w:rFonts w:ascii="微软雅黑" w:eastAsia="微软雅黑" w:hAnsi="微软雅黑" w:cs="Arial"/>
          <w:sz w:val="24"/>
          <w:szCs w:val="24"/>
        </w:rPr>
        <w:t xml:space="preserve">=</w:t>
      </w:r>
      <w:r>
        <w:rPr>
          <w:rFonts w:ascii="微软雅黑" w:eastAsia="微软雅黑" w:hAnsi="微软雅黑"/>
          <w:i/>
          <w:sz w:val="24"/>
          <w:szCs w:val="24"/>
        </w:rPr>
        <w:t xml:space="preserve"> γηζ1ζ2α</w:t>
      </w:r>
      <w:r>
        <w:rPr>
          <w:rFonts w:ascii="微软雅黑" w:eastAsia="微软雅黑" w:hAnsi="微软雅黑"/>
          <w:i/>
          <w:sz w:val="24"/>
          <w:szCs w:val="24"/>
        </w:rPr>
        <w:t xml:space="preserve">maxG</w:t>
      </w:r>
      <w:r>
        <w:rPr>
          <w:rFonts w:ascii="微软雅黑" w:eastAsia="微软雅黑" w:hAnsi="微软雅黑" w:cs="Arial"/>
          <w:sz w:val="24"/>
          <w:szCs w:val="24"/>
        </w:rPr>
        <w:t xml:space="preserve">}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计算值</w:t>
      </w:r>
      <w:r>
        <w:rPr>
          <w:rFonts w:ascii="微软雅黑" w:eastAsia="微软雅黑" w:hAnsi="微软雅黑" w:cs="Arial"/>
          <w:sz w:val="24"/>
          <w:szCs w:val="24"/>
        </w:rPr>
        <w:t xml:space="preserve">小于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0.5时，</w:t>
      </w:r>
      <w:r>
        <w:rPr>
          <w:rFonts w:ascii="微软雅黑" w:eastAsia="微软雅黑" w:hAnsi="微软雅黑" w:cs="Arial"/>
          <w:sz w:val="24"/>
          <w:szCs w:val="24"/>
        </w:rPr>
        <w:t xml:space="preserve">按</w:t>
      </w:r>
      <w:r>
        <w:rPr>
          <w:rFonts w:ascii="微软雅黑" w:eastAsia="微软雅黑" w:hAnsi="微软雅黑" w:cs="Arial" w:hint="eastAsia"/>
          <w:sz w:val="24"/>
          <w:szCs w:val="24"/>
        </w:rPr>
        <w:t xml:space="preserve">0.5取值</w:t>
      </w:r>
    </w:p>
    <w:tbl>
      <w:tblPr>
        <w:tblStyle w:val="TableGrid"/>
        <w:tblW w:w="91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62"/>
        <w:gridCol w:w="992"/>
        <w:gridCol w:w="921"/>
        <w:gridCol w:w="780"/>
        <w:gridCol w:w="1559"/>
        <w:gridCol w:w="1616"/>
      </w:tblGrid>
      <w:tr w:rsidTr="00847C19">
        <w:trPr>
          <w:jc w:val="center"/>
        </w:trPr>
        <w:tc>
          <w:tcPr>
            <w:tcW w:w="1271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管道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类型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规格</w:t>
            </w:r>
          </w:p>
        </w:tc>
        <w:tc>
          <w:tcPr>
            <w:tcW w:w="462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数量</w:t>
            </w:r>
          </w:p>
        </w:tc>
        <w:tc>
          <w:tcPr>
            <w:tcW w:w="1913" w:type="dxa"/>
            <w:gridSpan w:val="2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作用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范围（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m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）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  <w:lang w:val="el-GR"/>
              </w:rPr>
              <w:t xml:space="preserve">α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Ek</w:t>
            </w:r>
          </w:p>
        </w:tc>
        <w:tc>
          <w:tcPr>
            <w:tcW w:w="3175" w:type="dxa"/>
            <w:gridSpan w:val="2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计算荷载(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KN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)</w:t>
            </w:r>
          </w:p>
        </w:tc>
      </w:tr>
      <w:tr w:rsidTr="00847C19">
        <w:trPr>
          <w:jc w:val="center"/>
        </w:trPr>
        <w:tc>
          <w:tcPr>
            <w:tcW w:w="1271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侧向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纵向</w:t>
            </w:r>
          </w:p>
        </w:tc>
        <w:tc>
          <w:tcPr>
            <w:tcW w:w="780" w:type="dxa"/>
            <w:vMerge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侧向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荷载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纵向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荷载</w:t>
            </w: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桥架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300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×</w:t>
            </w:r>
            <w:r>
              <w:rPr>
                <w:rFonts w:ascii="Times New Roman" w:eastAsia="宋体" w:hAnsi="Times New Roman" w:eastAsiaTheme="majorEastAsia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1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12</w:t>
            </w: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24</w:t>
            </w: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 xml:space="preserve">0.5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5.24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A14DF9">
              <w:rPr>
                <w:rFonts w:ascii="微软雅黑" w:eastAsia="微软雅黑" w:hAnsi="微软雅黑" w:cs="Arial"/>
                <w:sz w:val="24"/>
                <w:szCs w:val="24"/>
              </w:rPr>
              <w:t xml:space="preserve">10.48</w:t>
            </w: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Tr="00847C19">
        <w:trPr>
          <w:jc w:val="center"/>
        </w:trPr>
        <w:tc>
          <w:tcPr>
            <w:tcW w:w="127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6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921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5985" w:type="dxa"/>
            <w:gridSpan w:val="6"/>
            <w:vAlign w:val="center"/>
          </w:tcPr>
          <w:p>
            <w:pPr>
              <w:rPr>
                <w:rFonts w:ascii="微软雅黑" w:eastAsia="微软雅黑" w:hAnsi="微软雅黑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微软雅黑" w:eastAsia="微软雅黑" w:hAnsi="微软雅黑" w:cs="Arial"/>
                <w:sz w:val="22"/>
              </w:rPr>
            </w:pPr>
            <w:r>
              <w:rPr>
                <w:rFonts w:ascii="微软雅黑" w:eastAsia="微软雅黑" w:hAnsi="微软雅黑" w:cs="Arial" w:hint="eastAsia"/>
                <w:sz w:val="22"/>
              </w:rPr>
              <w:t xml:space="preserve">合计</w:t>
            </w:r>
            <w:r>
              <w:rPr>
                <w:rFonts w:ascii="微软雅黑" w:eastAsia="微软雅黑" w:hAnsi="微软雅黑" w:cs="Arial"/>
                <w:sz w:val="22"/>
              </w:rPr>
              <w:t xml:space="preserve">：</w:t>
            </w:r>
            <w:r w:rsidRPr="00F66F55" w:rsidR="00F66F55">
              <w:rPr>
                <w:rFonts w:ascii="微软雅黑" w:eastAsia="微软雅黑" w:hAnsi="微软雅黑" w:cs="Arial"/>
                <w:sz w:val="22"/>
              </w:rPr>
              <w:t xml:space="preserve">5.24</w:t>
            </w:r>
          </w:p>
        </w:tc>
        <w:tc>
          <w:tcPr>
            <w:tcW w:w="1616" w:type="dxa"/>
            <w:vAlign w:val="center"/>
          </w:tcPr>
          <w:p>
            <w:pPr>
              <w:rPr>
                <w:rFonts w:ascii="微软雅黑" w:eastAsia="微软雅黑" w:hAnsi="微软雅黑" w:cs="Arial"/>
                <w:sz w:val="22"/>
              </w:rPr>
            </w:pPr>
            <w:r>
              <w:rPr>
                <w:rFonts w:ascii="微软雅黑" w:eastAsia="微软雅黑" w:hAnsi="微软雅黑" w:cs="Arial" w:hint="eastAsia"/>
                <w:sz w:val="22"/>
              </w:rPr>
              <w:t xml:space="preserve">合计</w:t>
            </w:r>
            <w:r>
              <w:rPr>
                <w:rFonts w:ascii="微软雅黑" w:eastAsia="微软雅黑" w:hAnsi="微软雅黑" w:cs="Arial"/>
                <w:sz w:val="22"/>
              </w:rPr>
              <w:t xml:space="preserve">：</w:t>
            </w:r>
            <w:r w:rsidRPr="00F66F55" w:rsidR="00F66F55">
              <w:rPr>
                <w:rFonts w:ascii="微软雅黑" w:eastAsia="微软雅黑" w:hAnsi="微软雅黑" w:cs="Arial"/>
                <w:sz w:val="22"/>
              </w:rPr>
              <w:t xml:space="preserve">10.48</w:t>
            </w:r>
            <w:bookmarkEnd w:id="23"/>
          </w:p>
        </w:tc>
      </w:tr>
    </w:tbl>
    <w:p>
      <w:pPr>
        <w:spacing w:before="312" w:beforeLines="100" w:after="312" w:afterLines="100" w:line="360" w:lineRule="auto"/>
        <w:rPr>
          <w:rFonts w:ascii="Times New Roman" w:hAnsi="Times New Roman" w:cs="Times New Roman"/>
          <w:b/>
          <w:sz w:val="24"/>
          <w:szCs w:val="32"/>
        </w:rPr>
      </w:pPr>
    </w:p>
    <w:sectPr w:rsidSect="000E5CB4">
      <w:headerReference w:type="default" r:id="rId16"/>
      <w:footerReference w:type="default" r:id="rId17"/>
      <w:pgSz w:w="11850" w:h="16783" w:orient="portrait"/>
      <w:pgMar w:top="1440" w:right="1077" w:bottom="1276" w:left="1800" w:header="851" w:footer="992" w:gutter="0"/>
      <w:pgNumType w:start="1"/>
      <w:cols w:num="1" w:space="425">
        <w:col w:w="8973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enter" w:pos="4486"/>
      </w:tabs>
      <w:rPr/>
    </w:pP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 w:rsidRPr="00F50E35" w:rsidR="00F50E35">
      <w:rPr>
        <w:noProof/>
        <w:lang w:val="zh-CN"/>
      </w:rPr>
      <w:t xml:space="preserve">9</w:t>
    </w:r>
    <w:r>
      <w:fldChar w:fldCharType="end"/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none" w:sz="0" w:space="0" w:color="auto"/>
      </w:pBdr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bordersDoNotSurroundFooter/>
  <w:bordersDoNotSurroundHeader/>
  <w:proofState w:spelling="clean" w:grammar="clean"/>
  <w:attachedTemplate r:id="rId1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标题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标题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标题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标题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纯文本Char"/>
    <w:qFormat/>
    <w:rPr>
      <w:rFonts w:ascii="宋体" w:eastAsia="宋体" w:hAnsi="Courier New" w:cs="黑体"/>
      <w:szCs w:val="21"/>
    </w:rPr>
  </w:style>
  <w:style w:type="paragraph" w:styleId="BalloonText">
    <w:name w:val="Balloon Text"/>
    <w:basedOn w:val="Normal"/>
    <w:link w:val="批注框文本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页脚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页眉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ind w:left="200" w:hanging="200" w:leftChars="200" w:hangingChars="200"/>
    </w:pPr>
    <w:rPr/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Normal(Web)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标题Char"/>
    <w:uiPriority w:val="10"/>
    <w:qFormat/>
    <w:pPr>
      <w:spacing w:before="240" w:after="60"/>
      <w:jc w:val="center"/>
      <w:outlineLvl w:val="0"/>
    </w:pPr>
    <w:rPr>
      <w:rFonts w:ascii="Cambria" w:eastAsia="宋体" w:hAnsi="Cambria" w:asciiTheme="majorHAnsi" w:hAnsiTheme="majorHAnsi" w:cs="Times New Roman" w:cstheme="majorBidi"/>
      <w:b/>
      <w:bCs/>
      <w:sz w:val="32"/>
      <w:szCs w:val="32"/>
    </w:rPr>
  </w:style>
  <w:style w:type="table" w:styleId="TableGrid">
    <w:name w:val="Table Grid"/>
    <w:basedOn w:val="NormalTable"/>
    <w:uiPriority w:val="59"/>
    <w:qFormat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标题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标题2Char">
    <w:name w:val="标题 2 Char"/>
    <w:basedOn w:val="DefaultParagraphFont"/>
    <w:link w:val="Heading2"/>
    <w:uiPriority w:val="9"/>
    <w:qFormat/>
    <w:rPr>
      <w:rFonts w:ascii="Cambria" w:eastAsia="宋体" w:hAnsi="Cambria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页眉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页脚Char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批注框文本Char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列出段落1">
    <w:name w:val="列出段落1"/>
    <w:basedOn w:val="Normal"/>
    <w:uiPriority w:val="34"/>
    <w:qFormat/>
    <w:pPr>
      <w:ind w:firstLine="420" w:firstLineChars="200"/>
    </w:pPr>
    <w:rPr/>
  </w:style>
  <w:style w:type="character" w:customStyle="1" w:styleId="标题Char">
    <w:name w:val="标题 Char"/>
    <w:basedOn w:val="DefaultParagraphFont"/>
    <w:link w:val="Title"/>
    <w:uiPriority w:val="10"/>
    <w:qFormat/>
    <w:rPr>
      <w:rFonts w:ascii="Cambria" w:eastAsia="宋体" w:hAnsi="Cambria" w:asciiTheme="majorHAnsi" w:hAnsiTheme="majorHAnsi" w:cs="Times New Roman" w:cstheme="majorBidi"/>
      <w:b/>
      <w:bCs/>
      <w:sz w:val="32"/>
      <w:szCs w:val="32"/>
    </w:rPr>
  </w:style>
  <w:style w:type="table" w:customStyle="1" w:styleId="网格型2">
    <w:name w:val="网格型2"/>
    <w:basedOn w:val="NormalTable"/>
    <w:uiPriority w:val="59"/>
    <w:qFormat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标题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kern w:val="0"/>
      <w:sz w:val="28"/>
      <w:szCs w:val="28"/>
    </w:rPr>
  </w:style>
  <w:style w:type="paragraph" w:customStyle="1" w:styleId="_Style2">
    <w:name w:val="_Style 2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styleId="ListParagraph">
    <w:name w:val="List Paragraph"/>
    <w:basedOn w:val="Normal"/>
    <w:link w:val="列出段落Char"/>
    <w:uiPriority w:val="34"/>
    <w:qFormat/>
    <w:pPr>
      <w:ind w:firstLine="420" w:firstLineChars="200"/>
    </w:pPr>
    <w:rPr/>
  </w:style>
  <w:style w:type="character" w:customStyle="1" w:styleId="纯文本Char">
    <w:name w:val="纯文本 Char"/>
    <w:link w:val="PlainText"/>
    <w:qFormat/>
    <w:rPr>
      <w:rFonts w:ascii="宋体" w:hAnsi="Courier New" w:cs="黑体"/>
      <w:kern w:val="2"/>
      <w:sz w:val="21"/>
      <w:szCs w:val="21"/>
    </w:rPr>
  </w:style>
  <w:style w:type="character" w:customStyle="1" w:styleId="列出段落Char">
    <w:name w:val="列出段落 Char"/>
    <w:link w:val="ListParagraph"/>
    <w:uiPriority w:val="34"/>
    <w:qFormat/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</w:rPr>
  </w:style>
  <w:style w:type="character" w:customStyle="1" w:styleId="纯文本Char1">
    <w:name w:val="纯文本 Char1"/>
    <w:basedOn w:val="DefaultParagraphFont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OC标题2">
    <w:name w:val="TOC 标题2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mbria" w:eastAsia="宋体" w:hAnsi="Cambria" w:asciiTheme="majorHAnsi" w:eastAsiaTheme="majorEastAsia" w:hAnsiTheme="majorHAnsi" w:cs="Times New Roman" w:cstheme="majorBidi"/>
      <w:b w:val="0"/>
      <w:bCs w:val="0"/>
      <w:color w:val="3B608D" w:themeColor="accent1" w:themeShade="BF"/>
      <w:kern w:val="0"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qFormat/>
    <w:rPr>
      <w:rFonts w:ascii="Calibri" w:eastAsia="宋体" w:hAnsi="Calibri" w:asciiTheme="minorHAnsi" w:eastAsiaTheme="minorEastAsia" w:hAnsiTheme="minorHAnsi" w:cs="Arial" w:cstheme="minorBidi"/>
      <w:b/>
      <w:bCs/>
      <w:kern w:val="2"/>
      <w:sz w:val="32"/>
      <w:szCs w:val="32"/>
    </w:rPr>
  </w:style>
  <w:style w:type="character" w:customStyle="1" w:styleId="标题4Char">
    <w:name w:val="标题 4 Char"/>
    <w:basedOn w:val="DefaultParagraphFont"/>
    <w:link w:val="Heading4"/>
    <w:uiPriority w:val="9"/>
    <w:qFormat/>
    <w:rPr>
      <w:rFonts w:ascii="Cambria" w:eastAsia="宋体" w:hAnsi="Cambria" w:asciiTheme="majorHAnsi" w:eastAsiaTheme="majorEastAsia" w:hAnsiTheme="majorHAnsi" w:cs="Times New Roman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5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6.png" /><Relationship Id="rId13" Type="http://schemas.openxmlformats.org/officeDocument/2006/relationships/oleObject" Target="embeddings/oleObject4.bin" /><Relationship Id="rId14" Type="http://schemas.openxmlformats.org/officeDocument/2006/relationships/image" Target="media/image7.wmf" /><Relationship Id="rId15" Type="http://schemas.openxmlformats.org/officeDocument/2006/relationships/oleObject" Target="embeddings/oleObject5.bin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customXml" Target="../customXml/item2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wmf" /><Relationship Id="rId7" Type="http://schemas.openxmlformats.org/officeDocument/2006/relationships/oleObject" Target="embeddings/oleObject1.bin" /><Relationship Id="rId8" Type="http://schemas.openxmlformats.org/officeDocument/2006/relationships/image" Target="media/image4.wmf" /><Relationship Id="rId9" Type="http://schemas.openxmlformats.org/officeDocument/2006/relationships/oleObject" Target="embeddings/oleObject2.bin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C:\Users\MaYang-PC\Desktop\&#25104;&#37117;&#19975;&#36798;&#22478;&#23487;&#33293;&#25239;&#38663;&#25903;&#26550;&#35745;&#31639;&#20070;&#65288;&#27700;&#31649;&#65289;(1)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59F61E2-A622-4813-BEB8-9CD5B4F5C3B2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成都万达城宿舍抗震支架计算书（水管）(1).dotx</Template>
  <TotalTime>57</TotalTime>
  <Pages>9</Pages>
  <Words>625</Words>
  <Characters>3563</Characters>
  <Application>Microsoft Office Word</Application>
  <DocSecurity>0</DocSecurity>
  <Lines>29</Lines>
  <Paragraphs>8</Paragraphs>
  <Company>Hewlett-Packard Company</Company>
  <CharactersWithSpaces>4180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MaYang-PC</dc:creator>
  <cp:lastModifiedBy>8613771826396</cp:lastModifiedBy>
  <cp:revision>48</cp:revision>
  <cp:lastPrinted>2017-12-23T13:43:00Z</cp:lastPrinted>
  <dcterms:created xsi:type="dcterms:W3CDTF">2019-09-03T11:26:00Z</dcterms:created>
  <dcterms:modified xsi:type="dcterms:W3CDTF">2022-04-29T03:22:00Z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2052-11.1.0.8894</vt:lpstr>
  </property>
</Properties>
</file>