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CellMar>
          <w:top w:w="0" w:type="dxa"/>
          <w:left w:w="0" w:type="dxa"/>
          <w:bottom w:w="0" w:type="dxa"/>
          <w:right w:w="0" w:type="dxa"/>
        </w:tblCellMar>
      </w:tblPr>
      <w:tblGrid>
        <w:gridCol w:w="5046"/>
        <w:gridCol w:w="5046"/>
      </w:tblGrid>
      <w:tr>
        <w:tc>
          <w:tcPr>
            <w:tcW w:type="dxa" w:w="5102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2563516" cy="48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smal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516" cy="4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9"/>
          </w:tcPr>
          <w:p>
            <w:pPr>
              <w:spacing w:before="0" w:after="40"/>
              <w:jc w:val="right"/>
            </w:pPr>
            <w:r>
              <w:rPr>
                <w:b/>
                <w:i w:val="0"/>
                <w:color w:val="9CA3AF"/>
                <w:sz w:val="17"/>
              </w:rPr>
              <w:t>COMPTE RENDU — AGENCE CRÉOLE ÉVÉNEMENTS</w:t>
            </w:r>
          </w:p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4"/>
              </w:rPr>
              <w:t>Du 2 septembre 2026 au 1 octobre 2026</w:t>
            </w:r>
          </w:p>
        </w:tc>
      </w:tr>
    </w:tbl>
    <w:p>
      <w:pPr>
        <w:spacing w:before="80" w:after="200"/>
        <w:pBdr>
          <w:bottom w:val="single" w:sz="22" w:space="1" w:color="D9A627"/>
        </w:pBdr>
      </w:pPr>
    </w:p>
    <w:p>
      <w:pPr>
        <w:spacing w:before="0" w:after="200"/>
      </w:pPr>
      <w:r>
        <w:rPr>
          <w:b w:val="0"/>
          <w:i w:val="0"/>
          <w:color w:val="202A3B"/>
          <w:sz w:val="21"/>
        </w:rPr>
        <w:t>Bonjour Laëtitia Ravin, voici où en sont vos dossiers confiés à ARC Gestion et Recouvrement sur cette période : 3 nouveaux dossiers et 13 actions de relance enregistrées.</w:t>
      </w:r>
    </w:p>
    <w:p>
      <w:pPr>
        <w:spacing w:before="280" w:after="120"/>
        <w:pBdr>
          <w:left w:val="single" w:sz="20" w:space="4" w:color="D9A627"/>
        </w:pBdr>
      </w:pPr>
      <w:r>
        <w:rPr>
          <w:b/>
          <w:i w:val="0"/>
          <w:color w:val="173B72"/>
          <w:sz w:val="20"/>
        </w:rPr>
        <w:t>VOTRE FICHIER EN UN COUP D'ŒIL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364"/>
        <w:gridCol w:w="3364"/>
        <w:gridCol w:w="3364"/>
      </w:tblGrid>
      <w:tr>
        <w:tc>
          <w:tcPr>
            <w:tcW w:type="dxa" w:w="3364"/>
            <w:tcBorders>
              <w:top w:val="single" w:sz="24" w:space="0" w:color="FFFFFF"/>
              <w:bottom w:val="single" w:sz="24" w:space="0" w:color="FFFFFF"/>
              <w:left w:val="single" w:sz="24" w:space="0" w:color="FFFFFF"/>
              <w:right w:val="single" w:sz="24" w:space="0" w:color="FFFFFF"/>
            </w:tcBorders>
            <w:shd w:val="clear" w:fill="173B72"/>
          </w:tcPr>
          <w:p>
            <w:pPr>
              <w:spacing w:before="0" w:after="40"/>
            </w:pPr>
            <w:r>
              <w:rPr>
                <w:b/>
                <w:i w:val="0"/>
                <w:color w:val="D8DEE9"/>
                <w:sz w:val="13"/>
              </w:rPr>
              <w:t>RECOUVRÉ SUR LA PÉRIODE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E6BE55"/>
                <w:sz w:val="26"/>
              </w:rPr>
              <w:t>1 820 €</w:t>
            </w:r>
          </w:p>
        </w:tc>
        <w:tc>
          <w:tcPr>
            <w:tcW w:type="dxa" w:w="3364"/>
            <w:tcBorders>
              <w:top w:val="single" w:sz="24" w:space="0" w:color="FFFFFF"/>
              <w:bottom w:val="single" w:sz="24" w:space="0" w:color="FFFFFF"/>
              <w:left w:val="single" w:sz="24" w:space="0" w:color="FFFFFF"/>
              <w:right w:val="single" w:sz="24" w:space="0" w:color="FFFFFF"/>
            </w:tcBorders>
            <w:shd w:val="clear" w:fill="F4F6FA"/>
          </w:tcPr>
          <w:p>
            <w:pPr>
              <w:spacing w:before="0" w:after="40"/>
            </w:pPr>
            <w:r>
              <w:rPr>
                <w:b/>
                <w:i w:val="0"/>
                <w:color w:val="9CA3AF"/>
                <w:sz w:val="13"/>
              </w:rPr>
              <w:t>RESTANT À RECOUVRER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202A3B"/>
                <w:sz w:val="26"/>
              </w:rPr>
              <w:t>15 640 €</w:t>
            </w:r>
          </w:p>
        </w:tc>
        <w:tc>
          <w:tcPr>
            <w:tcW w:type="dxa" w:w="3364"/>
            <w:tcBorders>
              <w:top w:val="single" w:sz="24" w:space="0" w:color="FFFFFF"/>
              <w:bottom w:val="single" w:sz="24" w:space="0" w:color="FFFFFF"/>
              <w:left w:val="single" w:sz="24" w:space="0" w:color="FFFFFF"/>
              <w:right w:val="single" w:sz="24" w:space="0" w:color="FFFFFF"/>
            </w:tcBorders>
            <w:shd w:val="clear" w:fill="F4F6FA"/>
          </w:tcPr>
          <w:p>
            <w:pPr>
              <w:spacing w:before="0" w:after="40"/>
            </w:pPr>
            <w:r>
              <w:rPr>
                <w:b/>
                <w:i w:val="0"/>
                <w:color w:val="9CA3AF"/>
                <w:sz w:val="13"/>
              </w:rPr>
              <w:t>DOSSIERS ACTIFS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202A3B"/>
                <w:sz w:val="26"/>
              </w:rPr>
              <w:t>5</w:t>
            </w:r>
          </w:p>
        </w:tc>
      </w:tr>
      <w:tr>
        <w:tc>
          <w:tcPr>
            <w:tcW w:type="dxa" w:w="3364"/>
            <w:tcBorders>
              <w:top w:val="single" w:sz="24" w:space="0" w:color="FFFFFF"/>
              <w:bottom w:val="single" w:sz="24" w:space="0" w:color="FFFFFF"/>
              <w:left w:val="single" w:sz="24" w:space="0" w:color="FFFFFF"/>
              <w:right w:val="single" w:sz="24" w:space="0" w:color="FFFFFF"/>
            </w:tcBorders>
            <w:shd w:val="clear" w:fill="F4F6FA"/>
          </w:tcPr>
          <w:p>
            <w:pPr>
              <w:spacing w:before="0" w:after="40"/>
            </w:pPr>
            <w:r>
              <w:rPr>
                <w:b/>
                <w:i w:val="0"/>
                <w:color w:val="9CA3AF"/>
                <w:sz w:val="13"/>
              </w:rPr>
              <w:t>DOSSIERS CONFIÉS AU TOTAL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202A3B"/>
                <w:sz w:val="26"/>
              </w:rPr>
              <w:t>6</w:t>
            </w:r>
          </w:p>
        </w:tc>
        <w:tc>
          <w:tcPr>
            <w:tcW w:type="dxa" w:w="3364"/>
            <w:tcBorders>
              <w:top w:val="single" w:sz="24" w:space="0" w:color="FFFFFF"/>
              <w:bottom w:val="single" w:sz="24" w:space="0" w:color="FFFFFF"/>
              <w:left w:val="single" w:sz="24" w:space="0" w:color="FFFFFF"/>
              <w:right w:val="single" w:sz="24" w:space="0" w:color="FFFFFF"/>
            </w:tcBorders>
            <w:shd w:val="clear" w:fill="F4F6FA"/>
          </w:tcPr>
          <w:p>
            <w:pPr>
              <w:spacing w:before="0" w:after="40"/>
            </w:pPr>
            <w:r>
              <w:rPr>
                <w:b/>
                <w:i w:val="0"/>
                <w:color w:val="9CA3AF"/>
                <w:sz w:val="13"/>
              </w:rPr>
              <w:t>MONTANT TOTAL CONFIÉ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202A3B"/>
                <w:sz w:val="26"/>
              </w:rPr>
              <w:t>17 460 €</w:t>
            </w:r>
          </w:p>
        </w:tc>
        <w:tc>
          <w:tcPr>
            <w:tcW w:type="dxa" w:w="3364"/>
            <w:tcBorders>
              <w:top w:val="single" w:sz="24" w:space="0" w:color="FFFFFF"/>
              <w:bottom w:val="single" w:sz="24" w:space="0" w:color="FFFFFF"/>
              <w:left w:val="single" w:sz="24" w:space="0" w:color="FFFFFF"/>
              <w:right w:val="single" w:sz="24" w:space="0" w:color="FFFFFF"/>
            </w:tcBorders>
            <w:shd w:val="clear" w:fill="F4F6FA"/>
          </w:tcPr>
          <w:p>
            <w:pPr>
              <w:spacing w:before="0" w:after="40"/>
            </w:pPr>
            <w:r>
              <w:rPr>
                <w:b/>
                <w:i w:val="0"/>
                <w:color w:val="9CA3AF"/>
                <w:sz w:val="13"/>
              </w:rPr>
              <w:t>RECOUVRÉ DEPUIS LE DÉBUT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202A3B"/>
                <w:sz w:val="26"/>
              </w:rPr>
              <w:t>1 820 €</w:t>
            </w:r>
          </w:p>
        </w:tc>
      </w:tr>
    </w:tbl>
    <w:p>
      <w:pPr>
        <w:spacing w:before="280" w:after="120"/>
        <w:pBdr>
          <w:left w:val="single" w:sz="20" w:space="4" w:color="D9A627"/>
        </w:pBdr>
      </w:pPr>
      <w:r>
        <w:rPr>
          <w:b/>
          <w:i w:val="0"/>
          <w:color w:val="173B72"/>
          <w:sz w:val="20"/>
        </w:rPr>
        <w:t>RÉCAPITULATIF PAR STATUT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70" w:type="dxa"/>
          <w:left w:w="140" w:type="dxa"/>
          <w:bottom w:w="70" w:type="dxa"/>
          <w:right w:w="140" w:type="dxa"/>
        </w:tblCellMar>
      </w:tblPr>
      <w:tblGrid>
        <w:gridCol w:w="3364"/>
        <w:gridCol w:w="3364"/>
        <w:gridCol w:w="3364"/>
      </w:tblGrid>
      <w:tr>
        <w:tc>
          <w:tcPr>
            <w:tcW w:type="dxa" w:w="6009"/>
            <w:shd w:val="clear" w:fill="173B72"/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15"/>
              </w:rPr>
              <w:t>STATUT</w:t>
            </w:r>
          </w:p>
        </w:tc>
        <w:tc>
          <w:tcPr>
            <w:tcW w:type="dxa" w:w="1814"/>
            <w:shd w:val="clear" w:fill="173B72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FFFFFF"/>
                <w:sz w:val="15"/>
              </w:rPr>
              <w:t>DOSSIERS</w:t>
            </w:r>
          </w:p>
        </w:tc>
        <w:tc>
          <w:tcPr>
            <w:tcW w:type="dxa" w:w="2268"/>
            <w:shd w:val="clear" w:fill="173B72"/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FFFFFF"/>
                <w:sz w:val="15"/>
              </w:rPr>
              <w:t>MONTANT</w:t>
            </w:r>
          </w:p>
        </w:tc>
      </w:tr>
      <w:tr>
        <w:tc>
          <w:tcPr>
            <w:tcW w:type="dxa" w:w="6009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173B72"/>
                <w:sz w:val="18"/>
              </w:rPr>
              <w:t xml:space="preserve">● </w:t>
            </w:r>
            <w:r>
              <w:rPr>
                <w:b w:val="0"/>
                <w:i w:val="0"/>
                <w:color w:val="202A3B"/>
                <w:sz w:val="20"/>
              </w:rPr>
              <w:t>Nouveau</w:t>
            </w:r>
          </w:p>
        </w:tc>
        <w:tc>
          <w:tcPr>
            <w:tcW w:type="dxa" w:w="1814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202A3B"/>
                <w:sz w:val="20"/>
              </w:rPr>
              <w:t>1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1 210 €</w:t>
            </w:r>
          </w:p>
        </w:tc>
      </w:tr>
      <w:tr>
        <w:tc>
          <w:tcPr>
            <w:tcW w:type="dxa" w:w="6009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0EA5E9"/>
                <w:sz w:val="18"/>
              </w:rPr>
              <w:t xml:space="preserve">● </w:t>
            </w:r>
            <w:r>
              <w:rPr>
                <w:b w:val="0"/>
                <w:i w:val="0"/>
                <w:color w:val="202A3B"/>
                <w:sz w:val="20"/>
              </w:rPr>
              <w:t>Relancé par mail</w:t>
            </w:r>
          </w:p>
        </w:tc>
        <w:tc>
          <w:tcPr>
            <w:tcW w:type="dxa" w:w="1814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202A3B"/>
                <w:sz w:val="20"/>
              </w:rPr>
              <w:t>1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960 €</w:t>
            </w:r>
          </w:p>
        </w:tc>
      </w:tr>
      <w:tr>
        <w:tc>
          <w:tcPr>
            <w:tcW w:type="dxa" w:w="6009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D9A627"/>
                <w:sz w:val="18"/>
              </w:rPr>
              <w:t xml:space="preserve">● </w:t>
            </w:r>
            <w:r>
              <w:rPr>
                <w:b w:val="0"/>
                <w:i w:val="0"/>
                <w:color w:val="202A3B"/>
                <w:sz w:val="20"/>
              </w:rPr>
              <w:t>En relance</w:t>
            </w:r>
          </w:p>
        </w:tc>
        <w:tc>
          <w:tcPr>
            <w:tcW w:type="dxa" w:w="1814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202A3B"/>
                <w:sz w:val="20"/>
              </w:rPr>
              <w:t>1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2 650 €</w:t>
            </w:r>
          </w:p>
        </w:tc>
      </w:tr>
      <w:tr>
        <w:tc>
          <w:tcPr>
            <w:tcW w:type="dxa" w:w="6009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E07B1A"/>
                <w:sz w:val="18"/>
              </w:rPr>
              <w:t xml:space="preserve">● </w:t>
            </w:r>
            <w:r>
              <w:rPr>
                <w:b w:val="0"/>
                <w:i w:val="0"/>
                <w:color w:val="202A3B"/>
                <w:sz w:val="20"/>
              </w:rPr>
              <w:t>En négociation</w:t>
            </w:r>
          </w:p>
        </w:tc>
        <w:tc>
          <w:tcPr>
            <w:tcW w:type="dxa" w:w="1814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202A3B"/>
                <w:sz w:val="20"/>
              </w:rPr>
              <w:t>1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3 340 €</w:t>
            </w:r>
          </w:p>
        </w:tc>
      </w:tr>
      <w:tr>
        <w:tc>
          <w:tcPr>
            <w:tcW w:type="dxa" w:w="6009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DC2626"/>
                <w:sz w:val="18"/>
              </w:rPr>
              <w:t xml:space="preserve">● </w:t>
            </w:r>
            <w:r>
              <w:rPr>
                <w:b w:val="0"/>
                <w:i w:val="0"/>
                <w:color w:val="9CA3AF"/>
                <w:sz w:val="20"/>
              </w:rPr>
              <w:t>En litige</w:t>
            </w:r>
          </w:p>
        </w:tc>
        <w:tc>
          <w:tcPr>
            <w:tcW w:type="dxa" w:w="1814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i w:val="0"/>
                <w:color w:val="9CA3AF"/>
                <w:sz w:val="20"/>
              </w:rPr>
              <w:t>0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i w:val="0"/>
                <w:color w:val="9CA3AF"/>
                <w:sz w:val="20"/>
              </w:rPr>
              <w:t>0 €</w:t>
            </w:r>
          </w:p>
        </w:tc>
      </w:tr>
      <w:tr>
        <w:tc>
          <w:tcPr>
            <w:tcW w:type="dxa" w:w="6009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0D9488"/>
                <w:sz w:val="18"/>
              </w:rPr>
              <w:t xml:space="preserve">● </w:t>
            </w:r>
            <w:r>
              <w:rPr>
                <w:b w:val="0"/>
                <w:i w:val="0"/>
                <w:color w:val="202A3B"/>
                <w:sz w:val="20"/>
              </w:rPr>
              <w:t>Promesse de règlement</w:t>
            </w:r>
          </w:p>
        </w:tc>
        <w:tc>
          <w:tcPr>
            <w:tcW w:type="dxa" w:w="1814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202A3B"/>
                <w:sz w:val="20"/>
              </w:rPr>
              <w:t>1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7 480 €</w:t>
            </w:r>
          </w:p>
        </w:tc>
      </w:tr>
      <w:tr>
        <w:tc>
          <w:tcPr>
            <w:tcW w:type="dxa" w:w="6009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16A34A"/>
                <w:sz w:val="18"/>
              </w:rPr>
              <w:t xml:space="preserve">● </w:t>
            </w:r>
            <w:r>
              <w:rPr>
                <w:b w:val="0"/>
                <w:i w:val="0"/>
                <w:color w:val="202A3B"/>
                <w:sz w:val="20"/>
              </w:rPr>
              <w:t>Réglé</w:t>
            </w:r>
          </w:p>
        </w:tc>
        <w:tc>
          <w:tcPr>
            <w:tcW w:type="dxa" w:w="1814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202A3B"/>
                <w:sz w:val="20"/>
              </w:rPr>
              <w:t>1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1 820 €</w:t>
            </w:r>
          </w:p>
        </w:tc>
      </w:tr>
      <w:tr>
        <w:tc>
          <w:tcPr>
            <w:tcW w:type="dxa" w:w="6009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9CA3AF"/>
                <w:sz w:val="18"/>
              </w:rPr>
              <w:t xml:space="preserve">● </w:t>
            </w:r>
            <w:r>
              <w:rPr>
                <w:b w:val="0"/>
                <w:i w:val="0"/>
                <w:color w:val="9CA3AF"/>
                <w:sz w:val="20"/>
              </w:rPr>
              <w:t>Perdu</w:t>
            </w:r>
          </w:p>
        </w:tc>
        <w:tc>
          <w:tcPr>
            <w:tcW w:type="dxa" w:w="1814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i w:val="0"/>
                <w:color w:val="9CA3AF"/>
                <w:sz w:val="20"/>
              </w:rPr>
              <w:t>0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i w:val="0"/>
                <w:color w:val="9CA3AF"/>
                <w:sz w:val="20"/>
              </w:rPr>
              <w:t>0 €</w:t>
            </w:r>
          </w:p>
        </w:tc>
      </w:tr>
      <w:tr>
        <w:tc>
          <w:tcPr>
            <w:tcW w:type="dxa" w:w="6009"/>
            <w:tcBorders>
              <w:top w:val="single" w:sz="8" w:space="0" w:color="173B72"/>
            </w:tcBorders>
          </w:tcPr>
          <w:p>
            <w:pPr>
              <w:spacing w:before="0" w:after="0"/>
            </w:pPr>
            <w:r>
              <w:rPr>
                <w:b/>
                <w:i w:val="0"/>
                <w:color w:val="173B72"/>
                <w:sz w:val="20"/>
              </w:rPr>
              <w:t>Total</w:t>
            </w:r>
          </w:p>
        </w:tc>
        <w:tc>
          <w:tcPr>
            <w:tcW w:type="dxa" w:w="1814"/>
            <w:tcBorders>
              <w:top w:val="single" w:sz="8" w:space="0" w:color="173B72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6</w:t>
            </w:r>
          </w:p>
        </w:tc>
        <w:tc>
          <w:tcPr>
            <w:tcW w:type="dxa" w:w="2268"/>
            <w:tcBorders>
              <w:top w:val="single" w:sz="8" w:space="0" w:color="173B72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17 460 €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0092"/>
      </w:tblGrid>
      <w:tr>
        <w:tc>
          <w:tcPr>
            <w:tcW w:type="dxa" w:w="10091"/>
            <w:tcBorders>
              <w:top w:val="single" w:sz="6" w:space="0" w:color="D9A627"/>
              <w:bottom w:val="single" w:sz="6" w:space="0" w:color="D9A627"/>
              <w:left w:val="single" w:sz="6" w:space="0" w:color="D9A627"/>
              <w:right w:val="single" w:sz="6" w:space="0" w:color="D9A627"/>
            </w:tcBorders>
            <w:shd w:val="clear" w:fill="FBF7EB"/>
          </w:tcPr>
          <w:p>
            <w:pPr>
              <w:spacing w:before="0" w:after="80"/>
            </w:pPr>
            <w:r>
              <w:rPr>
                <w:b/>
                <w:i w:val="0"/>
                <w:color w:val="8A6D1F"/>
                <w:sz w:val="16"/>
              </w:rPr>
              <w:t>PART DUE À ARC SUR LES MONTANTS RECOUVRÉS</w:t>
            </w:r>
          </w:p>
          <w:p>
            <w:pPr>
              <w:tabs>
                <w:tab w:pos="9638" w:val="right"/>
              </w:tabs>
              <w:spacing w:before="0" w:after="40"/>
            </w:pPr>
            <w:r>
              <w:rPr>
                <w:b w:val="0"/>
                <w:i w:val="0"/>
                <w:color w:val="202A3B"/>
                <w:sz w:val="20"/>
              </w:rPr>
              <w:t>Montant recouvré sur la période</w:t>
            </w:r>
            <w:r>
              <w:rPr>
                <w:b w:val="0"/>
                <w:i w:val="0"/>
                <w:color w:val="202A3B"/>
                <w:sz w:val="20"/>
              </w:rPr>
              <w:tab/>
              <w:t>1 820 €</w:t>
            </w:r>
          </w:p>
          <w:p>
            <w:pPr>
              <w:tabs>
                <w:tab w:pos="9638" w:val="right"/>
              </w:tabs>
              <w:spacing w:before="0" w:after="40"/>
            </w:pPr>
            <w:r>
              <w:rPr>
                <w:b w:val="0"/>
                <w:i w:val="0"/>
                <w:color w:val="202A3B"/>
                <w:sz w:val="20"/>
              </w:rPr>
              <w:t>Taux convenu</w:t>
            </w:r>
            <w:r>
              <w:rPr>
                <w:b w:val="0"/>
                <w:i w:val="0"/>
                <w:color w:val="202A3B"/>
                <w:sz w:val="20"/>
              </w:rPr>
              <w:tab/>
              <w:t>12 %</w:t>
            </w:r>
          </w:p>
          <w:p>
            <w:pPr>
              <w:tabs>
                <w:tab w:pos="9638" w:val="right"/>
              </w:tabs>
              <w:spacing w:before="0" w:after="40"/>
            </w:pPr>
            <w:r>
              <w:rPr>
                <w:b/>
                <w:i w:val="0"/>
                <w:color w:val="173B72"/>
                <w:sz w:val="23"/>
              </w:rPr>
              <w:t>Part à régler à ARC</w:t>
            </w:r>
            <w:r>
              <w:rPr>
                <w:b/>
                <w:i w:val="0"/>
                <w:color w:val="173B72"/>
                <w:sz w:val="23"/>
              </w:rPr>
              <w:tab/>
              <w:t>218 €</w:t>
            </w:r>
          </w:p>
          <w:p>
            <w:pPr>
              <w:spacing w:before="0" w:after="0"/>
            </w:pPr>
            <w:r>
              <w:rPr>
                <w:b w:val="0"/>
                <w:i/>
                <w:color w:val="8A6D1F"/>
                <w:sz w:val="16"/>
              </w:rPr>
              <w:t>Hors part fixe de l'accompagnement, facturée séparément.</w:t>
            </w:r>
          </w:p>
        </w:tc>
      </w:tr>
    </w:tbl>
    <w:p>
      <w:pPr>
        <w:spacing w:before="280" w:after="120"/>
        <w:pBdr>
          <w:left w:val="single" w:sz="20" w:space="4" w:color="D9A627"/>
        </w:pBdr>
      </w:pPr>
      <w:r>
        <w:rPr>
          <w:b/>
          <w:i w:val="0"/>
          <w:color w:val="173B72"/>
          <w:sz w:val="20"/>
        </w:rPr>
        <w:t>DOSSIERS RÉGLÉS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70" w:type="dxa"/>
          <w:left w:w="140" w:type="dxa"/>
          <w:bottom w:w="70" w:type="dxa"/>
          <w:right w:w="140" w:type="dxa"/>
        </w:tblCellMar>
      </w:tblPr>
      <w:tblGrid>
        <w:gridCol w:w="3364"/>
        <w:gridCol w:w="3364"/>
        <w:gridCol w:w="3364"/>
      </w:tblGrid>
      <w:tr>
        <w:tc>
          <w:tcPr>
            <w:tcW w:type="dxa" w:w="4876"/>
            <w:tcBorders>
              <w:bottom w:val="single" w:sz="6" w:space="0" w:color="E3E6EC"/>
            </w:tcBorders>
          </w:tcPr>
          <w:p>
            <w:pPr>
              <w:spacing w:before="0" w:after="0"/>
            </w:pPr>
            <w:r>
              <w:rPr>
                <w:b/>
                <w:i w:val="0"/>
                <w:color w:val="9CA3AF"/>
                <w:sz w:val="15"/>
              </w:rPr>
              <w:t>DÉBITEUR</w:t>
            </w:r>
          </w:p>
        </w:tc>
        <w:tc>
          <w:tcPr>
            <w:tcW w:type="dxa" w:w="2948"/>
            <w:tcBorders>
              <w:bottom w:val="single" w:sz="6" w:space="0" w:color="E3E6EC"/>
            </w:tcBorders>
          </w:tcPr>
          <w:p>
            <w:pPr>
              <w:spacing w:before="0" w:after="0"/>
            </w:pPr>
            <w:r>
              <w:rPr>
                <w:b/>
                <w:i w:val="0"/>
                <w:color w:val="9CA3AF"/>
                <w:sz w:val="15"/>
              </w:rPr>
              <w:t>RÉGLÉ LE</w:t>
            </w:r>
          </w:p>
        </w:tc>
        <w:tc>
          <w:tcPr>
            <w:tcW w:type="dxa" w:w="2268"/>
            <w:tcBorders>
              <w:bottom w:val="single" w:sz="6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9CA3AF"/>
                <w:sz w:val="15"/>
              </w:rPr>
              <w:t>MONTANT</w:t>
            </w:r>
          </w:p>
        </w:tc>
      </w:tr>
      <w:tr>
        <w:tc>
          <w:tcPr>
            <w:tcW w:type="dxa" w:w="4876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/>
                <w:i w:val="0"/>
                <w:color w:val="202A3B"/>
                <w:sz w:val="20"/>
              </w:rPr>
              <w:t>SARL Mariage d'Antan</w:t>
            </w:r>
          </w:p>
        </w:tc>
        <w:tc>
          <w:tcPr>
            <w:tcW w:type="dxa" w:w="2948"/>
            <w:tcBorders>
              <w:bottom w:val="single" w:sz="4" w:space="0" w:color="E3E6EC"/>
            </w:tcBorders>
          </w:tcPr>
          <w:p>
            <w:pPr>
              <w:spacing w:before="0" w:after="0"/>
            </w:pPr>
            <w:r>
              <w:rPr>
                <w:b w:val="0"/>
                <w:i w:val="0"/>
                <w:color w:val="16A34A"/>
                <w:sz w:val="18"/>
              </w:rPr>
              <w:t xml:space="preserve">● </w:t>
            </w:r>
            <w:r>
              <w:rPr>
                <w:b w:val="0"/>
                <w:i w:val="0"/>
                <w:color w:val="202A3B"/>
                <w:sz w:val="20"/>
              </w:rPr>
              <w:t>14 septembre 2026</w:t>
            </w:r>
          </w:p>
        </w:tc>
        <w:tc>
          <w:tcPr>
            <w:tcW w:type="dxa" w:w="2268"/>
            <w:tcBorders>
              <w:bottom w:val="single" w:sz="4" w:space="0" w:color="E3E6EC"/>
            </w:tcBorders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173B72"/>
                <w:sz w:val="20"/>
              </w:rPr>
              <w:t>1 820 €</w:t>
            </w:r>
          </w:p>
        </w:tc>
      </w:tr>
    </w:tbl>
    <w:p>
      <w:pPr>
        <w:spacing w:before="280" w:after="120"/>
        <w:pBdr>
          <w:left w:val="single" w:sz="20" w:space="4" w:color="D9A627"/>
        </w:pBdr>
      </w:pPr>
      <w:r>
        <w:rPr>
          <w:b/>
          <w:i w:val="0"/>
          <w:color w:val="173B72"/>
          <w:sz w:val="20"/>
        </w:rPr>
        <w:t>RECOMMANDATIONS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0092"/>
      </w:tblGrid>
      <w:tr>
        <w:tc>
          <w:tcPr>
            <w:tcW w:type="dxa" w:w="10091"/>
            <w:tcBorders>
              <w:top w:val="single" w:sz="8" w:space="0" w:color="D9A627"/>
              <w:bottom w:val="single" w:sz="8" w:space="0" w:color="D9A627"/>
              <w:left w:val="single" w:sz="8" w:space="0" w:color="D9A627"/>
              <w:right w:val="single" w:sz="8" w:space="0" w:color="D9A627"/>
            </w:tcBorders>
          </w:tcPr>
          <w:p>
            <w:pPr>
              <w:spacing w:before="0" w:after="80"/>
            </w:pPr>
            <w:r>
              <w:rPr>
                <w:b w:val="0"/>
                <w:i/>
                <w:color w:val="9CA3AF"/>
                <w:sz w:val="18"/>
              </w:rPr>
              <w:t>Espace réservé aux recommandations d'ARC — remplacez ce texte avant l'envoi.</w:t>
            </w:r>
          </w:p>
          <w:p>
            <w:pPr>
              <w:spacing w:before="0" w:after="80"/>
            </w:pPr>
          </w:p>
          <w:p>
            <w:pPr>
              <w:spacing w:before="0" w:after="80"/>
            </w:pPr>
          </w:p>
          <w:p>
            <w:pPr>
              <w:spacing w:before="0" w:after="80"/>
            </w:pP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40" w:type="dxa"/>
          <w:left w:w="140" w:type="dxa"/>
          <w:bottom w:w="140" w:type="dxa"/>
          <w:right w:w="140" w:type="dxa"/>
        </w:tblCellMar>
      </w:tblPr>
      <w:tblGrid>
        <w:gridCol w:w="10092"/>
      </w:tblGrid>
      <w:tr>
        <w:tc>
          <w:tcPr>
            <w:tcW w:type="dxa" w:w="10091"/>
            <w:shd w:val="clear" w:fill="F4F6FA"/>
          </w:tcPr>
          <w:p>
            <w:pPr>
              <w:spacing w:before="0" w:after="40"/>
              <w:jc w:val="center"/>
            </w:pPr>
            <w:r>
              <w:rPr>
                <w:b/>
                <w:i w:val="0"/>
                <w:color w:val="173B72"/>
                <w:sz w:val="21"/>
              </w:rPr>
              <w:t>Une question, une remarque sur ce compte rendu ?</w:t>
            </w:r>
          </w:p>
          <w:p>
            <w:pPr>
              <w:spacing w:before="0" w:after="40"/>
              <w:jc w:val="center"/>
            </w:pPr>
            <w:r>
              <w:rPr>
                <w:b w:val="0"/>
                <w:i w:val="0"/>
                <w:color w:val="4B5468"/>
                <w:sz w:val="19"/>
              </w:rPr>
              <w:t>N'hésitez pas à revenir vers Ariane directement.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173B72"/>
                <w:sz w:val="20"/>
              </w:rPr>
              <w:t>contact@arc-gr.fr · 06 91 27 49 41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9CA3AF"/>
        <w:sz w:val="15"/>
      </w:rPr>
      <w:t>ARC Gestion et Recouvrement — arc-gr.fr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02A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