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1D505">
      <w:pPr>
        <w:ind w:left="420" w:hanging="420"/>
        <w:jc w:val="left"/>
        <w:rPr>
          <w:rFonts w:ascii="Calibri" w:hAnsi="Calibri" w:eastAsia="宋体" w:cs="Times New Roman"/>
          <w:sz w:val="52"/>
          <w:szCs w:val="52"/>
        </w:rPr>
      </w:pPr>
    </w:p>
    <w:p w14:paraId="3D451ABD">
      <w:pPr>
        <w:ind w:left="420" w:hanging="420"/>
        <w:jc w:val="center"/>
        <w:rPr>
          <w:rFonts w:ascii="Calibri" w:hAnsi="Calibri" w:eastAsia="宋体" w:cs="Times New Roman"/>
          <w:sz w:val="36"/>
          <w:szCs w:val="36"/>
        </w:rPr>
      </w:pPr>
      <w:r>
        <w:rPr>
          <w:rFonts w:hint="eastAsia" w:ascii="Calibri" w:hAnsi="Calibri" w:eastAsia="宋体" w:cs="Times New Roman"/>
          <w:sz w:val="44"/>
          <w:szCs w:val="44"/>
        </w:rPr>
        <w:t>辽宁工程技术大学</w:t>
      </w:r>
    </w:p>
    <w:p w14:paraId="596EC779">
      <w:pPr>
        <w:ind w:left="420" w:hanging="420"/>
        <w:jc w:val="center"/>
        <w:rPr>
          <w:rFonts w:ascii="Calibri" w:hAnsi="Calibri" w:eastAsia="宋体" w:cs="Times New Roman"/>
          <w:sz w:val="36"/>
          <w:szCs w:val="36"/>
        </w:rPr>
      </w:pPr>
    </w:p>
    <w:p w14:paraId="1AA669BF">
      <w:pPr>
        <w:bidi w:val="0"/>
        <w:jc w:val="center"/>
        <w:rPr>
          <w:rFonts w:ascii="Calibri" w:hAnsi="Calibri" w:eastAsia="宋体" w:cs="Times New Roman"/>
          <w:sz w:val="36"/>
          <w:szCs w:val="36"/>
        </w:rPr>
      </w:pPr>
      <w:r>
        <w:rPr>
          <w:rFonts w:ascii="Calibri" w:hAnsi="Calibri" w:eastAsia="宋体" w:cs="Times New Roman"/>
          <w:sz w:val="36"/>
          <w:szCs w:val="36"/>
        </w:rPr>
        <w:t>20</w:t>
      </w:r>
      <w:r>
        <w:rPr>
          <w:rFonts w:hint="eastAsia" w:ascii="Calibri" w:hAnsi="Calibri" w:eastAsia="宋体" w:cs="Times New Roman"/>
          <w:sz w:val="36"/>
          <w:szCs w:val="36"/>
          <w:lang w:val="en-US" w:eastAsia="zh-CN"/>
        </w:rPr>
        <w:t>25</w:t>
      </w:r>
      <w:r>
        <w:rPr>
          <w:rFonts w:ascii="Calibri" w:hAnsi="Calibri" w:eastAsia="宋体" w:cs="Times New Roman"/>
          <w:sz w:val="36"/>
          <w:szCs w:val="36"/>
        </w:rPr>
        <w:t>-20</w:t>
      </w:r>
      <w:r>
        <w:rPr>
          <w:rFonts w:hint="eastAsia" w:ascii="Calibri" w:hAnsi="Calibri" w:eastAsia="宋体" w:cs="Times New Roman"/>
          <w:sz w:val="36"/>
          <w:szCs w:val="36"/>
          <w:lang w:val="en-US" w:eastAsia="zh-CN"/>
        </w:rPr>
        <w:t>26</w:t>
      </w:r>
      <w:r>
        <w:rPr>
          <w:rFonts w:hint="eastAsia" w:ascii="Calibri" w:hAnsi="Calibri" w:eastAsia="宋体" w:cs="Times New Roman"/>
          <w:sz w:val="36"/>
          <w:szCs w:val="36"/>
        </w:rPr>
        <w:t>学年第</w:t>
      </w:r>
      <w:r>
        <w:rPr>
          <w:rFonts w:hint="eastAsia" w:ascii="Calibri" w:hAnsi="Calibri" w:eastAsia="宋体" w:cs="Times New Roman"/>
          <w:sz w:val="36"/>
          <w:szCs w:val="36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36"/>
          <w:szCs w:val="36"/>
        </w:rPr>
        <w:t>学期</w:t>
      </w:r>
    </w:p>
    <w:p w14:paraId="0CCB9C27">
      <w:pPr>
        <w:bidi w:val="0"/>
        <w:jc w:val="center"/>
        <w:rPr>
          <w:rFonts w:ascii="Calibri" w:hAnsi="Calibri" w:eastAsia="宋体" w:cs="Times New Roman"/>
          <w:sz w:val="36"/>
          <w:szCs w:val="36"/>
        </w:rPr>
      </w:pPr>
      <w:r>
        <w:rPr>
          <w:rFonts w:hint="eastAsia" w:ascii="Calibri" w:hAnsi="Calibri" w:eastAsia="宋体" w:cs="Times New Roman"/>
          <w:sz w:val="36"/>
          <w:szCs w:val="36"/>
        </w:rPr>
        <w:t>《创业基础》结课作业</w:t>
      </w:r>
    </w:p>
    <w:p w14:paraId="458FA7CB">
      <w:pPr>
        <w:bidi w:val="0"/>
        <w:jc w:val="center"/>
        <w:rPr>
          <w:rFonts w:ascii="Calibri" w:hAnsi="Calibri" w:eastAsia="宋体" w:cs="Times New Roman"/>
          <w:sz w:val="52"/>
          <w:szCs w:val="52"/>
        </w:rPr>
      </w:pPr>
      <w:r>
        <w:rPr>
          <w:rFonts w:hint="eastAsia" w:ascii="Calibri" w:hAnsi="Calibri" w:eastAsia="宋体" w:cs="Times New Roman"/>
          <w:sz w:val="52"/>
          <w:szCs w:val="52"/>
        </w:rPr>
        <w:t>大学生创业计划书</w:t>
      </w:r>
    </w:p>
    <w:tbl>
      <w:tblPr>
        <w:tblStyle w:val="13"/>
        <w:tblpPr w:leftFromText="180" w:rightFromText="180" w:vertAnchor="text" w:horzAnchor="page" w:tblpXSpec="center" w:tblpY="506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5920"/>
      </w:tblGrid>
      <w:tr w14:paraId="72893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6" w:type="dxa"/>
            <w:noWrap w:val="0"/>
            <w:vAlign w:val="center"/>
          </w:tcPr>
          <w:p w14:paraId="5D713087">
            <w:pPr>
              <w:jc w:val="distribute"/>
              <w:rPr>
                <w:rFonts w:ascii="Calibri" w:hAnsi="Calibri" w:eastAsia="宋体" w:cs="Times New Roman"/>
                <w:sz w:val="32"/>
                <w:szCs w:val="32"/>
                <w:vertAlign w:val="baseline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</w:rPr>
              <w:t>项目名称</w:t>
            </w:r>
          </w:p>
        </w:tc>
        <w:tc>
          <w:tcPr>
            <w:tcW w:w="5920" w:type="dxa"/>
            <w:noWrap w:val="0"/>
            <w:vAlign w:val="top"/>
          </w:tcPr>
          <w:p w14:paraId="7FB55BF1">
            <w:pPr>
              <w:jc w:val="left"/>
              <w:rPr>
                <w:rFonts w:hint="default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  <w:t>宠爱项目计划书</w:t>
            </w:r>
          </w:p>
        </w:tc>
      </w:tr>
      <w:tr w14:paraId="6A869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6" w:type="dxa"/>
            <w:noWrap w:val="0"/>
            <w:vAlign w:val="center"/>
          </w:tcPr>
          <w:p w14:paraId="48A65758">
            <w:pPr>
              <w:jc w:val="distribute"/>
              <w:rPr>
                <w:rFonts w:ascii="Calibri" w:hAnsi="Calibri" w:eastAsia="宋体" w:cs="Times New Roman"/>
                <w:sz w:val="32"/>
                <w:szCs w:val="32"/>
                <w:vertAlign w:val="baseline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</w:rPr>
              <w:t>团队成员</w:t>
            </w:r>
          </w:p>
        </w:tc>
        <w:tc>
          <w:tcPr>
            <w:tcW w:w="5920" w:type="dxa"/>
            <w:noWrap w:val="0"/>
            <w:vAlign w:val="top"/>
          </w:tcPr>
          <w:p w14:paraId="11A352BA">
            <w:pPr>
              <w:jc w:val="left"/>
              <w:rPr>
                <w:rFonts w:hint="default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  <w:t>马云锋，祝广林，饶睿峰，杨杨，王卓吕</w:t>
            </w:r>
          </w:p>
        </w:tc>
      </w:tr>
      <w:tr w14:paraId="44C1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6" w:type="dxa"/>
            <w:noWrap w:val="0"/>
            <w:vAlign w:val="center"/>
          </w:tcPr>
          <w:p w14:paraId="7D04DD2B">
            <w:pPr>
              <w:jc w:val="distribute"/>
              <w:rPr>
                <w:rFonts w:ascii="Calibri" w:hAnsi="Calibri" w:eastAsia="宋体" w:cs="Times New Roman"/>
                <w:sz w:val="32"/>
                <w:szCs w:val="32"/>
                <w:vertAlign w:val="baseline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</w:rPr>
              <w:t>负</w:t>
            </w:r>
            <w:r>
              <w:rPr>
                <w:rFonts w:ascii="Calibri" w:hAnsi="Calibri" w:eastAsia="宋体" w:cs="Times New Roman"/>
                <w:sz w:val="32"/>
                <w:szCs w:val="32"/>
              </w:rPr>
              <w:t xml:space="preserve"> </w:t>
            </w:r>
            <w:r>
              <w:rPr>
                <w:rFonts w:hint="eastAsia" w:ascii="Calibri" w:hAnsi="Calibri" w:eastAsia="宋体" w:cs="Times New Roman"/>
                <w:sz w:val="32"/>
                <w:szCs w:val="32"/>
              </w:rPr>
              <w:t>责</w:t>
            </w:r>
            <w:r>
              <w:rPr>
                <w:rFonts w:ascii="Calibri" w:hAnsi="Calibri" w:eastAsia="宋体" w:cs="Times New Roman"/>
                <w:sz w:val="32"/>
                <w:szCs w:val="32"/>
              </w:rPr>
              <w:t xml:space="preserve"> </w:t>
            </w:r>
            <w:r>
              <w:rPr>
                <w:rFonts w:hint="eastAsia" w:ascii="Calibri" w:hAnsi="Calibri" w:eastAsia="宋体" w:cs="Times New Roman"/>
                <w:sz w:val="32"/>
                <w:szCs w:val="32"/>
              </w:rPr>
              <w:t>人</w:t>
            </w:r>
          </w:p>
        </w:tc>
        <w:tc>
          <w:tcPr>
            <w:tcW w:w="5920" w:type="dxa"/>
            <w:noWrap w:val="0"/>
            <w:vAlign w:val="top"/>
          </w:tcPr>
          <w:p w14:paraId="5302AF01">
            <w:pPr>
              <w:jc w:val="left"/>
              <w:rPr>
                <w:rFonts w:hint="default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  <w:t>祝广林</w:t>
            </w:r>
          </w:p>
        </w:tc>
      </w:tr>
      <w:tr w14:paraId="6641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6" w:type="dxa"/>
            <w:noWrap w:val="0"/>
            <w:vAlign w:val="center"/>
          </w:tcPr>
          <w:p w14:paraId="0A49B0EE">
            <w:pPr>
              <w:jc w:val="distribute"/>
              <w:rPr>
                <w:rFonts w:ascii="Calibri" w:hAnsi="Calibri" w:eastAsia="宋体" w:cs="Times New Roman"/>
                <w:sz w:val="32"/>
                <w:szCs w:val="32"/>
                <w:vertAlign w:val="baseline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</w:rPr>
              <w:t>院系</w:t>
            </w:r>
          </w:p>
        </w:tc>
        <w:tc>
          <w:tcPr>
            <w:tcW w:w="5920" w:type="dxa"/>
            <w:noWrap w:val="0"/>
            <w:vAlign w:val="top"/>
          </w:tcPr>
          <w:p w14:paraId="39A3DDEC">
            <w:pPr>
              <w:jc w:val="left"/>
              <w:rPr>
                <w:rFonts w:hint="default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  <w:t>电子与信息工程学院</w:t>
            </w:r>
          </w:p>
        </w:tc>
      </w:tr>
      <w:tr w14:paraId="7E22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6" w:type="dxa"/>
            <w:noWrap w:val="0"/>
            <w:vAlign w:val="center"/>
          </w:tcPr>
          <w:p w14:paraId="5882914C">
            <w:pPr>
              <w:jc w:val="distribute"/>
              <w:rPr>
                <w:rFonts w:ascii="Calibri" w:hAnsi="Calibri" w:eastAsia="宋体" w:cs="Times New Roman"/>
                <w:sz w:val="32"/>
                <w:szCs w:val="32"/>
                <w:vertAlign w:val="baseline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</w:rPr>
              <w:t>班级</w:t>
            </w:r>
          </w:p>
        </w:tc>
        <w:tc>
          <w:tcPr>
            <w:tcW w:w="5920" w:type="dxa"/>
            <w:noWrap w:val="0"/>
            <w:vAlign w:val="top"/>
          </w:tcPr>
          <w:p w14:paraId="687BF07C">
            <w:pPr>
              <w:jc w:val="left"/>
              <w:rPr>
                <w:rFonts w:hint="default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  <w:vertAlign w:val="baseline"/>
                <w:lang w:val="en-US" w:eastAsia="zh-CN"/>
              </w:rPr>
              <w:t>计算24-4</w:t>
            </w:r>
          </w:p>
        </w:tc>
      </w:tr>
      <w:tr w14:paraId="5DC8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16" w:type="dxa"/>
            <w:noWrap w:val="0"/>
            <w:vAlign w:val="center"/>
          </w:tcPr>
          <w:p w14:paraId="5B993F2E">
            <w:pPr>
              <w:jc w:val="distribute"/>
              <w:rPr>
                <w:rFonts w:hint="eastAsia" w:ascii="Calibri" w:hAnsi="Calibri" w:eastAsia="宋体" w:cs="Times New Roman"/>
                <w:sz w:val="32"/>
                <w:szCs w:val="32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sz w:val="32"/>
                <w:szCs w:val="32"/>
                <w:lang w:val="en-US" w:eastAsia="zh-CN"/>
              </w:rPr>
              <w:t>成绩</w:t>
            </w:r>
          </w:p>
        </w:tc>
        <w:tc>
          <w:tcPr>
            <w:tcW w:w="5920" w:type="dxa"/>
            <w:noWrap w:val="0"/>
            <w:vAlign w:val="top"/>
          </w:tcPr>
          <w:p w14:paraId="4FA6D7F8">
            <w:pPr>
              <w:jc w:val="left"/>
              <w:rPr>
                <w:rFonts w:ascii="Calibri" w:hAnsi="Calibri" w:eastAsia="宋体" w:cs="Times New Roman"/>
                <w:sz w:val="32"/>
                <w:szCs w:val="32"/>
                <w:vertAlign w:val="baseline"/>
              </w:rPr>
            </w:pPr>
          </w:p>
        </w:tc>
      </w:tr>
    </w:tbl>
    <w:p w14:paraId="2818456E">
      <w:pPr>
        <w:ind w:left="420" w:hanging="420"/>
        <w:jc w:val="center"/>
        <w:rPr>
          <w:rFonts w:ascii="Calibri" w:hAnsi="Calibri" w:eastAsia="宋体" w:cs="Times New Roman"/>
          <w:sz w:val="32"/>
          <w:szCs w:val="32"/>
        </w:rPr>
      </w:pPr>
    </w:p>
    <w:p w14:paraId="4967037A">
      <w:pPr>
        <w:ind w:firstLine="2560" w:firstLineChars="800"/>
        <w:jc w:val="both"/>
        <w:rPr>
          <w:rFonts w:ascii="Calibri" w:hAnsi="Calibri" w:eastAsia="宋体" w:cs="Times New Roman"/>
          <w:sz w:val="32"/>
          <w:szCs w:val="32"/>
        </w:rPr>
      </w:pPr>
    </w:p>
    <w:p w14:paraId="3406E288">
      <w:pPr>
        <w:ind w:firstLine="2560" w:firstLineChars="800"/>
        <w:jc w:val="both"/>
        <w:rPr>
          <w:rFonts w:ascii="Calibri" w:hAnsi="Calibri" w:eastAsia="宋体" w:cs="Times New Roman"/>
          <w:sz w:val="32"/>
          <w:szCs w:val="32"/>
        </w:rPr>
      </w:pPr>
    </w:p>
    <w:p w14:paraId="29DF6462">
      <w:pPr>
        <w:ind w:firstLine="2560" w:firstLineChars="800"/>
        <w:jc w:val="both"/>
        <w:rPr>
          <w:rFonts w:ascii="Calibri" w:hAnsi="Calibri" w:eastAsia="宋体" w:cs="Times New Roman"/>
          <w:sz w:val="32"/>
          <w:szCs w:val="32"/>
        </w:rPr>
      </w:pPr>
    </w:p>
    <w:p w14:paraId="5EFB6101">
      <w:pPr>
        <w:ind w:firstLine="2560" w:firstLineChars="800"/>
        <w:jc w:val="both"/>
        <w:rPr>
          <w:rFonts w:ascii="Calibri" w:hAnsi="Calibri" w:eastAsia="宋体" w:cs="Times New Roman"/>
          <w:sz w:val="32"/>
          <w:szCs w:val="32"/>
        </w:rPr>
      </w:pPr>
    </w:p>
    <w:p w14:paraId="36139DB8">
      <w:pPr>
        <w:ind w:firstLine="2560" w:firstLineChars="800"/>
        <w:jc w:val="both"/>
        <w:rPr>
          <w:rFonts w:ascii="Calibri" w:hAnsi="Calibri" w:eastAsia="宋体" w:cs="Times New Roman"/>
          <w:sz w:val="32"/>
          <w:szCs w:val="32"/>
        </w:rPr>
      </w:pPr>
    </w:p>
    <w:p w14:paraId="1F4BC31A">
      <w:pPr>
        <w:jc w:val="center"/>
        <w:rPr>
          <w:rFonts w:ascii="Calibri" w:hAnsi="Calibri" w:eastAsia="宋体" w:cs="Times New Roman"/>
          <w:sz w:val="32"/>
          <w:szCs w:val="32"/>
        </w:rPr>
      </w:pPr>
      <w:r>
        <w:rPr>
          <w:rFonts w:hint="eastAsia" w:ascii="Calibri" w:hAnsi="Calibri" w:eastAsia="宋体" w:cs="Times New Roman"/>
          <w:sz w:val="32"/>
          <w:szCs w:val="32"/>
          <w:lang w:val="en-US" w:eastAsia="zh-CN"/>
        </w:rPr>
        <w:t>2025</w:t>
      </w:r>
      <w:r>
        <w:rPr>
          <w:rFonts w:hint="eastAsia" w:ascii="Calibri" w:hAnsi="Calibri" w:eastAsia="宋体" w:cs="Times New Roman"/>
          <w:sz w:val="32"/>
          <w:szCs w:val="32"/>
        </w:rPr>
        <w:t>年</w:t>
      </w:r>
      <w:r>
        <w:rPr>
          <w:rFonts w:hint="eastAsia" w:ascii="Calibri" w:hAnsi="Calibri" w:eastAsia="宋体" w:cs="Times New Roman"/>
          <w:sz w:val="32"/>
          <w:szCs w:val="32"/>
          <w:lang w:val="en-US" w:eastAsia="zh-CN"/>
        </w:rPr>
        <w:t>11</w:t>
      </w:r>
      <w:r>
        <w:rPr>
          <w:rFonts w:hint="eastAsia" w:ascii="Calibri" w:hAnsi="Calibri" w:eastAsia="宋体" w:cs="Times New Roman"/>
          <w:sz w:val="32"/>
          <w:szCs w:val="32"/>
        </w:rPr>
        <w:t>月</w:t>
      </w:r>
      <w:r>
        <w:rPr>
          <w:rFonts w:hint="eastAsia" w:ascii="Calibri" w:hAnsi="Calibri" w:eastAsia="宋体" w:cs="Times New Roman"/>
          <w:sz w:val="32"/>
          <w:szCs w:val="32"/>
          <w:lang w:val="en-US" w:eastAsia="zh-CN"/>
        </w:rPr>
        <w:t>13</w:t>
      </w:r>
      <w:r>
        <w:rPr>
          <w:rFonts w:hint="eastAsia" w:ascii="Calibri" w:hAnsi="Calibri" w:eastAsia="宋体" w:cs="Times New Roman"/>
          <w:sz w:val="32"/>
          <w:szCs w:val="32"/>
        </w:rPr>
        <w:t>日</w:t>
      </w:r>
    </w:p>
    <w:p w14:paraId="70B0C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360" w:lineRule="auto"/>
        <w:jc w:val="center"/>
        <w:textAlignment w:val="auto"/>
        <w:rPr>
          <w:rFonts w:hint="eastAsia" w:ascii="宋体"/>
          <w:b/>
          <w:bCs/>
          <w:sz w:val="30"/>
          <w:szCs w:val="30"/>
        </w:rPr>
        <w:sectPr>
          <w:headerReference r:id="rId3" w:type="default"/>
          <w:pgSz w:w="11906" w:h="16838"/>
          <w:pgMar w:top="1417" w:right="1417" w:bottom="1134" w:left="1417" w:header="851" w:footer="992" w:gutter="0"/>
          <w:pgNumType w:fmt="upperRoman" w:start="1"/>
          <w:cols w:space="720" w:num="1"/>
          <w:rtlGutter w:val="0"/>
          <w:docGrid w:type="lines" w:linePitch="312" w:charSpace="0"/>
        </w:sectPr>
      </w:pPr>
    </w:p>
    <w:p w14:paraId="09863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360" w:lineRule="auto"/>
        <w:jc w:val="center"/>
        <w:textAlignment w:val="auto"/>
        <w:rPr>
          <w:rFonts w:hint="eastAsia" w:ascii="宋体" w:hAnsi="Calibri" w:eastAsia="宋体" w:cs="Times New Roman"/>
          <w:b/>
          <w:bCs/>
          <w:sz w:val="30"/>
          <w:szCs w:val="30"/>
        </w:rPr>
      </w:pPr>
      <w:r>
        <w:rPr>
          <w:rFonts w:hint="eastAsia" w:ascii="宋体" w:hAnsi="Calibri" w:eastAsia="宋体" w:cs="Times New Roman"/>
          <w:b/>
          <w:bCs/>
          <w:sz w:val="30"/>
          <w:szCs w:val="30"/>
        </w:rPr>
        <w:t>创业计划书评分标准</w:t>
      </w:r>
    </w:p>
    <w:tbl>
      <w:tblPr>
        <w:tblStyle w:val="12"/>
        <w:tblW w:w="89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735"/>
        <w:gridCol w:w="5099"/>
        <w:gridCol w:w="988"/>
        <w:gridCol w:w="989"/>
      </w:tblGrid>
      <w:tr w14:paraId="4C11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1" w:type="dxa"/>
            <w:noWrap w:val="0"/>
            <w:vAlign w:val="bottom"/>
          </w:tcPr>
          <w:p w14:paraId="40D61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评分项</w:t>
            </w:r>
          </w:p>
        </w:tc>
        <w:tc>
          <w:tcPr>
            <w:tcW w:w="735" w:type="dxa"/>
            <w:noWrap w:val="0"/>
            <w:vAlign w:val="bottom"/>
          </w:tcPr>
          <w:p w14:paraId="49CEBB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权重</w:t>
            </w:r>
          </w:p>
        </w:tc>
        <w:tc>
          <w:tcPr>
            <w:tcW w:w="5099" w:type="dxa"/>
            <w:noWrap w:val="0"/>
            <w:vAlign w:val="bottom"/>
          </w:tcPr>
          <w:p w14:paraId="55606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具体要求</w:t>
            </w:r>
          </w:p>
        </w:tc>
        <w:tc>
          <w:tcPr>
            <w:tcW w:w="988" w:type="dxa"/>
            <w:noWrap w:val="0"/>
            <w:vAlign w:val="bottom"/>
          </w:tcPr>
          <w:p w14:paraId="48CD5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  <w:lang w:val="en-US" w:eastAsia="zh-CN"/>
              </w:rPr>
              <w:t>扣</w:t>
            </w: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分</w:t>
            </w:r>
          </w:p>
        </w:tc>
        <w:tc>
          <w:tcPr>
            <w:tcW w:w="989" w:type="dxa"/>
            <w:noWrap w:val="0"/>
            <w:vAlign w:val="bottom"/>
          </w:tcPr>
          <w:p w14:paraId="1F54171B">
            <w:pPr>
              <w:keepNext w:val="0"/>
              <w:keepLines w:val="0"/>
              <w:pageBreakBefore w:val="0"/>
              <w:widowControl w:val="0"/>
              <w:tabs>
                <w:tab w:val="left" w:pos="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仿宋" w:hAnsi="仿宋" w:eastAsia="仿宋" w:cs="仿宋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  <w:lang w:val="en-US" w:eastAsia="zh-CN"/>
              </w:rPr>
              <w:t>得分</w:t>
            </w:r>
          </w:p>
        </w:tc>
      </w:tr>
      <w:tr w14:paraId="688B5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3D1B99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项目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摘要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180C28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4248D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1.公司概况(8分):公司介绍及产品/服务、市场概况、营销策略、生产销售管理、财务预测和投资回报、创业团队的特殊性和优势等方面分析；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2.注册资金(2分):项目的注册资金是否合理：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3.商业模式(5分):表明项目如何赚钱，如何运作：</w:t>
            </w:r>
          </w:p>
        </w:tc>
        <w:tc>
          <w:tcPr>
            <w:tcW w:w="988" w:type="dxa"/>
            <w:noWrap w:val="0"/>
            <w:vAlign w:val="top"/>
          </w:tcPr>
          <w:p w14:paraId="28EE5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61B05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B7F8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06D426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26B40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65FC3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0A904D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319D6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F0C2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775395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Chars="0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006A9B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6714E6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4BDD0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1B0AF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6AD7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0CCFF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业务描述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24DB0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3858ED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1.企业的宗旨（1分）：说明企业存在的理由</w:t>
            </w:r>
          </w:p>
          <w:p w14:paraId="110B2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2.商机分析（1分）：请通过实例与数字论证</w:t>
            </w:r>
          </w:p>
          <w:p w14:paraId="31E3E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3.行业分析（1分）：用数据说明行业发展情况和趋势</w:t>
            </w:r>
          </w:p>
          <w:p w14:paraId="1608A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4.主要业务与阶段战略（1分）</w:t>
            </w:r>
          </w:p>
          <w:p w14:paraId="73ED9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5.生产经营计划（1分）</w:t>
            </w:r>
          </w:p>
        </w:tc>
        <w:tc>
          <w:tcPr>
            <w:tcW w:w="988" w:type="dxa"/>
            <w:noWrap w:val="0"/>
            <w:vAlign w:val="top"/>
          </w:tcPr>
          <w:p w14:paraId="3B525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435A9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525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45E74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2A07F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46A40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5A194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1D09D7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8BA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2C64CC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5CBE8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69639F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5DCF1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03BCF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6704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09291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65DAA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0ACF9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763A0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63FBE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F8B2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4117C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60ED72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3738EF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20F44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3ACF0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BCF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3B3AE0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市场分析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7D2D9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5E53C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1.市场定位(5分):清楚，目标客户明确，可行；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2.市场预测(5分):行业前景、市场容量与趋势真实；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3.竞争分析(5分):合理选择竞争对手，分析竞争环境；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4.SWOT分析(5分):运用SWOT分析法分析项目；</w:t>
            </w:r>
          </w:p>
        </w:tc>
        <w:tc>
          <w:tcPr>
            <w:tcW w:w="988" w:type="dxa"/>
            <w:noWrap w:val="0"/>
            <w:vAlign w:val="top"/>
          </w:tcPr>
          <w:p w14:paraId="0513F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25B3D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A2DB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0380C5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4D919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173A6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15A12D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038B9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A3E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3D44C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55E53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287A5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50009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342D3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07F1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566B4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26F19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03EEA5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50311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20A9C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60E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1DDC1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营销策略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54192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5753C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1.产品特征(8分):产品特征或服务形式，包含产品特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点和创新性，材料真实有效，能指出产品或服务领先地位 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2.产品定价(8分):符合市场需求，定价在合理范围内；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3.销售渠道(2分):描述项目的销售渠道及方式；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4.宣传推广(2分):适合项目的推广方式，真实、可行；</w:t>
            </w:r>
          </w:p>
        </w:tc>
        <w:tc>
          <w:tcPr>
            <w:tcW w:w="988" w:type="dxa"/>
            <w:noWrap w:val="0"/>
            <w:vAlign w:val="top"/>
          </w:tcPr>
          <w:p w14:paraId="18704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23E50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1305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1EB387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15845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79F313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3A5B5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54CB6B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AC3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061D7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48FEC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2F471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3634B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1B8D5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56DE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4E1DB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621B3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793B44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3354B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4B1CA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24F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00B4E4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财务分析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491BB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6CC57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1.固定资产（1分)；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2.原材料/商品采购成本(2分)；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3.销售与管理费用预测2分):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4.启动资金需求(2分)；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5.启动资金来源(1分)；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6.销售与成本表，现金流量表(2分)；</w:t>
            </w:r>
          </w:p>
        </w:tc>
        <w:tc>
          <w:tcPr>
            <w:tcW w:w="988" w:type="dxa"/>
            <w:noWrap w:val="0"/>
            <w:vAlign w:val="top"/>
          </w:tcPr>
          <w:p w14:paraId="64222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606E8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8B7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2A599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0D41A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54875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3AD40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01F3B8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184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4331B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47E59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5330D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03553C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0CD9D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C80C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0DB5F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62302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5800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05D64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637952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5AE9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5759B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1CBE05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2C46A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44384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6C4E2F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D942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0658F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4A542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74F50F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512DF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24684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ED97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5038A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团队管理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46F909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5分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7C838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1.组织结构(2分):符合项目运行的公司组织结构；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2.团队成员(1分):团队分工明确；</w:t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3.部门/岗位职责(2分):各组织部门的岗位工作内容；</w:t>
            </w:r>
          </w:p>
        </w:tc>
        <w:tc>
          <w:tcPr>
            <w:tcW w:w="988" w:type="dxa"/>
            <w:noWrap w:val="0"/>
            <w:vAlign w:val="top"/>
          </w:tcPr>
          <w:p w14:paraId="700A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3C86FA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462FF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518D8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257F9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636C3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7F7B3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4DAE9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02954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53C91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27F86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37A61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1810F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3F642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75B2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15E91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风险分析与对策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2EC83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5分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3D7DA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1.客观、全面分析对公司运营过程中可能遇到的财务、市场、技术、政策及管理体制风险进行识别（3分）；</w:t>
            </w:r>
          </w:p>
          <w:p w14:paraId="553831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  <w:t>2.阐述相应规避和防范措施（2分）；</w:t>
            </w:r>
          </w:p>
        </w:tc>
        <w:tc>
          <w:tcPr>
            <w:tcW w:w="988" w:type="dxa"/>
            <w:noWrap w:val="0"/>
            <w:vAlign w:val="top"/>
          </w:tcPr>
          <w:p w14:paraId="46352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0E818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37560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0687B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7A641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573F73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Style w:val="22"/>
                <w:rFonts w:hint="eastAsia" w:ascii="仿宋" w:hAnsi="仿宋" w:eastAsia="仿宋" w:cs="仿宋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988" w:type="dxa"/>
            <w:noWrap w:val="0"/>
            <w:vAlign w:val="top"/>
          </w:tcPr>
          <w:p w14:paraId="6B69C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70C34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BA6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1181" w:type="dxa"/>
            <w:vMerge w:val="restart"/>
            <w:noWrap w:val="0"/>
            <w:vAlign w:val="center"/>
          </w:tcPr>
          <w:p w14:paraId="1F9AA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计划书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规范性</w:t>
            </w:r>
          </w:p>
        </w:tc>
        <w:tc>
          <w:tcPr>
            <w:tcW w:w="735" w:type="dxa"/>
            <w:vMerge w:val="restart"/>
            <w:noWrap w:val="0"/>
            <w:vAlign w:val="center"/>
          </w:tcPr>
          <w:p w14:paraId="75C2C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分</w:t>
            </w:r>
          </w:p>
        </w:tc>
        <w:tc>
          <w:tcPr>
            <w:tcW w:w="5099" w:type="dxa"/>
            <w:vMerge w:val="restart"/>
            <w:noWrap w:val="0"/>
            <w:vAlign w:val="top"/>
          </w:tcPr>
          <w:p w14:paraId="7FF0B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1.字数要求不低于8000字（8分）；</w:t>
            </w:r>
          </w:p>
          <w:p w14:paraId="31741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撰写创业计划所要求的各项内容是否有缺失，能够保持创业计划的完整、全面、思路清晰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8分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）；</w:t>
            </w:r>
          </w:p>
          <w:p w14:paraId="71C34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语言表述通俗易懂、简洁明了、少有冗余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规范性满足要求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4分</w:t>
            </w:r>
            <w: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  <w:t>）；</w:t>
            </w:r>
          </w:p>
        </w:tc>
        <w:tc>
          <w:tcPr>
            <w:tcW w:w="988" w:type="dxa"/>
            <w:noWrap w:val="0"/>
            <w:vAlign w:val="top"/>
          </w:tcPr>
          <w:p w14:paraId="79A0B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restart"/>
            <w:noWrap w:val="0"/>
            <w:vAlign w:val="top"/>
          </w:tcPr>
          <w:p w14:paraId="01D54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5BA6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53EC2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3F642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33ACE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988" w:type="dxa"/>
            <w:noWrap w:val="0"/>
            <w:vAlign w:val="top"/>
          </w:tcPr>
          <w:p w14:paraId="7D745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7A0062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16130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1181" w:type="dxa"/>
            <w:vMerge w:val="continue"/>
            <w:noWrap w:val="0"/>
            <w:vAlign w:val="center"/>
          </w:tcPr>
          <w:p w14:paraId="36DB8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735" w:type="dxa"/>
            <w:vMerge w:val="continue"/>
            <w:noWrap w:val="0"/>
            <w:vAlign w:val="center"/>
          </w:tcPr>
          <w:p w14:paraId="0CAC9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5099" w:type="dxa"/>
            <w:vMerge w:val="continue"/>
            <w:noWrap w:val="0"/>
            <w:vAlign w:val="top"/>
          </w:tcPr>
          <w:p w14:paraId="5BBF4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</w:p>
        </w:tc>
        <w:tc>
          <w:tcPr>
            <w:tcW w:w="988" w:type="dxa"/>
            <w:noWrap w:val="0"/>
            <w:vAlign w:val="top"/>
          </w:tcPr>
          <w:p w14:paraId="38FC9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  <w:tc>
          <w:tcPr>
            <w:tcW w:w="989" w:type="dxa"/>
            <w:vMerge w:val="continue"/>
            <w:noWrap w:val="0"/>
            <w:vAlign w:val="top"/>
          </w:tcPr>
          <w:p w14:paraId="3E7EFD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仿宋" w:hAnsi="仿宋" w:eastAsia="仿宋" w:cs="仿宋"/>
                <w:sz w:val="21"/>
                <w:szCs w:val="21"/>
              </w:rPr>
            </w:pPr>
          </w:p>
        </w:tc>
      </w:tr>
      <w:tr w14:paraId="22C7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  <w:jc w:val="center"/>
        </w:trPr>
        <w:tc>
          <w:tcPr>
            <w:tcW w:w="7015" w:type="dxa"/>
            <w:gridSpan w:val="3"/>
            <w:noWrap w:val="0"/>
            <w:vAlign w:val="center"/>
          </w:tcPr>
          <w:p w14:paraId="19057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总</w:t>
            </w:r>
            <w:r>
              <w:rPr>
                <w:rFonts w:hint="eastAsia" w:ascii="仿宋" w:hAnsi="仿宋" w:eastAsia="仿宋" w:cs="仿宋"/>
                <w:b/>
                <w:sz w:val="21"/>
                <w:szCs w:val="21"/>
                <w:lang w:val="en-US" w:eastAsia="zh-CN"/>
              </w:rPr>
              <w:t>得</w:t>
            </w:r>
            <w:r>
              <w:rPr>
                <w:rFonts w:hint="eastAsia" w:ascii="仿宋" w:hAnsi="仿宋" w:eastAsia="仿宋" w:cs="仿宋"/>
                <w:b/>
                <w:sz w:val="21"/>
                <w:szCs w:val="21"/>
              </w:rPr>
              <w:t>分</w:t>
            </w:r>
          </w:p>
        </w:tc>
        <w:tc>
          <w:tcPr>
            <w:tcW w:w="1977" w:type="dxa"/>
            <w:gridSpan w:val="2"/>
            <w:noWrap w:val="0"/>
            <w:vAlign w:val="top"/>
          </w:tcPr>
          <w:p w14:paraId="325D6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仿宋" w:hAnsi="仿宋" w:eastAsia="仿宋" w:cs="仿宋"/>
                <w:b/>
                <w:sz w:val="21"/>
                <w:szCs w:val="21"/>
              </w:rPr>
            </w:pPr>
          </w:p>
        </w:tc>
      </w:tr>
    </w:tbl>
    <w:p w14:paraId="78617A27">
      <w:pPr>
        <w:widowControl/>
        <w:snapToGrid w:val="0"/>
        <w:spacing w:line="240" w:lineRule="auto"/>
        <w:rPr>
          <w:rFonts w:hint="eastAsia" w:ascii="仿宋_GB2312" w:hAnsi="Calibri" w:eastAsia="仿宋_GB2312" w:cs="Times New Roman"/>
          <w:b/>
          <w:szCs w:val="21"/>
          <w:lang w:val="en-US" w:eastAsia="zh-CN"/>
        </w:rPr>
      </w:pPr>
      <w:r>
        <w:rPr>
          <w:rFonts w:hint="eastAsia" w:ascii="仿宋_GB2312" w:hAnsi="Calibri" w:eastAsia="仿宋_GB2312" w:cs="Times New Roman"/>
          <w:b/>
          <w:szCs w:val="21"/>
          <w:lang w:val="en-US" w:eastAsia="zh-CN"/>
        </w:rPr>
        <w:t>注：请评阅教师可根据表内“具体要求”酌情给分，有扣分的地方在相应分项要求出写清所扣分数。</w:t>
      </w:r>
    </w:p>
    <w:p w14:paraId="3A8FBE24">
      <w:pPr>
        <w:widowControl/>
        <w:snapToGrid w:val="0"/>
        <w:spacing w:line="240" w:lineRule="auto"/>
        <w:rPr>
          <w:rFonts w:hint="default" w:ascii="仿宋_GB2312" w:hAnsi="Calibri" w:eastAsia="仿宋_GB2312" w:cs="Times New Roman"/>
          <w:b/>
          <w:szCs w:val="21"/>
          <w:lang w:val="en-US" w:eastAsia="zh-CN"/>
        </w:rPr>
      </w:pPr>
      <w:r>
        <w:rPr>
          <w:rFonts w:hint="eastAsia" w:ascii="仿宋_GB2312" w:hAnsi="Calibri" w:eastAsia="仿宋_GB2312" w:cs="Times New Roman"/>
          <w:b/>
          <w:szCs w:val="21"/>
          <w:lang w:val="en-US" w:eastAsia="zh-CN"/>
        </w:rPr>
        <w:t>例：项目的摘要总分20分，考核点有3项，若摘要里没有写清楚项目的商业模式，则在对应扣分处标“-5”；若该子项无其他扣分点，则在摘要得分处写“15”，即该项目的摘要得15分。</w:t>
      </w:r>
    </w:p>
    <w:p w14:paraId="06B1B3F9">
      <w:pPr>
        <w:widowControl/>
        <w:snapToGrid w:val="0"/>
        <w:spacing w:line="240" w:lineRule="auto"/>
        <w:rPr>
          <w:rFonts w:hint="default" w:ascii="仿宋_GB2312" w:hAnsi="Calibri" w:eastAsia="仿宋_GB2312" w:cs="Times New Roman"/>
          <w:b/>
          <w:bCs/>
          <w:szCs w:val="21"/>
          <w:lang w:val="en-US" w:eastAsia="zh-CN"/>
        </w:rPr>
      </w:pPr>
      <w:r>
        <w:rPr>
          <w:rFonts w:hint="eastAsia" w:ascii="仿宋_GB2312" w:hAnsi="Calibri" w:eastAsia="仿宋_GB2312" w:cs="Times New Roman"/>
          <w:b/>
          <w:szCs w:val="21"/>
          <w:lang w:val="en-US" w:eastAsia="zh-CN"/>
        </w:rPr>
        <w:t>1.每组组长可酌情加分（0-2分）2.</w:t>
      </w:r>
      <w:r>
        <w:rPr>
          <w:rFonts w:hint="eastAsia" w:ascii="仿宋_GB2312" w:hAnsi="Calibri" w:eastAsia="仿宋_GB2312" w:cs="Times New Roman"/>
          <w:b/>
          <w:szCs w:val="21"/>
        </w:rPr>
        <w:t>分值及等级标准</w:t>
      </w:r>
      <w:r>
        <w:rPr>
          <w:rFonts w:hint="eastAsia" w:ascii="仿宋_GB2312" w:hAnsi="Calibri" w:eastAsia="仿宋_GB2312" w:cs="Times New Roman"/>
          <w:szCs w:val="21"/>
        </w:rPr>
        <w:t>：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项目计划</w:t>
      </w:r>
      <w:r>
        <w:rPr>
          <w:rFonts w:hint="eastAsia" w:ascii="仿宋_GB2312" w:hAnsi="Calibri" w:eastAsia="仿宋_GB2312" w:cs="Times New Roman"/>
          <w:szCs w:val="21"/>
        </w:rPr>
        <w:t>优秀级别，分值90～100分；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项目计划</w:t>
      </w:r>
      <w:r>
        <w:rPr>
          <w:rFonts w:hint="eastAsia" w:ascii="仿宋_GB2312" w:hAnsi="Calibri" w:eastAsia="仿宋_GB2312" w:cs="Times New Roman"/>
          <w:szCs w:val="21"/>
        </w:rPr>
        <w:t>良好级别，分值80～89分；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项目计划</w:t>
      </w:r>
      <w:r>
        <w:rPr>
          <w:rFonts w:hint="eastAsia" w:ascii="仿宋_GB2312" w:hAnsi="Calibri" w:eastAsia="仿宋_GB2312" w:cs="Times New Roman"/>
          <w:szCs w:val="21"/>
        </w:rPr>
        <w:t>一般，分值70～79分；项目计划尚可过关，分值60～69分；项目计划不过关或不符合设计要求，分值低于60分。</w:t>
      </w:r>
      <w:r>
        <w:rPr>
          <w:rFonts w:hint="eastAsia" w:ascii="仿宋_GB2312" w:hAnsi="Calibri" w:eastAsia="仿宋_GB2312" w:cs="Times New Roman"/>
          <w:b/>
          <w:bCs/>
          <w:szCs w:val="21"/>
          <w:lang w:val="en-US" w:eastAsia="zh-CN"/>
        </w:rPr>
        <w:t>3.将创业计划书总得分的70%记入线下成绩。</w:t>
      </w:r>
    </w:p>
    <w:p w14:paraId="0E06A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ascii="Arial" w:hAnsi="Arial" w:eastAsia="宋体" w:cs="Arial"/>
          <w:b/>
          <w:bCs/>
          <w:kern w:val="0"/>
          <w:sz w:val="32"/>
          <w:szCs w:val="32"/>
        </w:rPr>
      </w:pPr>
      <w:r>
        <w:rPr>
          <w:rFonts w:ascii="Arial" w:hAnsi="Arial" w:eastAsia="宋体" w:cs="Arial"/>
          <w:b/>
          <w:bCs/>
          <w:kern w:val="0"/>
          <w:sz w:val="32"/>
          <w:szCs w:val="32"/>
        </w:rPr>
        <w:t>创业项目</w:t>
      </w:r>
      <w:r>
        <w:rPr>
          <w:rFonts w:hint="eastAsia" w:ascii="Arial" w:hAnsi="Arial" w:eastAsia="宋体" w:cs="Arial"/>
          <w:b/>
          <w:bCs/>
          <w:kern w:val="0"/>
          <w:sz w:val="32"/>
          <w:szCs w:val="32"/>
          <w:lang w:val="en-US" w:eastAsia="zh-CN"/>
        </w:rPr>
        <w:t>路演答辩</w:t>
      </w:r>
      <w:r>
        <w:rPr>
          <w:rFonts w:ascii="Arial" w:hAnsi="Arial" w:eastAsia="宋体" w:cs="Arial"/>
          <w:b/>
          <w:bCs/>
          <w:kern w:val="0"/>
          <w:sz w:val="32"/>
          <w:szCs w:val="32"/>
        </w:rPr>
        <w:t>考核标准</w:t>
      </w:r>
    </w:p>
    <w:tbl>
      <w:tblPr>
        <w:tblStyle w:val="13"/>
        <w:tblW w:w="0" w:type="auto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476"/>
        <w:gridCol w:w="5342"/>
        <w:gridCol w:w="1026"/>
      </w:tblGrid>
      <w:tr w14:paraId="29CC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00" w:type="dxa"/>
            <w:noWrap w:val="0"/>
            <w:vAlign w:val="center"/>
          </w:tcPr>
          <w:p w14:paraId="65AFCCFF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评分要素</w:t>
            </w:r>
          </w:p>
        </w:tc>
        <w:tc>
          <w:tcPr>
            <w:tcW w:w="1476" w:type="dxa"/>
            <w:noWrap w:val="0"/>
            <w:vAlign w:val="center"/>
          </w:tcPr>
          <w:p w14:paraId="3FFF0D41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评分要点</w:t>
            </w:r>
          </w:p>
        </w:tc>
        <w:tc>
          <w:tcPr>
            <w:tcW w:w="5342" w:type="dxa"/>
            <w:noWrap w:val="0"/>
            <w:vAlign w:val="center"/>
          </w:tcPr>
          <w:p w14:paraId="61C22328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具体描述</w:t>
            </w:r>
          </w:p>
        </w:tc>
        <w:tc>
          <w:tcPr>
            <w:tcW w:w="1026" w:type="dxa"/>
            <w:noWrap w:val="0"/>
            <w:vAlign w:val="center"/>
          </w:tcPr>
          <w:p w14:paraId="17EAAD8F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得分</w:t>
            </w:r>
          </w:p>
        </w:tc>
      </w:tr>
      <w:tr w14:paraId="4FE3B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restart"/>
            <w:noWrap w:val="0"/>
            <w:vAlign w:val="center"/>
          </w:tcPr>
          <w:p w14:paraId="2848DE4C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项目展示</w:t>
            </w:r>
          </w:p>
          <w:p w14:paraId="0D0752EF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（60分）</w:t>
            </w:r>
          </w:p>
          <w:p w14:paraId="600071CF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restart"/>
            <w:noWrap w:val="0"/>
            <w:vAlign w:val="center"/>
          </w:tcPr>
          <w:p w14:paraId="598551B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展示内容</w:t>
            </w:r>
          </w:p>
          <w:p w14:paraId="16A27EBA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30分</w:t>
            </w:r>
          </w:p>
          <w:p w14:paraId="133E88E6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79EADFB4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1．创业项目展示新颖，形式多样化，构思独特</w:t>
            </w:r>
          </w:p>
        </w:tc>
        <w:tc>
          <w:tcPr>
            <w:tcW w:w="1026" w:type="dxa"/>
            <w:vMerge w:val="restart"/>
            <w:noWrap w:val="0"/>
            <w:vAlign w:val="top"/>
          </w:tcPr>
          <w:p w14:paraId="27460EEB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6A4D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03EC073D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68ACCA55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6B14F0B0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2．团队成员分工明确，各尽其才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1886699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63F7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342C16ED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0CC4DE4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77CB824F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3．正确分析项目的优势及劣势，对劣势的解决方法得当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648ECF4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795C2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547A8F08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023A2997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32AFDD9E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4．项目可行性大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7D9B7B2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28A5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04D55707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3AF4C362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0E05F81A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5．PPT设计精巧，重点突出，简明扼要，能够精确提炼作品要点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2637E9B2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319B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7613C03B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restart"/>
            <w:noWrap w:val="0"/>
            <w:vAlign w:val="center"/>
          </w:tcPr>
          <w:p w14:paraId="6B3EC7A9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展示过程</w:t>
            </w:r>
          </w:p>
          <w:p w14:paraId="48DF7D3C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20分</w:t>
            </w:r>
          </w:p>
          <w:p w14:paraId="7EF9B8EC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7DAC9357">
            <w:pPr>
              <w:widowControl/>
              <w:rPr>
                <w:rFonts w:hint="default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1．整体设计合理，环节紧凑，条理清晰，层次分明，结论明确</w:t>
            </w:r>
          </w:p>
        </w:tc>
        <w:tc>
          <w:tcPr>
            <w:tcW w:w="1026" w:type="dxa"/>
            <w:vMerge w:val="restart"/>
            <w:noWrap w:val="0"/>
            <w:vAlign w:val="top"/>
          </w:tcPr>
          <w:p w14:paraId="57BFBE1D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75C17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6F244BE2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1478A13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59227B55">
            <w:pPr>
              <w:widowControl/>
              <w:rPr>
                <w:rFonts w:hint="default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2．详略得当，重点突出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时间把控准确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54237F34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1B27B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49D16564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37758E7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076B5635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3．思路清晰，逻辑性强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5ADCE592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68FD5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1BB6F9D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2F5AA9D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43C25D07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4．表达自然、流畅、无明显停顿，语句通顺，措辞恰当，语言组织畅达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74BE2971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22FFB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373776DD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6F63796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0942CBFE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5．讲普通话，声音洪亮，口齿清晰，语速语调适中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0E7A73CB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28530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398AA2FF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7CC06B1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098AF389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6．富于激情，善于引导现场观众，肢体语言恰当、丰富，能够感染他人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663D04F0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0A6BC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636A2565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restart"/>
            <w:noWrap w:val="0"/>
            <w:vAlign w:val="center"/>
          </w:tcPr>
          <w:p w14:paraId="79500F8B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基本素养</w:t>
            </w:r>
          </w:p>
          <w:p w14:paraId="503871E0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10分</w:t>
            </w:r>
          </w:p>
          <w:p w14:paraId="23B33080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37BAFD1E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1．衣着发型整洁、大方、朴素、得体</w:t>
            </w:r>
          </w:p>
        </w:tc>
        <w:tc>
          <w:tcPr>
            <w:tcW w:w="1026" w:type="dxa"/>
            <w:vMerge w:val="restart"/>
            <w:noWrap w:val="0"/>
            <w:vAlign w:val="top"/>
          </w:tcPr>
          <w:p w14:paraId="2548865F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4458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70D846A3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0D467B70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53125007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2．仪表端庄稳重，坐立行为大方、自然，表情丰富真诚，有良好的个人气质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6F1D96C2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7A511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4409835A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1CCA2F72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267F1EA2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3．言之有礼，情操高尚，谈吐文雅，富于思想内涵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776CFB5A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1F390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6CB1F3F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4B92013F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32E575AA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4．精神饱满，有信心，有独立见解，能充分展现大学生朝气蓬勃的精神风貌和创业者的新形象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23B19A1B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6CB5C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restart"/>
            <w:noWrap w:val="0"/>
            <w:vAlign w:val="center"/>
          </w:tcPr>
          <w:p w14:paraId="05879493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回答问题</w:t>
            </w:r>
          </w:p>
          <w:p w14:paraId="2425138D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（40分）</w:t>
            </w:r>
          </w:p>
        </w:tc>
        <w:tc>
          <w:tcPr>
            <w:tcW w:w="1476" w:type="dxa"/>
            <w:vMerge w:val="restart"/>
            <w:noWrap w:val="0"/>
            <w:vAlign w:val="center"/>
          </w:tcPr>
          <w:p w14:paraId="5FE0717E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应答能力</w:t>
            </w:r>
          </w:p>
          <w:p w14:paraId="322528E4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15分</w:t>
            </w:r>
          </w:p>
          <w:p w14:paraId="3BB26BD4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4874C4DB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1．能正确理解评委和观众提问，作出有针对性的回答</w:t>
            </w:r>
          </w:p>
        </w:tc>
        <w:tc>
          <w:tcPr>
            <w:tcW w:w="1026" w:type="dxa"/>
            <w:vMerge w:val="restart"/>
            <w:noWrap w:val="0"/>
            <w:vAlign w:val="top"/>
          </w:tcPr>
          <w:p w14:paraId="48577483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3778B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6C19A6C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7803A0CF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3DD50715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2．在评委和观众提出问题后马上作出反馈，及时作出回答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090467AA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330C4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7F7A5453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90E1658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2DA920E5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3．答题过程流畅、无明显停顿，语句通顺，措辞恰当，语言精炼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1632CF6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53789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2A075416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5FBC492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03EA150D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4．应变能力强，能够灵活的、创造性的作答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5B576D1E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602CC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5657CF40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restart"/>
            <w:noWrap w:val="0"/>
            <w:vAlign w:val="center"/>
          </w:tcPr>
          <w:p w14:paraId="3AF7957E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回答内容</w:t>
            </w:r>
          </w:p>
          <w:p w14:paraId="31E27362">
            <w:pPr>
              <w:widowControl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1"/>
                <w:szCs w:val="21"/>
              </w:rPr>
              <w:t>25分</w:t>
            </w:r>
          </w:p>
        </w:tc>
        <w:tc>
          <w:tcPr>
            <w:tcW w:w="5342" w:type="dxa"/>
            <w:noWrap w:val="0"/>
            <w:vAlign w:val="center"/>
          </w:tcPr>
          <w:p w14:paraId="3ECE9FFD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1．回答内容切合题意</w:t>
            </w:r>
          </w:p>
        </w:tc>
        <w:tc>
          <w:tcPr>
            <w:tcW w:w="1026" w:type="dxa"/>
            <w:vMerge w:val="restart"/>
            <w:noWrap w:val="0"/>
            <w:vAlign w:val="top"/>
          </w:tcPr>
          <w:p w14:paraId="10A5D8F9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5F88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331AC4B0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1DBE26D9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1BA6707C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2．答题过程条理清晰，层次分明，结论明确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4A035FF1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57A9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6AEBC360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1476" w:type="dxa"/>
            <w:vMerge w:val="continue"/>
            <w:noWrap w:val="0"/>
            <w:vAlign w:val="top"/>
          </w:tcPr>
          <w:p w14:paraId="3B007780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1AD90032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3．回答内容准确精炼，重点突出，能够有针对性的就提问要点归纳阐述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534C819F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6F2A3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vMerge w:val="continue"/>
            <w:noWrap w:val="0"/>
            <w:vAlign w:val="top"/>
          </w:tcPr>
          <w:p w14:paraId="2EB085D5">
            <w:pPr>
              <w:widowControl/>
              <w:jc w:val="center"/>
              <w:rPr>
                <w:rFonts w:hint="default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  <w:t>0</w:t>
            </w:r>
            <w:r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val="en-US" w:eastAsia="zh-CN"/>
              </w:rPr>
              <w:t>-2</w:t>
            </w:r>
          </w:p>
        </w:tc>
        <w:tc>
          <w:tcPr>
            <w:tcW w:w="1476" w:type="dxa"/>
            <w:vMerge w:val="continue"/>
            <w:noWrap w:val="0"/>
            <w:vAlign w:val="top"/>
          </w:tcPr>
          <w:p w14:paraId="2FFE7B03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  <w:tc>
          <w:tcPr>
            <w:tcW w:w="5342" w:type="dxa"/>
            <w:noWrap w:val="0"/>
            <w:vAlign w:val="center"/>
          </w:tcPr>
          <w:p w14:paraId="46C6C301">
            <w:pPr>
              <w:widowControl/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1"/>
                <w:szCs w:val="21"/>
              </w:rPr>
              <w:t>4．回答内容真实可信，运用事实论据，论述有说服力</w:t>
            </w:r>
          </w:p>
        </w:tc>
        <w:tc>
          <w:tcPr>
            <w:tcW w:w="1026" w:type="dxa"/>
            <w:vMerge w:val="continue"/>
            <w:noWrap w:val="0"/>
            <w:vAlign w:val="top"/>
          </w:tcPr>
          <w:p w14:paraId="23E54E36">
            <w:pPr>
              <w:widowControl/>
              <w:jc w:val="center"/>
              <w:rPr>
                <w:rFonts w:hint="eastAsia" w:ascii="Arial" w:hAnsi="Arial" w:eastAsia="宋体" w:cs="Arial"/>
                <w:b/>
                <w:bCs/>
                <w:kern w:val="0"/>
                <w:sz w:val="18"/>
                <w:szCs w:val="18"/>
                <w:vertAlign w:val="baseline"/>
                <w:lang w:eastAsia="zh-CN"/>
              </w:rPr>
            </w:pPr>
          </w:p>
        </w:tc>
      </w:tr>
      <w:tr w14:paraId="67A5C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18" w:type="dxa"/>
            <w:gridSpan w:val="3"/>
            <w:noWrap w:val="0"/>
            <w:vAlign w:val="center"/>
          </w:tcPr>
          <w:p w14:paraId="3B2B3B13">
            <w:pPr>
              <w:snapToGrid w:val="0"/>
              <w:spacing w:line="360" w:lineRule="auto"/>
              <w:jc w:val="center"/>
              <w:rPr>
                <w:rFonts w:hint="eastAsia" w:ascii="仿宋_GB2312" w:hAnsi="Calibri" w:eastAsia="仿宋_GB2312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_GB2312" w:hAnsi="Calibri" w:eastAsia="仿宋_GB2312" w:cs="Times New Roman"/>
                <w:b/>
                <w:szCs w:val="21"/>
              </w:rPr>
              <w:t>总得分</w:t>
            </w:r>
          </w:p>
        </w:tc>
        <w:tc>
          <w:tcPr>
            <w:tcW w:w="1026" w:type="dxa"/>
            <w:noWrap w:val="0"/>
            <w:vAlign w:val="top"/>
          </w:tcPr>
          <w:p w14:paraId="03D9132F">
            <w:pPr>
              <w:snapToGrid w:val="0"/>
              <w:spacing w:line="360" w:lineRule="auto"/>
              <w:jc w:val="center"/>
              <w:rPr>
                <w:rFonts w:hint="eastAsia" w:ascii="仿宋_GB2312" w:hAnsi="Calibri" w:eastAsia="仿宋_GB2312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121BB19F">
      <w:pPr>
        <w:widowControl/>
        <w:jc w:val="center"/>
        <w:rPr>
          <w:rFonts w:hint="eastAsia" w:ascii="Arial" w:hAnsi="Arial" w:eastAsia="宋体" w:cs="Arial"/>
          <w:b/>
          <w:bCs/>
          <w:kern w:val="0"/>
          <w:sz w:val="18"/>
          <w:szCs w:val="18"/>
          <w:lang w:eastAsia="zh-CN"/>
        </w:rPr>
      </w:pPr>
    </w:p>
    <w:p w14:paraId="208DAE6C">
      <w:pPr>
        <w:widowControl/>
        <w:snapToGrid w:val="0"/>
        <w:spacing w:line="240" w:lineRule="auto"/>
        <w:rPr>
          <w:rFonts w:hint="eastAsia" w:ascii="仿宋_GB2312" w:hAnsi="Times New Roman" w:eastAsia="仿宋_GB2312" w:cs="Times New Roman"/>
          <w:szCs w:val="21"/>
          <w:lang w:val="en-US" w:eastAsia="zh-CN"/>
        </w:rPr>
      </w:pPr>
      <w:r>
        <w:rPr>
          <w:rFonts w:hint="eastAsia" w:ascii="仿宋_GB2312" w:hAnsi="Calibri" w:eastAsia="仿宋_GB2312" w:cs="Times New Roman"/>
          <w:b/>
          <w:bCs/>
          <w:sz w:val="24"/>
          <w:szCs w:val="22"/>
          <w:lang w:val="en-US" w:eastAsia="zh-CN"/>
        </w:rPr>
        <w:t xml:space="preserve">注： </w:t>
      </w:r>
      <w:r>
        <w:rPr>
          <w:rFonts w:hint="eastAsia" w:ascii="仿宋_GB2312" w:hAnsi="Calibri" w:eastAsia="仿宋_GB2312" w:cs="Times New Roman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仿宋_GB2312" w:hAnsi="Times New Roman" w:eastAsia="仿宋_GB2312" w:cs="Times New Roman"/>
          <w:szCs w:val="21"/>
          <w:lang w:val="en-US" w:eastAsia="zh-CN"/>
        </w:rPr>
        <w:t>每个创业项目路演答辩时间5-8分钟，回答问题时间5分钟（2—3个问题）。</w:t>
      </w:r>
    </w:p>
    <w:p w14:paraId="31B7540B">
      <w:pPr>
        <w:widowControl/>
        <w:snapToGrid w:val="0"/>
        <w:spacing w:line="240" w:lineRule="auto"/>
        <w:ind w:firstLine="632" w:firstLineChars="300"/>
        <w:rPr>
          <w:rFonts w:hint="default" w:ascii="仿宋_GB2312" w:hAnsi="Times New Roman" w:eastAsia="仿宋_GB2312" w:cs="Times New Roman"/>
          <w:szCs w:val="21"/>
          <w:lang w:val="en-US" w:eastAsia="zh-CN"/>
        </w:rPr>
      </w:pPr>
      <w:r>
        <w:rPr>
          <w:rFonts w:hint="eastAsia" w:ascii="仿宋_GB2312" w:hAnsi="Times New Roman" w:eastAsia="仿宋_GB2312" w:cs="Times New Roman"/>
          <w:b/>
          <w:bCs/>
          <w:szCs w:val="21"/>
          <w:lang w:val="en-US" w:eastAsia="zh-CN"/>
        </w:rPr>
        <w:t>2.</w:t>
      </w:r>
      <w:r>
        <w:rPr>
          <w:rFonts w:hint="eastAsia" w:ascii="仿宋_GB2312" w:hAnsi="Times New Roman" w:eastAsia="仿宋_GB2312" w:cs="Times New Roman"/>
          <w:szCs w:val="21"/>
          <w:lang w:val="en-US" w:eastAsia="zh-CN"/>
        </w:rPr>
        <w:t>每组的主答辩人可酌情加分（0-2分）</w:t>
      </w:r>
    </w:p>
    <w:p w14:paraId="1F67338E">
      <w:pPr>
        <w:widowControl/>
        <w:numPr>
          <w:ilvl w:val="0"/>
          <w:numId w:val="0"/>
        </w:numPr>
        <w:snapToGrid w:val="0"/>
        <w:spacing w:line="240" w:lineRule="auto"/>
        <w:ind w:firstLine="632" w:firstLineChars="300"/>
        <w:rPr>
          <w:rFonts w:hint="eastAsia" w:ascii="仿宋_GB2312" w:hAnsi="Calibri" w:eastAsia="仿宋_GB2312" w:cs="Times New Roman"/>
          <w:szCs w:val="21"/>
        </w:rPr>
      </w:pPr>
      <w:r>
        <w:rPr>
          <w:rFonts w:hint="eastAsia" w:ascii="仿宋_GB2312" w:hAnsi="Calibri" w:eastAsia="仿宋_GB2312" w:cs="Times New Roman"/>
          <w:b/>
          <w:szCs w:val="21"/>
          <w:lang w:val="en-US" w:eastAsia="zh-CN"/>
        </w:rPr>
        <w:t>3.</w:t>
      </w:r>
      <w:r>
        <w:rPr>
          <w:rFonts w:hint="eastAsia" w:ascii="仿宋_GB2312" w:hAnsi="Calibri" w:eastAsia="仿宋_GB2312" w:cs="Times New Roman"/>
          <w:b/>
          <w:szCs w:val="21"/>
        </w:rPr>
        <w:t>分值及等级标准</w:t>
      </w:r>
      <w:r>
        <w:rPr>
          <w:rFonts w:hint="eastAsia" w:ascii="仿宋_GB2312" w:hAnsi="Calibri" w:eastAsia="仿宋_GB2312" w:cs="Times New Roman"/>
          <w:szCs w:val="21"/>
        </w:rPr>
        <w:t>：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项目展示</w:t>
      </w:r>
      <w:r>
        <w:rPr>
          <w:rFonts w:hint="eastAsia" w:ascii="仿宋_GB2312" w:hAnsi="Calibri" w:eastAsia="仿宋_GB2312" w:cs="Times New Roman"/>
          <w:szCs w:val="21"/>
        </w:rPr>
        <w:t>优秀级别，分值90～100分；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项目展示</w:t>
      </w:r>
      <w:r>
        <w:rPr>
          <w:rFonts w:hint="eastAsia" w:ascii="仿宋_GB2312" w:hAnsi="Calibri" w:eastAsia="仿宋_GB2312" w:cs="Times New Roman"/>
          <w:szCs w:val="21"/>
        </w:rPr>
        <w:t>良好级别，分值80～89分；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项目展示</w:t>
      </w:r>
      <w:r>
        <w:rPr>
          <w:rFonts w:hint="eastAsia" w:ascii="仿宋_GB2312" w:hAnsi="Calibri" w:eastAsia="仿宋_GB2312" w:cs="Times New Roman"/>
          <w:szCs w:val="21"/>
        </w:rPr>
        <w:t>一般，分值70～79分；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项目展示</w:t>
      </w:r>
      <w:r>
        <w:rPr>
          <w:rFonts w:hint="eastAsia" w:ascii="仿宋_GB2312" w:hAnsi="Calibri" w:eastAsia="仿宋_GB2312" w:cs="Times New Roman"/>
          <w:szCs w:val="21"/>
        </w:rPr>
        <w:t>尚可过关，分值60～69分；</w:t>
      </w:r>
      <w:r>
        <w:rPr>
          <w:rFonts w:hint="eastAsia" w:ascii="仿宋_GB2312" w:hAnsi="Calibri" w:eastAsia="仿宋_GB2312" w:cs="Times New Roman"/>
          <w:szCs w:val="21"/>
          <w:lang w:val="en-US" w:eastAsia="zh-CN"/>
        </w:rPr>
        <w:t>项目展示</w:t>
      </w:r>
      <w:r>
        <w:rPr>
          <w:rFonts w:hint="eastAsia" w:ascii="仿宋_GB2312" w:hAnsi="Calibri" w:eastAsia="仿宋_GB2312" w:cs="Times New Roman"/>
          <w:szCs w:val="21"/>
        </w:rPr>
        <w:t>不过关或不符合要求，分值低于60分。</w:t>
      </w:r>
    </w:p>
    <w:p w14:paraId="6161A972">
      <w:pPr>
        <w:widowControl/>
        <w:numPr>
          <w:ilvl w:val="0"/>
          <w:numId w:val="0"/>
        </w:numPr>
        <w:snapToGrid w:val="0"/>
        <w:spacing w:line="240" w:lineRule="auto"/>
        <w:ind w:firstLine="632" w:firstLineChars="300"/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仿宋_GB2312" w:hAnsi="Calibri" w:eastAsia="仿宋_GB2312" w:cs="Times New Roman"/>
          <w:b/>
          <w:bCs/>
          <w:szCs w:val="21"/>
          <w:lang w:val="en-US" w:eastAsia="zh-CN"/>
        </w:rPr>
        <w:t>4.将创业计划路演答辩总得分的15%记入线下成绩。</w:t>
      </w:r>
    </w:p>
    <w:tbl>
      <w:tblPr>
        <w:tblStyle w:val="12"/>
        <w:tblW w:w="9571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"/>
        <w:gridCol w:w="1684"/>
        <w:gridCol w:w="626"/>
        <w:gridCol w:w="188"/>
        <w:gridCol w:w="725"/>
        <w:gridCol w:w="456"/>
        <w:gridCol w:w="871"/>
        <w:gridCol w:w="725"/>
        <w:gridCol w:w="1309"/>
        <w:gridCol w:w="2496"/>
      </w:tblGrid>
      <w:tr w14:paraId="0F2C53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9" w:hRule="atLeast"/>
          <w:jc w:val="center"/>
        </w:trPr>
        <w:tc>
          <w:tcPr>
            <w:tcW w:w="2175" w:type="dxa"/>
            <w:gridSpan w:val="2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9A616E2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项目名称</w:t>
            </w:r>
          </w:p>
        </w:tc>
        <w:tc>
          <w:tcPr>
            <w:tcW w:w="49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6C5F118">
            <w:pPr>
              <w:snapToGrid w:val="0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宠爱项目计划书</w:t>
            </w:r>
          </w:p>
        </w:tc>
        <w:tc>
          <w:tcPr>
            <w:tcW w:w="249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3E17BFF9">
            <w:pPr>
              <w:snapToGrid w:val="0"/>
              <w:ind w:firstLine="720" w:firstLineChars="300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团队成员照片</w:t>
            </w:r>
          </w:p>
        </w:tc>
      </w:tr>
      <w:tr w14:paraId="27E991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2175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C8EB9F0">
            <w:pPr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作品所属领域</w:t>
            </w:r>
          </w:p>
        </w:tc>
        <w:tc>
          <w:tcPr>
            <w:tcW w:w="4900" w:type="dxa"/>
            <w:gridSpan w:val="7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EE6021C">
            <w:pPr>
              <w:snapToGrid w:val="0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宠物经营类</w:t>
            </w:r>
          </w:p>
        </w:tc>
        <w:tc>
          <w:tcPr>
            <w:tcW w:w="2496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17C108AB">
            <w:pPr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</w:tr>
      <w:tr w14:paraId="529816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1" w:hRule="atLeast"/>
          <w:jc w:val="center"/>
        </w:trPr>
        <w:tc>
          <w:tcPr>
            <w:tcW w:w="2175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5AACB2E">
            <w:pPr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是否获得专利</w:t>
            </w:r>
          </w:p>
        </w:tc>
        <w:tc>
          <w:tcPr>
            <w:tcW w:w="4900" w:type="dxa"/>
            <w:gridSpan w:val="7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8A2AC66">
            <w:pPr>
              <w:snapToGrid w:val="0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否</w:t>
            </w:r>
          </w:p>
        </w:tc>
        <w:tc>
          <w:tcPr>
            <w:tcW w:w="2496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193DB0A3">
            <w:pPr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</w:tr>
      <w:tr w14:paraId="3364A0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9" w:hRule="atLeast"/>
          <w:jc w:val="center"/>
        </w:trPr>
        <w:tc>
          <w:tcPr>
            <w:tcW w:w="2175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ADD092C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负责人姓名</w:t>
            </w:r>
          </w:p>
        </w:tc>
        <w:tc>
          <w:tcPr>
            <w:tcW w:w="814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FAB5CF1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祝广林</w:t>
            </w:r>
          </w:p>
        </w:tc>
        <w:tc>
          <w:tcPr>
            <w:tcW w:w="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197F38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性别</w:t>
            </w:r>
          </w:p>
        </w:tc>
        <w:tc>
          <w:tcPr>
            <w:tcW w:w="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7503D5C">
            <w:pPr>
              <w:widowControl/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男</w:t>
            </w:r>
          </w:p>
        </w:tc>
        <w:tc>
          <w:tcPr>
            <w:tcW w:w="8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E3FD61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民族</w:t>
            </w:r>
          </w:p>
        </w:tc>
        <w:tc>
          <w:tcPr>
            <w:tcW w:w="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183B80">
            <w:pPr>
              <w:widowControl/>
              <w:snapToGrid w:val="0"/>
              <w:jc w:val="center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苗族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7F75AF0">
            <w:pPr>
              <w:snapToGrid w:val="0"/>
              <w:jc w:val="center"/>
              <w:rPr>
                <w:rFonts w:hint="eastAsia" w:ascii="宋体" w:hAnsi="宋体" w:eastAsia="宋体" w:cs="宋体"/>
                <w:spacing w:val="-8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pacing w:val="-8"/>
                <w:sz w:val="24"/>
                <w:szCs w:val="22"/>
              </w:rPr>
              <w:t>出生日期</w:t>
            </w:r>
          </w:p>
        </w:tc>
        <w:tc>
          <w:tcPr>
            <w:tcW w:w="249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E39C9E2">
            <w:pPr>
              <w:widowControl/>
              <w:snapToGrid w:val="0"/>
              <w:jc w:val="center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2005.7.9</w:t>
            </w:r>
          </w:p>
        </w:tc>
      </w:tr>
      <w:tr w14:paraId="2206E8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2175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5E0D41D">
            <w:pPr>
              <w:snapToGrid w:val="0"/>
              <w:ind w:firstLine="120" w:firstLineChars="5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学校名称</w:t>
            </w:r>
          </w:p>
        </w:tc>
        <w:tc>
          <w:tcPr>
            <w:tcW w:w="3591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0741253">
            <w:pPr>
              <w:widowControl/>
              <w:snapToGrid w:val="0"/>
              <w:jc w:val="center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辽宁工程技术大学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23D9CC5">
            <w:pPr>
              <w:widowControl/>
              <w:snapToGrid w:val="0"/>
              <w:jc w:val="center"/>
              <w:rPr>
                <w:rFonts w:hint="eastAsia" w:ascii="宋体" w:hAnsi="宋体" w:eastAsia="宋体" w:cs="宋体"/>
                <w:spacing w:val="-8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pacing w:val="-8"/>
                <w:sz w:val="24"/>
                <w:szCs w:val="22"/>
              </w:rPr>
              <w:t>手机</w:t>
            </w:r>
          </w:p>
        </w:tc>
        <w:tc>
          <w:tcPr>
            <w:tcW w:w="249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906AF45">
            <w:pPr>
              <w:widowControl/>
              <w:snapToGrid w:val="0"/>
              <w:jc w:val="center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18285628495</w:t>
            </w:r>
          </w:p>
        </w:tc>
      </w:tr>
      <w:tr w14:paraId="75275E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  <w:jc w:val="center"/>
        </w:trPr>
        <w:tc>
          <w:tcPr>
            <w:tcW w:w="2175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991B516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QQ</w:t>
            </w:r>
          </w:p>
        </w:tc>
        <w:tc>
          <w:tcPr>
            <w:tcW w:w="3591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A5DE363">
            <w:pPr>
              <w:widowControl/>
              <w:snapToGrid w:val="0"/>
              <w:jc w:val="center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2278605721</w:t>
            </w:r>
          </w:p>
        </w:tc>
        <w:tc>
          <w:tcPr>
            <w:tcW w:w="130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7FCE7D0">
            <w:pPr>
              <w:snapToGrid w:val="0"/>
              <w:jc w:val="center"/>
              <w:rPr>
                <w:rFonts w:hint="eastAsia" w:ascii="宋体" w:hAnsi="宋体" w:eastAsia="宋体" w:cs="宋体"/>
                <w:spacing w:val="-8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pacing w:val="-8"/>
                <w:sz w:val="24"/>
                <w:szCs w:val="22"/>
              </w:rPr>
              <w:t>邮箱</w:t>
            </w:r>
          </w:p>
        </w:tc>
        <w:tc>
          <w:tcPr>
            <w:tcW w:w="249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55328F7">
            <w:pPr>
              <w:widowControl/>
              <w:snapToGrid w:val="0"/>
              <w:jc w:val="center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2278605721@qq.com</w:t>
            </w:r>
          </w:p>
        </w:tc>
      </w:tr>
      <w:tr w14:paraId="334577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491" w:type="dxa"/>
            <w:vMerge w:val="restart"/>
            <w:tcBorders>
              <w:top w:val="single" w:color="auto" w:sz="6" w:space="0"/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546C3C4F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团</w:t>
            </w:r>
          </w:p>
          <w:p w14:paraId="0A0C8BF7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队成员资料</w:t>
            </w: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292DB0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姓  名</w:t>
            </w: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89C2C3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性别</w:t>
            </w: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1CA50F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专业</w:t>
            </w: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9A7E503">
            <w:pPr>
              <w:snapToGrid w:val="0"/>
              <w:jc w:val="center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成员分工（撰写内容说明）</w:t>
            </w:r>
          </w:p>
        </w:tc>
      </w:tr>
      <w:tr w14:paraId="32EA1D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28D8AEE0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BAC332">
            <w:pPr>
              <w:widowControl/>
              <w:snapToGrid w:val="0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祝广林</w:t>
            </w: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597350C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男</w:t>
            </w: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0BD515">
            <w:pPr>
              <w:widowControl/>
              <w:snapToGrid w:val="0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计算机科学与技术</w:t>
            </w: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04F99ED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作为项目最高决策者，对项目整体进度、资源调配、风险管控及最终成果负责，确保项目贴合 “短期建口碑、中期扩市场、长期创品牌” 的战略目标。</w:t>
            </w:r>
          </w:p>
        </w:tc>
      </w:tr>
      <w:tr w14:paraId="29D3DD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11557E02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8487A4">
            <w:pPr>
              <w:widowControl/>
              <w:snapToGrid w:val="0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马云锋</w:t>
            </w: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BB94E70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男</w:t>
            </w: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753842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计算机科学与技术</w:t>
            </w: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285C14E0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负责宠物美容、寄养、防疫等核心服务的落地执行，确保服务标准化、专业化，满足计划书 “私人定制 + 一条龙服务” 的定位。</w:t>
            </w:r>
          </w:p>
        </w:tc>
      </w:tr>
      <w:tr w14:paraId="2BB556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5F8C01AB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EB716B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饶睿峰</w:t>
            </w: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D49D99B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男</w:t>
            </w: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CEAE59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Calibri" w:hAnsi="Calibri" w:eastAsia="宋体" w:cs="Times New Roman"/>
                <w:szCs w:val="22"/>
              </w:rPr>
              <w:t>计算机科学与技术</w:t>
            </w: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FA97B66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基于计划书 “多渠道推广” 策略，负责客户定位、营销活动策划与执行，为店铺引流并提升 “宠爱小铺” 区域品牌影响力。</w:t>
            </w:r>
          </w:p>
          <w:p w14:paraId="5A7ECCF1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具体任务</w:t>
            </w:r>
          </w:p>
        </w:tc>
      </w:tr>
      <w:tr w14:paraId="528478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14F18E4E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DE7C506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杨杨</w:t>
            </w: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0F582CB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Calibri" w:hAnsi="Calibri" w:eastAsia="宋体" w:cs="Times New Roman"/>
                <w:szCs w:val="22"/>
              </w:rPr>
              <w:t>男</w:t>
            </w: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4A1D28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Calibri" w:hAnsi="Calibri" w:eastAsia="宋体" w:cs="Times New Roman"/>
                <w:szCs w:val="22"/>
              </w:rPr>
              <w:t>计算机科学与技术</w:t>
            </w: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A9039D9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</w:rPr>
              <w:t>负责项目财务核算、预算管理及宠物用品 / 疫苗采购，确保资金 “六三一比例”（六成开办成本、三成营运费用、一成紧急准备金）合理使用，供应链符合 “正品保障” 要求。</w:t>
            </w:r>
          </w:p>
        </w:tc>
      </w:tr>
      <w:tr w14:paraId="00E0E0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3BCE2CD3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272CE2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王卓吕</w:t>
            </w: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8F9B7B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Calibri" w:hAnsi="Calibri" w:eastAsia="宋体" w:cs="Times New Roman"/>
                <w:szCs w:val="22"/>
              </w:rPr>
              <w:t>男</w:t>
            </w: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4B56F1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  <w:r>
              <w:rPr>
                <w:rFonts w:hint="eastAsia" w:ascii="Calibri" w:hAnsi="Calibri" w:eastAsia="宋体" w:cs="Times New Roman"/>
                <w:szCs w:val="22"/>
              </w:rPr>
              <w:t>计算机科学与技术</w:t>
            </w: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711F922F">
            <w:pPr>
              <w:widowControl/>
              <w:snapToGrid w:val="0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</w:rPr>
              <w:t>负责店铺行政事务、客户档案管理及辅助性工作，为项目运营提供后勤支持，同时通过客户数据沉淀，助力精准服务与复购。</w:t>
            </w:r>
          </w:p>
        </w:tc>
      </w:tr>
      <w:tr w14:paraId="337FDE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61593CB2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2B099B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018B490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156575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B4791D5">
            <w:pPr>
              <w:widowControl/>
              <w:snapToGrid w:val="0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</w:p>
        </w:tc>
      </w:tr>
      <w:tr w14:paraId="1BA06B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1AD7AEC6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AEEFC3A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74F6C1E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A596CCF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4B77234">
            <w:pPr>
              <w:widowControl/>
              <w:snapToGrid w:val="0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</w:p>
        </w:tc>
      </w:tr>
      <w:tr w14:paraId="0F34F8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9" w:hRule="atLeast"/>
          <w:jc w:val="center"/>
        </w:trPr>
        <w:tc>
          <w:tcPr>
            <w:tcW w:w="491" w:type="dxa"/>
            <w:vMerge w:val="continue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7771B6D2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5DAF697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6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0B9E13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136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15F4E5">
            <w:pPr>
              <w:widowControl/>
              <w:snapToGrid w:val="0"/>
              <w:rPr>
                <w:rFonts w:hint="eastAsia" w:ascii="宋体" w:hAnsi="宋体" w:eastAsia="宋体" w:cs="宋体"/>
                <w:sz w:val="24"/>
                <w:szCs w:val="22"/>
              </w:rPr>
            </w:pPr>
          </w:p>
        </w:tc>
        <w:tc>
          <w:tcPr>
            <w:tcW w:w="5401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5667A74">
            <w:pPr>
              <w:widowControl/>
              <w:snapToGrid w:val="0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</w:p>
        </w:tc>
      </w:tr>
      <w:tr w14:paraId="04524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9" w:hRule="atLeast"/>
          <w:jc w:val="center"/>
        </w:trPr>
        <w:tc>
          <w:tcPr>
            <w:tcW w:w="2801" w:type="dxa"/>
            <w:gridSpan w:val="3"/>
            <w:tcBorders>
              <w:left w:val="single" w:color="auto" w:sz="4" w:space="0"/>
              <w:right w:val="single" w:color="auto" w:sz="6" w:space="0"/>
            </w:tcBorders>
            <w:noWrap w:val="0"/>
            <w:vAlign w:val="center"/>
          </w:tcPr>
          <w:p w14:paraId="3A2C11FC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该项目参加何种创业大赛获校级及以上奖励</w:t>
            </w:r>
          </w:p>
        </w:tc>
        <w:tc>
          <w:tcPr>
            <w:tcW w:w="6770" w:type="dxa"/>
            <w:gridSpan w:val="7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22FBE02">
            <w:pPr>
              <w:widowControl/>
              <w:snapToGrid w:val="0"/>
              <w:rPr>
                <w:rFonts w:hint="eastAsia" w:ascii="宋体" w:hAnsi="宋体" w:eastAsia="宋体" w:cs="宋体"/>
                <w:bCs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2"/>
                <w:lang w:val="en-US" w:eastAsia="zh-CN"/>
              </w:rPr>
              <w:t>无</w:t>
            </w:r>
          </w:p>
        </w:tc>
      </w:tr>
      <w:tr w14:paraId="73DB3E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4" w:hRule="atLeast"/>
          <w:jc w:val="center"/>
        </w:trPr>
        <w:tc>
          <w:tcPr>
            <w:tcW w:w="2801" w:type="dxa"/>
            <w:gridSpan w:val="3"/>
            <w:tcBorders>
              <w:left w:val="single" w:color="auto" w:sz="4" w:space="0"/>
              <w:bottom w:val="single" w:color="auto" w:sz="2" w:space="0"/>
              <w:right w:val="single" w:color="auto" w:sz="6" w:space="0"/>
            </w:tcBorders>
            <w:noWrap w:val="0"/>
            <w:vAlign w:val="center"/>
          </w:tcPr>
          <w:p w14:paraId="73D66AC4">
            <w:pPr>
              <w:jc w:val="center"/>
              <w:rPr>
                <w:rFonts w:hint="default" w:ascii="宋体" w:hAnsi="宋体" w:eastAsia="宋体" w:cs="宋体"/>
                <w:sz w:val="24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2"/>
                <w:lang w:val="en-US" w:eastAsia="zh-CN"/>
              </w:rPr>
              <w:t>备注</w:t>
            </w:r>
          </w:p>
        </w:tc>
        <w:tc>
          <w:tcPr>
            <w:tcW w:w="6770" w:type="dxa"/>
            <w:gridSpan w:val="7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4" w:space="0"/>
            </w:tcBorders>
            <w:noWrap w:val="0"/>
            <w:vAlign w:val="center"/>
          </w:tcPr>
          <w:p w14:paraId="75D6AA8B">
            <w:pPr>
              <w:widowControl/>
              <w:snapToGrid w:val="0"/>
              <w:rPr>
                <w:rFonts w:hint="eastAsia" w:ascii="宋体" w:hAnsi="宋体" w:eastAsia="宋体" w:cs="宋体"/>
                <w:bCs/>
                <w:sz w:val="24"/>
                <w:szCs w:val="22"/>
              </w:rPr>
            </w:pPr>
          </w:p>
        </w:tc>
      </w:tr>
    </w:tbl>
    <w:p w14:paraId="797FB858">
      <w:pPr>
        <w:spacing w:line="360" w:lineRule="auto"/>
        <w:ind w:left="420" w:hanging="420"/>
        <w:jc w:val="center"/>
        <w:rPr>
          <w:rFonts w:hint="eastAsia" w:ascii="Calibri" w:hAnsi="Calibri" w:eastAsia="宋体" w:cs="Times New Roman"/>
          <w:sz w:val="28"/>
          <w:szCs w:val="28"/>
        </w:rPr>
      </w:pPr>
    </w:p>
    <w:p w14:paraId="471C8865">
      <w:pPr>
        <w:spacing w:line="360" w:lineRule="auto"/>
        <w:ind w:left="420" w:hanging="420"/>
        <w:jc w:val="center"/>
        <w:rPr>
          <w:rFonts w:hint="eastAsia" w:ascii="Calibri" w:hAnsi="Calibri" w:eastAsia="宋体" w:cs="Times New Roman"/>
          <w:sz w:val="30"/>
          <w:szCs w:val="30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</w:rPr>
        <w:t>目</w:t>
      </w:r>
      <w:r>
        <w:rPr>
          <w:rFonts w:ascii="Calibri" w:hAnsi="Calibri" w:eastAsia="宋体" w:cs="Times New Roman"/>
          <w:sz w:val="28"/>
          <w:szCs w:val="28"/>
        </w:rPr>
        <w:t xml:space="preserve">    </w:t>
      </w:r>
      <w:r>
        <w:rPr>
          <w:rFonts w:hint="eastAsia" w:ascii="Calibri" w:hAnsi="Calibri" w:eastAsia="宋体" w:cs="Times New Roman"/>
          <w:sz w:val="28"/>
          <w:szCs w:val="28"/>
        </w:rPr>
        <w:t>录</w:t>
      </w:r>
    </w:p>
    <w:p w14:paraId="3C7524AB">
      <w:pPr>
        <w:rPr>
          <w:rFonts w:hint="default" w:ascii="Calibri" w:hAnsi="Calibri" w:eastAsia="宋体" w:cs="Times New Roman"/>
          <w:sz w:val="30"/>
          <w:szCs w:val="30"/>
          <w:u w:val="none"/>
          <w:lang w:val="en-US" w:eastAsia="zh-CN"/>
        </w:rPr>
      </w:pPr>
      <w:bookmarkStart w:id="0" w:name="_Toc1806"/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 xml:space="preserve">一、项目摘要 </w:t>
      </w:r>
      <w:r>
        <w:rPr>
          <w:rFonts w:hint="eastAsia" w:ascii="Calibri" w:hAnsi="Calibri" w:eastAsia="宋体" w:cs="Times New Roman"/>
          <w:sz w:val="30"/>
          <w:szCs w:val="30"/>
          <w:u w:val="dotted"/>
          <w:lang w:val="en-US" w:eastAsia="zh-CN"/>
        </w:rPr>
        <w:t xml:space="preserve">                                        5</w:t>
      </w:r>
    </w:p>
    <w:p w14:paraId="20486B5A">
      <w:pPr>
        <w:rPr>
          <w:rFonts w:hint="default" w:ascii="Calibri" w:hAnsi="Calibri" w:eastAsia="宋体" w:cs="Times New Roman"/>
          <w:sz w:val="30"/>
          <w:szCs w:val="30"/>
          <w:lang w:val="en-US" w:eastAsia="zh-CN"/>
        </w:rPr>
      </w:pPr>
      <w:r>
        <w:rPr>
          <w:rFonts w:ascii="Calibri" w:hAnsi="Calibri" w:eastAsia="宋体" w:cs="Times New Roman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1340485</wp:posOffset>
                </wp:positionH>
                <wp:positionV relativeFrom="paragraph">
                  <wp:posOffset>287655</wp:posOffset>
                </wp:positionV>
                <wp:extent cx="3270250" cy="635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0" cy="635"/>
                        </a:xfrm>
                        <a:prstGeom prst="line">
                          <a:avLst/>
                        </a:prstGeom>
                        <a:ln w="9525" cap="sq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5.55pt;margin-top:22.65pt;height:0.05pt;width:257.5pt;z-index:251659264;mso-width-relative:page;mso-height-relative:page;" filled="f" stroked="t" coordsize="21600,21600" o:gfxdata="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NdiRkNkAAAAJAQAADwAAAAAAAAABACAAAAAiAAAAZHJzL2Rvd25yZXYueG1s&#10;UEsBAhQAFAAAAAgAh07iQJLtqyj3AQAA5QMAAA4AAAAAAAAAAQAgAAAAKAEAAGRycy9lMm9Eb2Mu&#10;eG1sUEsFBgAAAAAGAAYAWQEAAJEFAAAAAA==&#10;">
                <v:fill on="f" focussize="0,0"/>
                <v:stroke color="#000000" joinstyle="round" dashstyle="1 1" endcap="square"/>
                <v:imagedata o:title=""/>
                <o:lock v:ext="edit" aspectratio="f"/>
              </v:line>
            </w:pict>
          </mc:Fallback>
        </mc:AlternateContent>
      </w:r>
      <w:r>
        <w:rPr>
          <w:rFonts w:ascii="华文中宋" w:hAnsi="华文中宋" w:eastAsia="楷体_GB2312" w:cs="Times New Roman"/>
          <w:sz w:val="30"/>
          <w:szCs w:val="30"/>
        </w:rPr>
        <w:fldChar w:fldCharType="begin"/>
      </w:r>
      <w:r>
        <w:rPr>
          <w:rFonts w:ascii="华文中宋" w:hAnsi="华文中宋" w:eastAsia="楷体_GB2312" w:cs="Times New Roman"/>
          <w:sz w:val="30"/>
          <w:szCs w:val="30"/>
        </w:rPr>
        <w:instrText xml:space="preserve">TOC \o "1-3" \h \z \u</w:instrText>
      </w:r>
      <w:r>
        <w:rPr>
          <w:rFonts w:ascii="华文中宋" w:hAnsi="华文中宋" w:eastAsia="楷体_GB2312" w:cs="Times New Roman"/>
          <w:sz w:val="30"/>
          <w:szCs w:val="30"/>
        </w:rPr>
        <w:fldChar w:fldCharType="separate"/>
      </w:r>
      <w:r>
        <w:rPr>
          <w:rFonts w:ascii="Calibri" w:hAnsi="Calibri" w:eastAsia="宋体" w:cs="Times New Roman"/>
          <w:sz w:val="30"/>
          <w:szCs w:val="30"/>
        </w:rPr>
        <w:fldChar w:fldCharType="begin"/>
      </w:r>
      <w:r>
        <w:rPr>
          <w:rFonts w:ascii="Calibri" w:hAnsi="Calibri" w:eastAsia="宋体" w:cs="Times New Roman"/>
          <w:sz w:val="30"/>
          <w:szCs w:val="30"/>
        </w:rPr>
        <w:instrText xml:space="preserve"> HYPERLINK \l "_Toc534501292" </w:instrText>
      </w:r>
      <w:r>
        <w:rPr>
          <w:rFonts w:ascii="Calibri" w:hAnsi="Calibri" w:eastAsia="宋体" w:cs="Times New Roman"/>
          <w:sz w:val="30"/>
          <w:szCs w:val="30"/>
        </w:rPr>
        <w:fldChar w:fldCharType="separate"/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30"/>
          <w:szCs w:val="30"/>
          <w:lang w:eastAsia="zh-CN"/>
        </w:rPr>
        <w:t>、</w:t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>业务描述                                         7</w:t>
      </w:r>
    </w:p>
    <w:p w14:paraId="0E90CEC0">
      <w:pPr>
        <w:rPr>
          <w:rFonts w:hint="default" w:ascii="Calibri" w:hAnsi="Calibri" w:eastAsia="宋体" w:cs="Times New Roman"/>
          <w:sz w:val="30"/>
          <w:szCs w:val="30"/>
          <w:lang w:val="en-US" w:eastAsia="zh-CN"/>
        </w:rPr>
      </w:pPr>
      <w:r>
        <w:rPr>
          <w:rFonts w:hint="default" w:ascii="Calibri" w:hAnsi="Calibri" w:eastAsia="宋体" w:cs="Times New Roman"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1329690</wp:posOffset>
                </wp:positionH>
                <wp:positionV relativeFrom="paragraph">
                  <wp:posOffset>278130</wp:posOffset>
                </wp:positionV>
                <wp:extent cx="3270250" cy="635"/>
                <wp:effectExtent l="0" t="0" r="0" b="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0" cy="635"/>
                        </a:xfrm>
                        <a:prstGeom prst="line">
                          <a:avLst/>
                        </a:prstGeom>
                        <a:ln w="9525" cap="sq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4.7pt;margin-top:21.9pt;height:0.05pt;width:257.5pt;z-index:251660288;mso-width-relative:page;mso-height-relative:page;" filled="f" stroked="t" coordsize="21600,21600" o:gfxdata="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L/gabtkAAAAJAQAADwAAAAAAAAABACAAAAAiAAAAZHJzL2Rvd25yZXYueG1s&#10;UEsBAhQAFAAAAAgAh07iQC69cjL3AQAA5QMAAA4AAAAAAAAAAQAgAAAAKAEAAGRycy9lMm9Eb2Mu&#10;eG1sUEsFBgAAAAAGAAYAWQEAAJEFAAAAAA==&#10;">
                <v:fill on="f" focussize="0,0"/>
                <v:stroke color="#000000" joinstyle="round" dashstyle="1 1" endcap="square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>三、市场营销</w:t>
      </w:r>
      <w:r>
        <w:rPr>
          <w:rFonts w:ascii="Calibri" w:hAnsi="Calibri" w:eastAsia="宋体" w:cs="Times New Roman"/>
          <w:sz w:val="30"/>
          <w:szCs w:val="30"/>
        </w:rPr>
        <w:fldChar w:fldCharType="end"/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 xml:space="preserve">                                         10</w:t>
      </w:r>
    </w:p>
    <w:p w14:paraId="188E9F59">
      <w:pPr>
        <w:rPr>
          <w:rFonts w:hint="default" w:ascii="Calibri" w:hAnsi="Calibri" w:eastAsia="宋体" w:cs="Times New Roman"/>
          <w:sz w:val="30"/>
          <w:szCs w:val="30"/>
          <w:lang w:val="en-US" w:eastAsia="zh-CN"/>
        </w:rPr>
      </w:pPr>
      <w:r>
        <w:rPr>
          <w:rFonts w:hint="default" w:ascii="Calibri" w:hAnsi="Calibri" w:eastAsia="宋体" w:cs="Times New Roman"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1297940</wp:posOffset>
                </wp:positionH>
                <wp:positionV relativeFrom="paragraph">
                  <wp:posOffset>294640</wp:posOffset>
                </wp:positionV>
                <wp:extent cx="3270250" cy="635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0" cy="635"/>
                        </a:xfrm>
                        <a:prstGeom prst="line">
                          <a:avLst/>
                        </a:prstGeom>
                        <a:ln w="9525" cap="sq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2.2pt;margin-top:23.2pt;height:0.05pt;width:257.5pt;z-index:251661312;mso-width-relative:page;mso-height-relative:page;" filled="f" stroked="t" coordsize="21600,21600" o:gfxdata="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8h08NkAAAAJAQAADwAAAAAAAAABACAAAAAiAAAAZHJzL2Rvd25yZXYueG1s&#10;UEsBAhQAFAAAAAgAh07iQHMIxHf3AQAA5QMAAA4AAAAAAAAAAQAgAAAAKAEAAGRycy9lMm9Eb2Mu&#10;eG1sUEsFBgAAAAAGAAYAWQEAAJEFAAAAAA==&#10;">
                <v:fill on="f" focussize="0,0"/>
                <v:stroke color="#000000" joinstyle="round" dashstyle="1 1" endcap="square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>四、创业团队                                         17</w:t>
      </w:r>
    </w:p>
    <w:p w14:paraId="3AC5AB44">
      <w:pPr>
        <w:rPr>
          <w:rFonts w:hint="default" w:ascii="Calibri" w:hAnsi="Calibri" w:eastAsia="宋体" w:cs="Times New Roman"/>
          <w:sz w:val="30"/>
          <w:szCs w:val="30"/>
          <w:lang w:val="en-US" w:eastAsia="zh-CN"/>
        </w:rPr>
      </w:pPr>
      <w:r>
        <w:rPr>
          <w:rFonts w:hint="default" w:ascii="Calibri" w:hAnsi="Calibri" w:eastAsia="宋体" w:cs="Times New Roman"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1256030</wp:posOffset>
                </wp:positionH>
                <wp:positionV relativeFrom="paragraph">
                  <wp:posOffset>290195</wp:posOffset>
                </wp:positionV>
                <wp:extent cx="3270250" cy="635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0250" cy="635"/>
                        </a:xfrm>
                        <a:prstGeom prst="line">
                          <a:avLst/>
                        </a:prstGeom>
                        <a:ln w="9525" cap="sq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8.9pt;margin-top:22.85pt;height:0.05pt;width:257.5pt;z-index:251662336;mso-width-relative:page;mso-height-relative:page;" filled="f" stroked="t" coordsize="21600,21600" o:gfxdata="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PcmvaAAAACQEAAA8AAAAAAAAAAQAgAAAAIgAAAGRycy9kb3ducmV2Lnht&#10;bFBLAQIUABQAAAAIAIdO4kDqTBkd9wEAAOUDAAAOAAAAAAAAAAEAIAAAACkBAABkcnMvZTJvRG9j&#10;LnhtbFBLBQYAAAAABgAGAFkBAACSBQAAAAA=&#10;">
                <v:fill on="f" focussize="0,0"/>
                <v:stroke color="#000000" joinstyle="round" dashstyle="1 1" endcap="square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>五、财务计划                                         22</w:t>
      </w:r>
    </w:p>
    <w:p w14:paraId="27ABC56A">
      <w:pPr>
        <w:rPr>
          <w:rFonts w:hint="default" w:ascii="Calibri" w:hAnsi="Calibri" w:eastAsia="宋体" w:cs="Times New Roman"/>
          <w:sz w:val="30"/>
          <w:szCs w:val="30"/>
          <w:lang w:val="en-US"/>
        </w:rPr>
      </w:pPr>
      <w:r>
        <w:rPr>
          <w:rFonts w:hint="default" w:ascii="Calibri" w:hAnsi="Calibri" w:eastAsia="宋体" w:cs="Times New Roman"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1562735</wp:posOffset>
                </wp:positionH>
                <wp:positionV relativeFrom="paragraph">
                  <wp:posOffset>306705</wp:posOffset>
                </wp:positionV>
                <wp:extent cx="2995295" cy="635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5295" cy="635"/>
                        </a:xfrm>
                        <a:prstGeom prst="line">
                          <a:avLst/>
                        </a:prstGeom>
                        <a:ln w="9525" cap="sq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05pt;margin-top:24.15pt;height:0.05pt;width:235.85pt;z-index:251663360;mso-width-relative:page;mso-height-relative:page;" filled="f" stroked="t" coordsize="21600,21600" o:gfxdata="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ET+ib2gAAAAkBAAAPAAAAAAAAAAEAIAAAACIAAABkcnMvZG93bnJldi54bWxQ&#10;SwECFAAUAAAACACHTuJAP5Q0dfUBAADnAwAADgAAAAAAAAABACAAAAApAQAAZHJzL2Uyb0RvYy54&#10;bWxQSwUGAAAAAAYABgBZAQAAkAUAAAAA&#10;">
                <v:fill on="f" focussize="0,0"/>
                <v:stroke color="#000000" joinstyle="round" dashstyle="1 1" endcap="square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>六、风险分析                                         31</w:t>
      </w:r>
    </w:p>
    <w:p w14:paraId="19E9738B">
      <w:pPr>
        <w:rPr>
          <w:rFonts w:hint="eastAsia" w:ascii="Calibri" w:hAnsi="Calibri" w:eastAsia="宋体" w:cs="Times New Roman"/>
          <w:sz w:val="30"/>
          <w:szCs w:val="30"/>
          <w:lang w:val="en-US" w:eastAsia="zh-CN"/>
        </w:rPr>
      </w:pPr>
      <w:r>
        <w:rPr>
          <w:rFonts w:hint="default" w:ascii="Calibri" w:hAnsi="Calibri" w:eastAsia="宋体" w:cs="Times New Roman"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1573530</wp:posOffset>
                </wp:positionH>
                <wp:positionV relativeFrom="paragraph">
                  <wp:posOffset>292100</wp:posOffset>
                </wp:positionV>
                <wp:extent cx="3037205" cy="10160"/>
                <wp:effectExtent l="5080" t="5080" r="5715" b="1016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7205" cy="10160"/>
                        </a:xfrm>
                        <a:prstGeom prst="line">
                          <a:avLst/>
                        </a:prstGeom>
                        <a:ln w="9525" cap="sq" cmpd="sng">
                          <a:solidFill>
                            <a:srgbClr val="000000"/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3.9pt;margin-top:23pt;height:0.8pt;width:239.15pt;z-index:251664384;mso-width-relative:page;mso-height-relative:page;" filled="f" stroked="t" coordsize="21600,21600" o:gfxdata="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WBrE3aAAAACQEAAA8AAAAAAAAAAQAgAAAAIgAAAGRy&#10;cy9kb3ducmV2LnhtbFBLAQIUABQAAAAIAIdO4kCNPbFTAwIAAPEDAAAOAAAAAAAAAAEAIAAAACkB&#10;AABkcnMvZTJvRG9jLnhtbFBLBQYAAAAABgAGAFkBAACeBQAAAAA=&#10;">
                <v:fill on="f" focussize="0,0"/>
                <v:stroke color="#000000" joinstyle="round" dashstyle="1 1" endcap="square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Calibri" w:hAnsi="Calibri" w:eastAsia="宋体" w:cs="Times New Roman"/>
          <w:sz w:val="30"/>
          <w:szCs w:val="30"/>
          <w:lang w:val="en-US" w:eastAsia="zh-CN"/>
        </w:rPr>
        <w:t xml:space="preserve">七、附录                                             35 </w:t>
      </w:r>
    </w:p>
    <w:p w14:paraId="2253FE93">
      <w:pPr>
        <w:widowControl w:val="0"/>
        <w:spacing w:line="480" w:lineRule="auto"/>
        <w:jc w:val="center"/>
        <w:rPr>
          <w:rFonts w:ascii="Times New Roman" w:hAnsi="Times New Roman" w:eastAsia="宋体" w:cs="Times New Roman"/>
          <w:kern w:val="2"/>
          <w:sz w:val="30"/>
          <w:szCs w:val="30"/>
          <w:lang w:val="en-US" w:eastAsia="zh-CN" w:bidi="ar-SA"/>
        </w:rPr>
      </w:pPr>
    </w:p>
    <w:p w14:paraId="3261A432">
      <w:pPr>
        <w:widowControl w:val="0"/>
        <w:spacing w:line="480" w:lineRule="auto"/>
        <w:jc w:val="center"/>
        <w:rPr>
          <w:rFonts w:ascii="Times New Roman" w:hAnsi="Times New Roman" w:eastAsia="宋体" w:cs="Times New Roman"/>
          <w:kern w:val="2"/>
          <w:sz w:val="30"/>
          <w:szCs w:val="30"/>
          <w:lang w:val="en-US" w:eastAsia="zh-CN" w:bidi="ar-SA"/>
        </w:rPr>
      </w:pPr>
    </w:p>
    <w:p w14:paraId="1B4B7153">
      <w:pPr>
        <w:widowControl w:val="0"/>
        <w:spacing w:line="480" w:lineRule="auto"/>
        <w:jc w:val="both"/>
        <w:rPr>
          <w:rFonts w:hint="default" w:ascii="Times New Roman" w:hAnsi="Times New Roman" w:eastAsia="宋体" w:cs="Times New Roman"/>
          <w:color w:val="FF0000"/>
          <w:kern w:val="2"/>
          <w:sz w:val="30"/>
          <w:szCs w:val="30"/>
          <w:lang w:val="en-US" w:eastAsia="zh-CN" w:bidi="ar-SA"/>
        </w:rPr>
      </w:pPr>
    </w:p>
    <w:p w14:paraId="3EAAC27D">
      <w:pPr>
        <w:widowControl w:val="0"/>
        <w:spacing w:line="480" w:lineRule="auto"/>
        <w:jc w:val="center"/>
        <w:rPr>
          <w:rFonts w:hint="default" w:ascii="Times New Roman" w:hAnsi="Times New Roman" w:eastAsia="宋体" w:cs="Times New Roman"/>
          <w:kern w:val="2"/>
          <w:sz w:val="30"/>
          <w:szCs w:val="30"/>
          <w:lang w:val="en-US" w:eastAsia="zh-CN" w:bidi="ar-SA"/>
        </w:rPr>
      </w:pPr>
    </w:p>
    <w:p w14:paraId="08DDFDB4">
      <w:pPr>
        <w:widowControl w:val="0"/>
        <w:spacing w:line="480" w:lineRule="auto"/>
        <w:jc w:val="center"/>
        <w:rPr>
          <w:rFonts w:ascii="Times New Roman" w:hAnsi="Times New Roman" w:eastAsia="宋体" w:cs="Times New Roman"/>
          <w:kern w:val="2"/>
          <w:sz w:val="30"/>
          <w:szCs w:val="30"/>
          <w:lang w:val="en-US" w:eastAsia="zh-CN" w:bidi="ar-SA"/>
        </w:rPr>
      </w:pPr>
    </w:p>
    <w:p w14:paraId="39B39334">
      <w:pPr>
        <w:widowControl w:val="0"/>
        <w:spacing w:line="480" w:lineRule="auto"/>
        <w:jc w:val="both"/>
        <w:rPr>
          <w:rFonts w:ascii="Times New Roman" w:hAnsi="Times New Roman" w:eastAsia="宋体" w:cs="Times New Roman"/>
          <w:kern w:val="2"/>
          <w:sz w:val="30"/>
          <w:szCs w:val="30"/>
          <w:lang w:val="en-US" w:eastAsia="zh-CN" w:bidi="ar-SA"/>
        </w:rPr>
      </w:pPr>
    </w:p>
    <w:p w14:paraId="0740549C">
      <w:pPr>
        <w:spacing w:line="480" w:lineRule="auto"/>
        <w:rPr>
          <w:rFonts w:ascii="华文中宋" w:hAnsi="华文中宋" w:eastAsia="楷体_GB2312"/>
          <w:sz w:val="30"/>
          <w:szCs w:val="30"/>
        </w:rPr>
        <w:sectPr>
          <w:headerReference r:id="rId4" w:type="default"/>
          <w:footerReference r:id="rId5" w:type="default"/>
          <w:pgSz w:w="11906" w:h="16838"/>
          <w:pgMar w:top="1417" w:right="1417" w:bottom="1134" w:left="1417" w:header="851" w:footer="992" w:gutter="0"/>
          <w:pgNumType w:fmt="upperRoman" w:start="1"/>
          <w:cols w:space="720" w:num="1"/>
          <w:rtlGutter w:val="0"/>
          <w:docGrid w:type="lines" w:linePitch="312" w:charSpace="0"/>
        </w:sectPr>
      </w:pPr>
      <w:bookmarkStart w:id="1" w:name="_GoBack"/>
      <w:bookmarkEnd w:id="1"/>
    </w:p>
    <w:p w14:paraId="17D3FF3D">
      <w:pPr>
        <w:ind w:left="2520" w:leftChars="0" w:firstLine="420" w:firstLineChars="0"/>
        <w:rPr>
          <w:rFonts w:hint="eastAsia" w:asciiTheme="majorEastAsia" w:hAnsiTheme="majorEastAsia" w:eastAsiaTheme="majorEastAsia" w:cstheme="majorEastAsia"/>
          <w:b/>
          <w:bCs/>
          <w:sz w:val="32"/>
          <w:szCs w:val="32"/>
        </w:rPr>
      </w:pPr>
      <w:r>
        <w:rPr>
          <w:rFonts w:ascii="华文中宋" w:hAnsi="华文中宋" w:eastAsia="楷体_GB2312" w:cs="Times New Roman"/>
          <w:sz w:val="30"/>
          <w:szCs w:val="30"/>
        </w:rPr>
        <w:fldChar w:fldCharType="end"/>
      </w:r>
      <w:r>
        <w:rPr>
          <w:rFonts w:hint="eastAsia" w:asciiTheme="majorEastAsia" w:hAnsiTheme="majorEastAsia" w:eastAsiaTheme="majorEastAsia" w:cstheme="majorEastAsia"/>
          <w:b/>
          <w:bCs/>
          <w:sz w:val="32"/>
          <w:szCs w:val="32"/>
          <w:lang w:val="en-US" w:eastAsia="zh-CN"/>
        </w:rPr>
        <w:t>一、项目摘要</w:t>
      </w:r>
    </w:p>
    <w:p w14:paraId="50F3D574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一、公司概况</w:t>
      </w:r>
    </w:p>
    <w:p w14:paraId="437EA86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公司介绍及产品 / 服务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：</w:t>
      </w:r>
    </w:p>
    <w:p w14:paraId="5DD53FA3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宠爱小铺是一家聚焦宠物全生命周期服务的综合性宠物服务机构，核心业务涵盖宠物美容造型（含定制化设计）、开放式 / 笼养式寄养、国内外疫苗防疫、宠物用品销售及宠物售卖五大板块。依托 “私人定制 + 一条龙服务” 模式，为宠物提供从外观造型、健康防护到专属标识制作的全链条服务，配备专业美容师、持证兽医及 24 小时看护团队，门店设有温度湿度控制系统、空气净化器及紫外线杀毒设备，打造安全舒适的服务环境。</w:t>
      </w:r>
    </w:p>
    <w:p w14:paraId="127FAB78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市场概况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：</w:t>
      </w:r>
    </w:p>
    <w:p w14:paraId="34B78A6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中国宠物经济市场规模持续高速增长，2023 年达 5928 亿元，预计 2025 年突破 8114 亿元，年复合增长率 25.4%。其中宠物医疗服务占比 28%，美容、寄养等服务类消费占比从 2020 年 38% 升至 2025 年 53%，下沉市场增速达 35%，市场需求旺盛。本项目初期聚焦通州区社区及高档小区，精准覆盖养宠家庭、独居老人、年轻上班族等核心客群，目标打造区域标杆品牌。</w:t>
      </w:r>
    </w:p>
    <w:p w14:paraId="3E9B7F9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营销策略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：</w:t>
      </w:r>
    </w:p>
    <w:p w14:paraId="17520390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“线上 + 线下” 联动推广模式，线上通过短视频平台信息流、搜索引擎优化、社交媒体矩阵（微信公众号、微博）引流；线下开展异业联盟（与保险公司合作）、社区电梯广告、公交站台广告投放及熟人推介激励，构建多渠道获客网络。</w:t>
      </w:r>
    </w:p>
    <w:p w14:paraId="38A69E2E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生产销售管理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：</w:t>
      </w:r>
    </w:p>
    <w:p w14:paraId="66491984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建立标准化服务流程，美容服务按体型、品种分级定价，寄养服务分场景差异化收费，实行会员制（消费 8 折优惠）及套餐优惠策略；供应链方面对接 2-3 家优质供应商，确保疫苗、用品正品保障，库存保持 15 天安全储备；门店实行 “店长 + 专业技术岗 + 运营岗” 的分工体系，每日开展服务质量巡检与客户回访。</w:t>
      </w:r>
    </w:p>
    <w:p w14:paraId="5846780C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财务预测和投资回报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：</w:t>
      </w:r>
    </w:p>
    <w:p w14:paraId="73D68A6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项目启动资金 10 万元，按 “六三一比例” 配置（六成开办成本、三成营运费用、一成紧急准备金）。预计首月营业收入 7.07 万元，年营业收入 84.85 万元，税后年净利润 22.95 万元；前三年净利润分别达 33.9 万元、45.5 万元、48.4 万元，投资回收期约 3 个月，盈利能力稳步提升。</w:t>
      </w:r>
    </w:p>
    <w:p w14:paraId="477FAD18">
      <w:p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二、注册资金</w:t>
      </w:r>
    </w:p>
    <w:p w14:paraId="750B10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本项目注册资金设定为 10 万元，资金来源为合伙人共同出资（含部分贷款）。该金额经精准核算，可覆盖店面租赁、装修、设备采购、首批备货、人员培训及初期推广等全部开办成本，同时预留 3 万元营运费用及 1 万元紧急准备金，符合小型宠物服务机构启动资金合理区间，既能保障项目顺利落地，又能应对初期运营风险。</w:t>
      </w:r>
    </w:p>
    <w:p w14:paraId="33CFAE7A">
      <w:pPr>
        <w:numPr>
          <w:ilvl w:val="0"/>
          <w:numId w:val="1"/>
        </w:numPr>
        <w:spacing w:before="260" w:after="120" w:line="288" w:lineRule="auto"/>
        <w:ind w:left="0"/>
        <w:jc w:val="left"/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商业模式</w:t>
      </w:r>
    </w:p>
    <w:p w14:paraId="68C36DF3">
      <w:pPr>
        <w:numPr>
          <w:ilvl w:val="0"/>
          <w:numId w:val="0"/>
        </w:numPr>
        <w:spacing w:before="260" w:after="120" w:line="288" w:lineRule="auto"/>
        <w:jc w:val="left"/>
        <w:outlineLvl w:val="3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项目采用 “线上平台 + 线下门店” 的轻资产运营模式，通过三大路径实现盈利：一是核心服务盈利，美容、寄养、防疫服务按标准化定价收取费用，会员消费与套餐销售提升复购率；二是用品销售盈利，通过批量采购宠物食品、药品、玩具等产品，赚取进销差价；三是增值服务盈利，未来将拓展宠物训练、健康体检、宠物保险代办等衍生业务。依托区域客群沉淀，逐步从单店运营向连锁扩张转型，最终形成 “服务 + 产品 + 增值业务” 的多元化盈利体系。</w:t>
      </w:r>
    </w:p>
    <w:p w14:paraId="3048FB37">
      <w:pPr>
        <w:pStyle w:val="3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二、业务描述</w:t>
      </w:r>
    </w:p>
    <w:p w14:paraId="5C3E3A3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（一）企业宗旨</w:t>
      </w:r>
    </w:p>
    <w:p w14:paraId="1901EC91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宠爱小铺以 “让每一只宠物享受专业呵护，让每一位主人感受安心服务” 为核心宗旨，聚焦宠物全生命周期需求，通过 “私人定制 + 一条龙服务” 模式，提供涵盖美容造型、健康防疫、寄养照料、用品供应及宠物售卖的综合性服务，致力于成为区域内值得信赖的宠物服务标杆品牌，用专业、安全、贴心的服务，传递人与宠物之间的温暖羁绊。</w:t>
      </w:r>
    </w:p>
    <w:p w14:paraId="4C366AE5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（二）商机分析</w:t>
      </w:r>
    </w:p>
    <w:p w14:paraId="0FE8336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当前宠物经济进入高速增长期，据毕马威数据显示，2023 年中国宠物经济市场规模达 5928 亿元，预计 2025 年将突破 8114 亿元，年复合增长率 25.4%。其中服务类消费占比持续提升，宠物美容、寄养、防疫等服务需求旺盛。通州区内养宠家庭超 3 万户，年轻上班族、独居老人等核心客群占比 65%，但专业宠物服务机构仅 3 家，供给缺口明显。周边小区 80% 的养宠家庭每月至少产生 1 次美容或寄养需求，60% 的宠物主人愿意为定制化服务支付溢价，为项目提供了广阔的市场空间与盈利机会。</w:t>
      </w:r>
    </w:p>
    <w:p w14:paraId="4FCD6162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（三）行业分析</w:t>
      </w:r>
    </w:p>
    <w:p w14:paraId="0D4443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中国宠物服务行业已从初级萌芽迈入规范化发展阶段，服务品类向医疗、寄养、训练等多元化拓展，连锁品牌与专业化机构成为市场主流。行业呈现服务标准化、消费高端化、场景智能化趋势，消费者对服务专业性、安全性要求显著提升。202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5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 xml:space="preserve"> 年宠物医疗服务市场规模达 1659 亿元，美容寄养市场规模超 1800 亿元，未来三年仍将保持 20% 以上增速，下沉市场增速达 35%，成为新增长极。居民可支配收入提升推动消费升级，《动物防疫法》等政策倒逼行业规范化，养宠观念转变、年轻消费群体崛起、服务场景延伸成为行业核心驱动因素。</w:t>
      </w:r>
    </w:p>
    <w:p w14:paraId="516F76F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（四）主要业务与阶段战略</w:t>
      </w:r>
    </w:p>
    <w:p w14:paraId="74AC906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主要业务</w:t>
      </w:r>
    </w:p>
    <w:p w14:paraId="666BAE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核心服务：宠物美容造型（全套 / 单项）、开放式 / 笼养式寄养、国内外疫苗防疫</w:t>
      </w:r>
    </w:p>
    <w:p w14:paraId="446B0D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配套业务：宠物用品销售（食品、药品、玩具、服饰等）、宠物售卖</w:t>
      </w:r>
    </w:p>
    <w:p w14:paraId="3A066D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增值业务：宠物专属标识制作、健康咨询、节日主题服务，后续将拓展训练、保险代办等衍生服务</w:t>
      </w:r>
    </w:p>
    <w:p w14:paraId="52B64E9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阶段战略</w:t>
      </w:r>
    </w:p>
    <w:p w14:paraId="215DB10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短期（1-2 年）：聚焦通州区核心社区，打磨服务标准化流程，建立客户口碑，实现会员规模超 500 人，占据区域 15% 以上市场份额</w:t>
      </w:r>
    </w:p>
    <w:p w14:paraId="11C0EE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中期（3-4 年）：拓展至通州区高档小区，新增 1-2 家分店，丰富增值服务品类，打造区域连锁品牌，会员规模突破 1500 人</w:t>
      </w:r>
    </w:p>
    <w:p w14:paraId="0023FA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长期（5 年以上）：向北京市其他区域扩张，形成 “服务 + 产品 + IP” 的多元化运营模式，成为国内知名宠物服务连锁品牌</w:t>
      </w:r>
    </w:p>
    <w:p w14:paraId="43AE13E5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（五）生产经营计划</w:t>
      </w:r>
    </w:p>
    <w:p w14:paraId="7CCC22E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1. 供应链管理</w:t>
      </w:r>
    </w:p>
    <w:p w14:paraId="1C0DED9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原料采购：宠物疫苗、食品、用品等核心产品对接 2-3 家优质供应商，包括国内知名宠物用品品牌、正规疫苗代理商，签订长期合作协议，确保正品保障与稳定供货</w:t>
      </w:r>
    </w:p>
    <w:p w14:paraId="4B33A7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库存管理：实行 “15 天安全库存” 制度，常用用品保持充足备货，疫苗等特殊产品严格把控保质期，每月进行库存盘点与滞销品清理</w:t>
      </w:r>
    </w:p>
    <w:p w14:paraId="1CBC724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 生产技术能力</w:t>
      </w:r>
    </w:p>
    <w:p w14:paraId="670C3E0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服务团队：宠物医生持执业兽医资格证，美容师经专业培训上岗，所有服务人员均接受动物行为学、应急处理等专项培训</w:t>
      </w:r>
    </w:p>
    <w:p w14:paraId="29C9FD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技术标准：制定《宠物美容服务规范》《寄养照料操作手册》《疫苗接种流程》等标准化文件，确保服务质量统一</w:t>
      </w:r>
    </w:p>
    <w:p w14:paraId="53A9ECB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3. 品质控制与质量改进</w:t>
      </w:r>
    </w:p>
    <w:p w14:paraId="154956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服务前：对寄养 / 美容宠物进行健康检查，签订服务协议，明确权责</w:t>
      </w:r>
    </w:p>
    <w:p w14:paraId="5E7D07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服务中：寄养区域每日 3 次消毒，美容过程全程监控，疫苗接种留存溯源记录</w:t>
      </w:r>
    </w:p>
    <w:p w14:paraId="233D97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服务后：24 小时内完成客户回访，收集反馈并持续优化服务流程，客户满意度目标保持在 95% 以上</w:t>
      </w:r>
    </w:p>
    <w:p w14:paraId="1F76E66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4. 核心设备配置</w:t>
      </w:r>
    </w:p>
    <w:p w14:paraId="07D47F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美容设备：升降式美容台、专业剪毛工具套装、烘干箱、大功率吹风机</w:t>
      </w:r>
    </w:p>
    <w:p w14:paraId="1D650A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寄养设备：温度湿度控制系统、空气净化器、紫外线杀毒机、开放式寄养围栏、笼养专用笼具</w:t>
      </w:r>
    </w:p>
    <w:p w14:paraId="3415ED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防疫设备：疫苗冷藏箱、体温计、消毒设备、急救包等</w:t>
      </w:r>
    </w:p>
    <w:p w14:paraId="50F1152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5. 生产工艺流程</w:t>
      </w:r>
    </w:p>
    <w:p w14:paraId="76C3E3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美容服务：咨询需求 — 健康检查 — 洗浴清洁 — 毛发梳理 — 造型设计 — 吹干护理 — 客户验收</w:t>
      </w:r>
    </w:p>
    <w:p w14:paraId="3F85279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寄养服务：健康评估 — 签订协议 — 环境适应 — 日常照料（喂食、遛弯、互动）— 健康监测 — 清洁消毒 — 主人接领</w:t>
      </w:r>
    </w:p>
    <w:p w14:paraId="2013D9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疫苗防疫：健康筛查 — 告知风险 — 疫苗接种 — 留观 30 分钟 — 接种记录存档 — 后续免疫提醒</w:t>
      </w:r>
    </w:p>
    <w:p w14:paraId="34B3E25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6. 经济分析</w:t>
      </w:r>
    </w:p>
    <w:p w14:paraId="62B491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成本结构：原材料成本占服务收入的 10%-15%，人工成本占比 30%-35%，租金成本占比 12%-15%，成本控制能力较强</w:t>
      </w:r>
    </w:p>
    <w:p w14:paraId="38AD47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盈利空间：核心服务毛利率达 60%-70%，用品销售毛利率达 35%-45%，随着规模扩大与复购率提升，盈利能力将持续增强</w:t>
      </w:r>
    </w:p>
    <w:bookmarkEnd w:id="0"/>
    <w:p w14:paraId="29EE67B7"/>
    <w:p w14:paraId="61D575B5">
      <w:pPr>
        <w:pStyle w:val="3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三、市场营销</w:t>
      </w:r>
    </w:p>
    <w:p w14:paraId="17B7B4E6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（一）行业发展现状</w:t>
      </w:r>
    </w:p>
    <w:p w14:paraId="4ABE1742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中国宠物经济已从早期单一的宠物售卖模式，全面迈入 “服务 + 产品 + 情感消费” 深度融合的规模化增长阶段。随着居民养宠观念从 “工具型养宠” 向 “伴侣型养宠” 转变，宠物逐渐成为家庭重要成员，带动消费需求从基础生存保障向多元化、高品质服务延伸。宠物服务行业作为宠物经济的核心细分领域，近年来在政策规范、消费升级、技术赋能的多重驱动下，规范化、专业化程度持续提升，成为拉动行业增长的核心引擎。</w:t>
      </w:r>
    </w:p>
    <w:p w14:paraId="68037734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行业供给端正经历结构性升级，传统 “小作坊式” 宠物服务机构因缺乏标准、安全隐患突出、服务质量不稳定等问题，市场份额持续萎缩；而具备标准化服务流程、完善安全保障体系、品牌化运营能力的连锁品牌与专业机构，凭借可复制的服务模式、透明的定价机制、系统化的售后保障，逐渐占据市场主导地位。同时，《动物防疫法》《宠物诊疗机构管理办法》等政策的落地实施，进一步抬高行业准入门槛，无证经营、服务不达标、防疫措施不完善的机构加速被市场淘汰，行业集中度逐步提升。</w:t>
      </w:r>
    </w:p>
    <w:p w14:paraId="1A0B929F">
      <w:p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服务品类持续丰富迭代，形成覆盖宠物全生命周期的多元化服务矩阵。除传统的宠物美容、寄养服务外，面向宠物健康的疫苗防疫、健康体检、疾病诊疗、老年宠物护理等服务需求快速增长；面向宠物情感需求的定制化美容、宠物训练、宠物摄影、节日主题活动等增值服务备受青睐；面向宠主便捷性需求的上门照料、夜间寄养、紧急救援等特色服务也逐渐兴起，服务场景从线下门店向家庭延伸，全方位贴合宠主与宠物的多样化需求。</w:t>
      </w:r>
    </w:p>
    <w:p w14:paraId="138999D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（二）市场规模与增长趋势</w:t>
      </w:r>
    </w:p>
    <w:p w14:paraId="3463CABB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整体市场呈现高速增长态势，据毕马威发布的《中国宠物经济产业发展报告》显示，2023 年中国宠物经济市场规模已达 5928 亿元，较 2022 年增长 23.1%；预计 2024 年市场规模将突破 7000 亿元，2025 年进一步突破 8114 亿元，2021-2025 年期间年复合增长率高达 25.4%。这一增长速度远超同期社会消费品零售总额平均增速，反映出宠物经济已成为消费升级背景下的新兴增长赛道，市场活力与发展潜力显著。</w:t>
      </w:r>
    </w:p>
    <w:p w14:paraId="01D4F1AE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细分市场中，宠物服务类消费占比持续提升，成为拉动整体市场增长的核心动力。2020 年宠物服务类消费占宠物经济整体市场的比例为 38%，随着服务品类的丰富与宠主付费意愿的提升，这一比例预计 2025 年将升至 53%。其中，宠物美容寄养市场规模 2023 年已超 1800 亿元，预计未来三年年均增速保持在 22% 以上，2025 年将突破 2500 亿元；宠物医疗服务市场规模 2023 年达 1659 亿元，受益于宠主健康意识提升与宠物老龄化趋势，未来三年增速将维持在 20%-25% 区间，2025 年有望达到 2400 亿元，两大细分领域共同构成宠物服务行业的核心增长极。</w:t>
      </w:r>
    </w:p>
    <w:p w14:paraId="77DD087E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区域市场呈现 “一二线城市稳增长，下沉市场高爆发” 的格局。一线城市宠物经济发展成熟，市场渗透率高，增速保持在 18%-20%；三线及以下城市凭借居民可支配收入提升、养宠观念普及、消费场景完善等优势，成为新增长极，宠物服务消费增速高达 35%，远超行业平均水平。作为北京城市副中心，通州区近年来人口导入速度加快，城市配套持续完善，养宠家庭数量年均增长 12%，目前已超 3 万户，但专业宠物服务机构布局不足，服务供给与市场需求存在明显差距，市场潜力尚未充分释放，为项目落地提供了优质的区域土壤。</w:t>
      </w:r>
    </w:p>
    <w:p w14:paraId="49A46BD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（三）目标市场定位</w:t>
      </w:r>
    </w:p>
    <w:p w14:paraId="1431D9ED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核心区域聚焦北京市通州区核心社区、高档小区及周边商业圈，具体覆盖新华街道、玉桥街道、潞邑街道等养宠密集区域，以门店为中心辐射 3 公里范围。该区域内小区入住率高，养宠家庭密度大，且周边商业配套完善、交通便捷，便于宠主到店消费；同时，区域内年轻群体与中高端家庭占比高，消费能力较强，对专业宠物服务的接受度与付费意愿突出，能够快速支撑项目初期运营与口碑积累。</w:t>
      </w:r>
    </w:p>
    <w:p w14:paraId="72E527BC">
      <w:pPr>
        <w:rPr>
          <w:rFonts w:hint="eastAsia"/>
          <w:b/>
          <w:bCs/>
          <w:sz w:val="28"/>
          <w:szCs w:val="28"/>
        </w:rPr>
      </w:pPr>
    </w:p>
    <w:p w14:paraId="4B052FEC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核心客群精准锁定三类群体，具体特征与需求如下：</w:t>
      </w:r>
    </w:p>
    <w:p w14:paraId="08D7A7F5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年轻上班族（25-35 岁）：这一群体是养宠主力军，占养宠人群的 45%，以单身或新婚家庭为主，养宠意愿强，多选择猫、小型犬等伴侣型宠物。由于工作节奏快、时间精力有限，他们普遍面临 “上班期间宠物无人照料”“节假日寄养难”“没时间带宠物美容” 等问题，对寄养、上门喂食、错峰美容等便捷性服务需求迫切，且注重服务效率与专业性，愿意为高品质服务支付 10%-30% 的溢价。</w:t>
      </w:r>
    </w:p>
    <w:p w14:paraId="7F8C9B1E">
      <w:pPr>
        <w:ind w:firstLine="420"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独居老人：占养宠人群的 20%，多将宠物视为情感陪伴，宠物在其生活中占据重要地位。这类客群更关注宠物的健康状况，对疫苗防疫、日常体检、基础护理等服务需求稳定，消费频次高，但对服务价格敏感度较高，注重服务的性价比与便利性，偏好距离近、服务流程简单、工作人员耐心负责的机构。</w:t>
      </w:r>
    </w:p>
    <w:p w14:paraId="5B169996">
      <w:pPr>
        <w:ind w:firstLine="420" w:firstLineChars="0"/>
        <w:rPr>
          <w:rFonts w:hint="eastAsia"/>
        </w:rPr>
      </w:pPr>
      <w:r>
        <w:rPr>
          <w:rFonts w:hint="eastAsia"/>
          <w:sz w:val="28"/>
          <w:szCs w:val="28"/>
        </w:rPr>
        <w:t>中高端养宠家庭：占养宠人群的 35%，家庭收入水平较高，消费能力强，养宠理念先进，注重宠物的生活品质与个性化体验。他们不仅有基础的美容、寄养需求，还对定制化美容造型、高端寄养（如独立单间、24 小时看护、实时视频反馈）、宠物健康管理、宠物训练等增值服务接受度高，愿意为宠物的专属体验与安全保障支付更高费用，是高端服务与增值业务的核心目标客群。</w:t>
      </w:r>
    </w:p>
    <w:p w14:paraId="5F39E2D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竞争对手劣势：</w:t>
      </w:r>
    </w:p>
    <w:p w14:paraId="03AC1EA1"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服务标准方面：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很多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机构均未建立统一的服务流程与质量标准，美容效果依赖技师个人水平，存在 “同一宠物不同时间美容效果不一致” 的问题；寄养服务缺乏规范的健康筛查与消毒流程，部分客户反馈宠物寄养后出现皮肤问题或交叉感染情况。</w:t>
      </w:r>
    </w:p>
    <w:p w14:paraId="59C4CE7F"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供应链方面：均采用小规模零散采购模式，宠物用品品类有限（多为 10-15 个品牌），且采购成本较高，导致用品销售价格偏高，缺乏市场竞争力；疫苗、药品等核心产品的供应商不稳定，存在断货风险。</w:t>
      </w:r>
    </w:p>
    <w:p w14:paraId="57B25322"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客户运营方面：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很多未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建立完善的会员体系，客户管理较为粗放，缺乏针对性的回访与维护机制，客户粘性较低，老客户流失率约 25%；线上推广渠道单一，仅依赖微信朋友圈与大众点评，获客能力有限。</w:t>
      </w:r>
    </w:p>
    <w:p w14:paraId="34D36FC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项目竞争优势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：</w:t>
      </w:r>
    </w:p>
    <w:p w14:paraId="286D4931"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服务体系优势：项目打造 “全链条综合服务” 模式，覆盖美容、寄养、防疫、用品销售、增值服务等多个品类，能够满足宠主的一站式需求，避免客户跨机构对接的麻烦，提升消费体验。</w:t>
      </w:r>
    </w:p>
    <w:p w14:paraId="58C0059C"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标准化优势：建立完善的服务流程标准与质量控制体系，从宠物到店评估、服务过程执行到售后反馈，每个环节均有明确规范，确保服务质量稳定统一；同时制定严格的消毒防疫流程，消除宠主对安全问题的顾虑。</w:t>
      </w:r>
    </w:p>
    <w:p w14:paraId="4BD47C4D"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性价比优势：通过批量采购、整合优质供应商资源，降低用品采购成本与服务运营成本，在保证服务质量的前提下，定价较现有机构低 5%-10%，同时推出会员套餐、充值优惠等活动，提升性价比优势。</w:t>
      </w:r>
    </w:p>
    <w:p w14:paraId="3F19DE9E">
      <w:pPr>
        <w:pStyle w:val="3"/>
        <w:keepNext w:val="0"/>
        <w:keepLines w:val="0"/>
        <w:widowControl/>
        <w:suppressLineNumbers w:val="0"/>
        <w:ind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  <w:t>推广优势：采用 “线上 + 线下” 联动推广模式，线上覆盖短视频平台、社交媒体、本地生活平台，线下深入社区、异业合作、熟人推荐，多渠道获客，快速提升品牌知名度与市场覆盖率，填补区域服务供给缺口。</w:t>
      </w:r>
    </w:p>
    <w:p w14:paraId="5641654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（五）市场机会与需求痛点</w:t>
      </w:r>
    </w:p>
    <w:p w14:paraId="26FB1E3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供给缺口机会：</w:t>
      </w:r>
    </w:p>
    <w:p w14:paraId="75E77A7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通州区养宠家庭超 3 万户，核心客群占比 65%，按每户年均宠物服务消费 3000 元计算，区域宠物服务市场规模超 9000 万元。而现有 3 家机构年营业额合计约 2800 万元，仅能满足 30% 左右的市场需求，市场供给存在明显缺口。据调研，80% 的养宠家庭曾遇到 “美容排队时间长（平均需预约 3-5 天）”“节假日寄养名额紧张（春节、国庆等节点提前 1 个月仍难订到）”“防疫服务不便捷（需前往远郊宠物医院）” 等问题，供需失衡为项目提供了广阔的市场空间。</w:t>
      </w:r>
    </w:p>
    <w:p w14:paraId="6A2D0EE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消费升级机会：</w:t>
      </w:r>
    </w:p>
    <w:p w14:paraId="342554D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随着宠主养宠观念的升级，消费需求从 “有没有” 向 “好不好” 转变，对服务的专业性、安全性、个性化提出了更高要求。调研数据显示，60% 的宠物主人愿意为定制化服务、安全保障措施完善的机构支付 10%-30% 的溢价；75% 的宠主在选择服务机构时，将 “服务人员专业资质”“环境消毒情况”“售后保障” 列为首要考虑因素，而现有机构在这些方面存在明显短板，高端化、个性化、安全化的服务供给不足，形成了显著的市场机会。</w:t>
      </w:r>
    </w:p>
    <w:p w14:paraId="086B84C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核心需求痛点：</w:t>
      </w:r>
    </w:p>
    <w:p w14:paraId="2B3FBB7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便捷性痛点：传统机构服务时间多为 9:00-19:00，与上班族工作时间重叠，无法满足 “早 8 点前送宠、晚 7 点后接宠” 的错峰需求；预约流程繁琐，多需电话沟通或到店预约，缺乏线上快速预约渠道；部分机构距离核心社区较远，宠主带宠物到店需花费 30 分钟以上路程，时间成本较高。</w:t>
      </w:r>
    </w:p>
    <w:p w14:paraId="7D5BC29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安全性痛点：</w:t>
      </w:r>
    </w:p>
    <w:p w14:paraId="48A0C77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现有机构普遍存在消毒流程不规范（如每日仅消毒 1 次、消毒范围不全面）、宠物健康筛查不严格（寄养前未进行体温检测、疫苗接种记录核查）等问题，导致宠物交叉感染、意外受伤等情况时有发生；部分机构美容工具未做到一人一消毒，存在皮肤疾病传播风险，成为宠主核心顾虑。</w:t>
      </w:r>
    </w:p>
    <w:p w14:paraId="7A3225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综合性痛点：</w:t>
      </w:r>
    </w:p>
    <w:p w14:paraId="70EAD13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现有机构多专注于单一服务领域，如 “宠爱之家” 侧重美容，“宠物天地” 侧重医疗，养宠家庭若有美容、寄养、防疫等多项需求，需分别对接不同机构，不仅耗时耗力，还需重复提供宠物信息，服务体验不佳；同时，机构间缺乏信息互通，宠物的健康记录、服务偏好等数据无法共享，影响服务的连贯性与针对性。</w:t>
      </w:r>
    </w:p>
    <w:p w14:paraId="214B59D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痛点解决方案：</w:t>
      </w:r>
    </w:p>
    <w:p w14:paraId="04A023D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针对便捷性痛点：项目搭建线上预约平台（微信小程序、APP），支持 24 小时预约、服务时间自选、订单实时查询等功能，同时延长服务时间至 21:00，满足错峰服务需求；门店选址聚焦核心社区周边，确保 3 公里范围内宠主到店时间不超过 15 分钟，降低时间成本。</w:t>
      </w:r>
    </w:p>
    <w:p w14:paraId="2185154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针对安全性痛点：建立 “三重安全保障体系”，服务前对宠物进行全面健康筛查（体温、精神状态、疫苗接种情况核查），签订服务安全协议；服务中严格执行 “一宠一消毒” 制度，美容工具、寄养环境、公共区域每日消毒 3 次，配备实时监控系统，宠主可远程查看宠物状态；服务后提供健康反馈报告，若出现异常情况及时启动应急处理机制，确保宠物安全。</w:t>
      </w:r>
    </w:p>
    <w:p w14:paraId="5DE3102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8"/>
          <w:szCs w:val="28"/>
          <w:lang w:val="en-US" w:eastAsia="zh-CN" w:bidi="ar"/>
        </w:rPr>
        <w:t>针对综合性痛点：</w:t>
      </w:r>
    </w:p>
    <w:p w14:paraId="122956DA">
      <w:pPr>
        <w:keepNext w:val="0"/>
        <w:keepLines w:val="0"/>
        <w:widowControl/>
        <w:suppressLineNumbers w:val="0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打造 “一站式” 综合服务体系，整合美容、寄养、防疫、用品销售、增值服务等全品类业务，宠主可在同一机构满足多重需求；建立客户与宠物专属档案，记录宠物健康状况、服务偏好、消费记录等信息，实现服务的个性化与连贯性，提升消费体验与客户粘性。</w:t>
      </w:r>
    </w:p>
    <w:p w14:paraId="3A18FECB">
      <w:pPr>
        <w:pStyle w:val="3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四、创业团队</w:t>
      </w:r>
    </w:p>
    <w:p w14:paraId="6FBF96B0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（一）管理机构与组织架构</w:t>
      </w:r>
    </w:p>
    <w:p w14:paraId="6F8933F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公司采用扁平化管理架构，以 “高效协作、责任到人” 为核心管理原则，构建简洁清晰的组织体系：</w:t>
      </w:r>
    </w:p>
    <w:p w14:paraId="45917A6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核心决策层：由 5 名合伙人组成，负责公司战略规划、重大事项决策及资源整合；</w:t>
      </w:r>
    </w:p>
    <w:p w14:paraId="409CE02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职能执行层：设技术服务部、市场营销部、运营管理部、财务管控部四大部门，分别对接宠物服务落地、品牌推广、日常运营及资金管理工作；</w:t>
      </w:r>
    </w:p>
    <w:p w14:paraId="1150795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监督反馈层：指定专人负责服务质量巡检、客户反馈收集及部门协作协调，确保运营流程闭环。</w:t>
      </w:r>
    </w:p>
    <w:p w14:paraId="5E95DDF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各部门权责明确、协同联动，依托团队专业互补优势，保障公司高效运转。</w:t>
      </w:r>
    </w:p>
    <w:p w14:paraId="7E29112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（二）核心团队成员介绍</w:t>
      </w:r>
    </w:p>
    <w:p w14:paraId="12C6FC2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关键人物一：祝广林</w:t>
      </w:r>
    </w:p>
    <w:tbl>
      <w:tblPr>
        <w:tblStyle w:val="12"/>
        <w:tblW w:w="931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7310"/>
      </w:tblGrid>
      <w:tr w14:paraId="34FA8C6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61D9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</w:t>
            </w:r>
          </w:p>
        </w:tc>
        <w:tc>
          <w:tcPr>
            <w:tcW w:w="73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08B9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宠爱项目计划</w:t>
            </w:r>
          </w:p>
        </w:tc>
      </w:tr>
      <w:tr w14:paraId="3E1C29E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68F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73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6F68F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祝广林</w:t>
            </w:r>
          </w:p>
        </w:tc>
      </w:tr>
      <w:tr w14:paraId="6274F7C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DA5C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角色</w:t>
            </w:r>
          </w:p>
        </w:tc>
        <w:tc>
          <w:tcPr>
            <w:tcW w:w="73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F88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项目负责人 / 核心决策人</w:t>
            </w:r>
          </w:p>
        </w:tc>
      </w:tr>
      <w:tr w14:paraId="31DABB1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9FE0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专业职称</w:t>
            </w:r>
          </w:p>
        </w:tc>
        <w:tc>
          <w:tcPr>
            <w:tcW w:w="73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A018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无（在校大学生）</w:t>
            </w:r>
          </w:p>
        </w:tc>
      </w:tr>
      <w:tr w14:paraId="319D4CF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E2B7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任务</w:t>
            </w:r>
          </w:p>
        </w:tc>
        <w:tc>
          <w:tcPr>
            <w:tcW w:w="73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652A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统筹公司战略规划、风险管控、资源对接及重大事项决策，主导品牌定位与长期发展方向</w:t>
            </w:r>
          </w:p>
        </w:tc>
      </w:tr>
      <w:tr w14:paraId="7F4388C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FDD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专长</w:t>
            </w:r>
          </w:p>
        </w:tc>
        <w:tc>
          <w:tcPr>
            <w:tcW w:w="73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B837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具备较强的全局思维与战略眼光，擅长统筹协调、问题分析与风险预判，沟通表达能力突出，能够快速整合团队资源推进项目落地</w:t>
            </w:r>
          </w:p>
        </w:tc>
      </w:tr>
    </w:tbl>
    <w:p w14:paraId="2FF46AB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关键人物二：马云锋</w:t>
      </w:r>
    </w:p>
    <w:tbl>
      <w:tblPr>
        <w:tblStyle w:val="12"/>
        <w:tblW w:w="9422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7422"/>
      </w:tblGrid>
      <w:tr w14:paraId="3C81C45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59DA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</w:t>
            </w:r>
          </w:p>
        </w:tc>
        <w:tc>
          <w:tcPr>
            <w:tcW w:w="74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4708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宠爱项目计划</w:t>
            </w:r>
          </w:p>
        </w:tc>
      </w:tr>
      <w:tr w14:paraId="31843D9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8B2A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74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989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马云锋</w:t>
            </w:r>
          </w:p>
        </w:tc>
      </w:tr>
      <w:tr w14:paraId="43DDA94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1ABF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角色</w:t>
            </w:r>
          </w:p>
        </w:tc>
        <w:tc>
          <w:tcPr>
            <w:tcW w:w="74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34D84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技术服务部负责人</w:t>
            </w:r>
          </w:p>
        </w:tc>
      </w:tr>
      <w:tr w14:paraId="4C10EDC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5842A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专业职称</w:t>
            </w:r>
          </w:p>
        </w:tc>
        <w:tc>
          <w:tcPr>
            <w:tcW w:w="74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937E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无（在校大学生）</w:t>
            </w:r>
          </w:p>
        </w:tc>
      </w:tr>
      <w:tr w14:paraId="77101A6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6CC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任务</w:t>
            </w:r>
          </w:p>
        </w:tc>
        <w:tc>
          <w:tcPr>
            <w:tcW w:w="74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AAFC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主导宠物服务标准化落地，负责美容、寄养、防疫等核心服务流程设计与优化，管理服务团队培训与考核</w:t>
            </w:r>
          </w:p>
        </w:tc>
      </w:tr>
      <w:tr w14:paraId="0FF85D4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AFD5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专长</w:t>
            </w:r>
          </w:p>
        </w:tc>
        <w:tc>
          <w:tcPr>
            <w:tcW w:w="742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D8A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注重细节与流程规范，学习能力强，已系统掌握宠物美容基础技巧与防疫知识，擅长制定标准化操作手册并推动执行</w:t>
            </w:r>
          </w:p>
        </w:tc>
      </w:tr>
    </w:tbl>
    <w:p w14:paraId="385C67BB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关键人物三：饶睿峰</w:t>
      </w:r>
    </w:p>
    <w:tbl>
      <w:tblPr>
        <w:tblStyle w:val="12"/>
        <w:tblW w:w="9344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7344"/>
      </w:tblGrid>
      <w:tr w14:paraId="09C2EE9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7107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</w:t>
            </w:r>
          </w:p>
        </w:tc>
        <w:tc>
          <w:tcPr>
            <w:tcW w:w="734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FA43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宠爱项目计划</w:t>
            </w:r>
          </w:p>
        </w:tc>
      </w:tr>
      <w:tr w14:paraId="14FF931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5F57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734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C244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饶睿峰</w:t>
            </w:r>
          </w:p>
        </w:tc>
      </w:tr>
      <w:tr w14:paraId="3099C69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E286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角色</w:t>
            </w:r>
          </w:p>
        </w:tc>
        <w:tc>
          <w:tcPr>
            <w:tcW w:w="734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3416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市场营销部负责人</w:t>
            </w:r>
          </w:p>
        </w:tc>
      </w:tr>
      <w:tr w14:paraId="152288D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317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专业职称</w:t>
            </w:r>
          </w:p>
        </w:tc>
        <w:tc>
          <w:tcPr>
            <w:tcW w:w="734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A4452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无（在校大学生）</w:t>
            </w:r>
          </w:p>
        </w:tc>
      </w:tr>
      <w:tr w14:paraId="34BD8DB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591F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任务</w:t>
            </w:r>
          </w:p>
        </w:tc>
        <w:tc>
          <w:tcPr>
            <w:tcW w:w="734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0D544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负责品牌推广与营销策划，统筹线上线下推广渠道搭建、活动策划与执行，对接异业合作与客户引流工作</w:t>
            </w:r>
          </w:p>
        </w:tc>
      </w:tr>
      <w:tr w14:paraId="23AAFD4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06B8E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专长</w:t>
            </w:r>
          </w:p>
        </w:tc>
        <w:tc>
          <w:tcPr>
            <w:tcW w:w="7344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CB3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具备敏锐的市场洞察力与创意策划能力，熟悉短视频平台运营与本地推广逻辑，擅长整合资源开展多渠道营销</w:t>
            </w:r>
          </w:p>
        </w:tc>
      </w:tr>
    </w:tbl>
    <w:p w14:paraId="10015E7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关键人物四：杨杨</w:t>
      </w:r>
    </w:p>
    <w:tbl>
      <w:tblPr>
        <w:tblStyle w:val="12"/>
        <w:tblW w:w="9055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7055"/>
      </w:tblGrid>
      <w:tr w14:paraId="258B503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03CF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</w:t>
            </w:r>
          </w:p>
        </w:tc>
        <w:tc>
          <w:tcPr>
            <w:tcW w:w="7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9F25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宠爱项目计划</w:t>
            </w:r>
          </w:p>
        </w:tc>
      </w:tr>
      <w:tr w14:paraId="2FF8735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9602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7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37C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杨杨</w:t>
            </w:r>
          </w:p>
        </w:tc>
      </w:tr>
      <w:tr w14:paraId="5C18669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715D3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角色</w:t>
            </w:r>
          </w:p>
        </w:tc>
        <w:tc>
          <w:tcPr>
            <w:tcW w:w="7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8397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财务管控部负责人</w:t>
            </w:r>
          </w:p>
        </w:tc>
      </w:tr>
      <w:tr w14:paraId="3A6A42D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B06B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专业职称</w:t>
            </w:r>
          </w:p>
        </w:tc>
        <w:tc>
          <w:tcPr>
            <w:tcW w:w="7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4700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无（在校大学生）</w:t>
            </w:r>
          </w:p>
        </w:tc>
      </w:tr>
      <w:tr w14:paraId="0B6D9D1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B9D18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任务</w:t>
            </w:r>
          </w:p>
        </w:tc>
        <w:tc>
          <w:tcPr>
            <w:tcW w:w="7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0A42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负责公司财务规划、资金管理、成本核算与供应链对接，制定财务预算与盈利预测，管控采购成本与运营费用</w:t>
            </w:r>
          </w:p>
        </w:tc>
      </w:tr>
      <w:tr w14:paraId="66EF9AD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B5F74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专长</w:t>
            </w:r>
          </w:p>
        </w:tc>
        <w:tc>
          <w:tcPr>
            <w:tcW w:w="705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2DAE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具备扎实的财务基础知识，逻辑思维严谨，擅长数据核算与成本控制，能够精准对接供应商并优化采购流程</w:t>
            </w:r>
          </w:p>
        </w:tc>
      </w:tr>
    </w:tbl>
    <w:p w14:paraId="740CC45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关键人物五：王卓吕</w:t>
      </w:r>
    </w:p>
    <w:tbl>
      <w:tblPr>
        <w:tblStyle w:val="12"/>
        <w:tblW w:w="9033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7033"/>
      </w:tblGrid>
      <w:tr w14:paraId="3CC7862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865D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</w:t>
            </w:r>
          </w:p>
        </w:tc>
        <w:tc>
          <w:tcPr>
            <w:tcW w:w="70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AB04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宠爱项目计划</w:t>
            </w:r>
          </w:p>
        </w:tc>
      </w:tr>
      <w:tr w14:paraId="4D75500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71905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姓名</w:t>
            </w:r>
          </w:p>
        </w:tc>
        <w:tc>
          <w:tcPr>
            <w:tcW w:w="70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4A79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王卓吕</w:t>
            </w:r>
          </w:p>
        </w:tc>
      </w:tr>
      <w:tr w14:paraId="160CA40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7D4D8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角色</w:t>
            </w:r>
          </w:p>
        </w:tc>
        <w:tc>
          <w:tcPr>
            <w:tcW w:w="70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32F3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运营管理部负责人</w:t>
            </w:r>
          </w:p>
        </w:tc>
      </w:tr>
      <w:tr w14:paraId="5E0CEEC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CC4C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专业职称</w:t>
            </w:r>
          </w:p>
        </w:tc>
        <w:tc>
          <w:tcPr>
            <w:tcW w:w="70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B8D27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无（在校大学生）</w:t>
            </w:r>
          </w:p>
        </w:tc>
      </w:tr>
      <w:tr w14:paraId="4814C87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CB0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任务</w:t>
            </w:r>
          </w:p>
        </w:tc>
        <w:tc>
          <w:tcPr>
            <w:tcW w:w="70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C1E5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负责公司日常运营、客户关系管理、行政事务处理及团队协调，搭建客户档案体系与服务反馈机制</w:t>
            </w:r>
          </w:p>
        </w:tc>
      </w:tr>
      <w:tr w14:paraId="57BC6C9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6DE7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专长</w:t>
            </w:r>
          </w:p>
        </w:tc>
        <w:tc>
          <w:tcPr>
            <w:tcW w:w="703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1E95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细心负责、沟通能力强，擅长客户需求挖掘与关系维护，能够高效处理行政事务与团队协作问题</w:t>
            </w:r>
          </w:p>
        </w:tc>
      </w:tr>
    </w:tbl>
    <w:p w14:paraId="2048A614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（三）员工配置情况</w:t>
      </w:r>
    </w:p>
    <w:p w14:paraId="2CD7CD4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全职员工：5 人（核心团队成员均为全职投入项目运营）</w:t>
      </w:r>
    </w:p>
    <w:p w14:paraId="106B892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兼职员工：3 人（含宠物美容兼职技师 1 名、新媒体运营兼职 1 名、行政助理兼职 1 名）</w:t>
      </w:r>
    </w:p>
    <w:p w14:paraId="62A1E33B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（四）待补充关键职位</w:t>
      </w:r>
    </w:p>
    <w:p w14:paraId="022B8A7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目前暂无明确空缺的关键职位，后续随着项目规模扩大，计划新增 “宠物医疗专员”“连锁运营经理” 2 个关键岗位，将通过社会招聘与校园招聘结合的方式选拔合适人才。</w:t>
      </w:r>
    </w:p>
    <w:p w14:paraId="2CD4DBE2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（五）管理团队优势与不足</w:t>
      </w:r>
    </w:p>
    <w:p w14:paraId="36C6BBB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优势</w:t>
      </w:r>
    </w:p>
    <w:p w14:paraId="26CC441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专业互补：团队成员均为计算机科学与技术专业，具备扎实的逻辑思维与技术学习能力，同时分工覆盖决策、技术、营销、财务、运营五大核心板块，形成完整能力闭环；</w:t>
      </w:r>
    </w:p>
    <w:p w14:paraId="6FF676E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执行力强：团队年轻有活力，目标一致、凝聚力强，能够快速响应市场变化，高效推进项目落地，前期已完成市场调研、方案设计、资源对接等核心筹备工作；</w:t>
      </w:r>
    </w:p>
    <w:p w14:paraId="498081F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贴合市场：核心成员均为年轻群体，熟悉目标客群（尤其是 25-35 岁上班族）的消费习惯与需求痛点，便于精准制定产品与营销策略；</w:t>
      </w:r>
    </w:p>
    <w:p w14:paraId="6DF6D38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学习能力突出：具备快速学习新领域知识的能力，已通过培训、调研等方式掌握宠物服务行业核心常识与运营逻辑，为项目专业化运营奠定基础。</w:t>
      </w:r>
    </w:p>
    <w:p w14:paraId="0F068B11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不足</w:t>
      </w:r>
    </w:p>
    <w:p w14:paraId="5FBBB29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行业经验有限：团队成员均为在校大学生，缺乏宠物服务行业全职运营经验，对行业深层痛点与复杂问题的应对能力有待提升；</w:t>
      </w:r>
    </w:p>
    <w:p w14:paraId="7678808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资源积累不足：相较于成熟机构，团队在行业资源、人脉资源等方面积累较少，可能影响供应链议价、异业合作深度等；</w:t>
      </w:r>
    </w:p>
    <w:p w14:paraId="00AF90D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管理规模有限：目前仅具备小规模团队管理经验，未来面对连锁扩张后的团队规模与运营复杂度，管理能力需进一步提升。</w:t>
      </w:r>
    </w:p>
    <w:p w14:paraId="204AEC4B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（六）人才战略与激励制度</w:t>
      </w:r>
    </w:p>
    <w:p w14:paraId="5363ABDF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人才战略</w:t>
      </w:r>
    </w:p>
    <w:p w14:paraId="4E50D8F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内部培养：建立 “阶梯式人才培养体系”，为员工提供专业技能培训（如宠物美容进阶、营销技巧提升）、管理能力培训等，鼓励内部晋升，打造核心骨干团队；</w:t>
      </w:r>
    </w:p>
    <w:p w14:paraId="7250BC4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外部引进：针对关键技术岗位（如宠物医生）与管理岗位，制定具有竞争力的招聘标准，引进行业资深人才，弥补团队经验短板；</w:t>
      </w:r>
    </w:p>
    <w:p w14:paraId="4F9D3C0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校企合作：与本地宠物专业院校、培训机构建立合作关系，设立实习基地，储备年轻人才，形成可持续的人才供给机制。</w:t>
      </w:r>
    </w:p>
    <w:p w14:paraId="1B91852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激励制度</w:t>
      </w:r>
    </w:p>
    <w:p w14:paraId="1C88B37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薪酬激励：实行 “基础工资 + 绩效奖金 + 提成” 的薪酬结构，绩效奖金与服务质量、客户满意度、销售业绩挂钩，核心岗位设置年终分红；</w:t>
      </w:r>
    </w:p>
    <w:p w14:paraId="56F701D8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福利激励：为全职员工缴纳社保，提供带薪年假、节日福利、宠物免费服务等福利；会员客户服务积分可同步用于员工内部福利兑换；</w:t>
      </w:r>
    </w:p>
    <w:p w14:paraId="3F7198D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成长激励：为表现优秀的员工提供外出培训、行业交流机会，支持员工考取专业资质证书，将个人成长与公司发展绑定；</w:t>
      </w:r>
    </w:p>
    <w:p w14:paraId="0CD756F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股权激励：未来公司扩大融资或实现盈利稳定后，向核心骨干员工开放股权认购，共享公司发展成果，提升团队忠诚度。</w:t>
      </w:r>
    </w:p>
    <w:p w14:paraId="1949F2B6">
      <w:pPr>
        <w:pStyle w:val="3"/>
        <w:keepNext w:val="0"/>
        <w:keepLines w:val="0"/>
        <w:widowControl/>
        <w:suppressLineNumbers w:val="0"/>
        <w:jc w:val="center"/>
        <w:rPr>
          <w:rFonts w:hint="eastAsia" w:asciiTheme="majorEastAsia" w:hAnsiTheme="majorEastAsia" w:eastAsiaTheme="majorEastAsia" w:cstheme="majorEastAsia"/>
          <w:sz w:val="32"/>
          <w:szCs w:val="32"/>
        </w:rPr>
      </w:pPr>
      <w:r>
        <w:rPr>
          <w:rFonts w:hint="eastAsia" w:asciiTheme="majorEastAsia" w:hAnsiTheme="majorEastAsia" w:eastAsiaTheme="majorEastAsia" w:cstheme="majorEastAsia"/>
          <w:sz w:val="32"/>
          <w:szCs w:val="32"/>
        </w:rPr>
        <w:t>五、财务计划</w:t>
      </w:r>
    </w:p>
    <w:p w14:paraId="6122DC9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（一）财务分析</w:t>
      </w:r>
    </w:p>
    <w:p w14:paraId="16F01EE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销售预测</w:t>
      </w:r>
    </w:p>
    <w:p w14:paraId="753F72F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基于市场调研数据与行业增长趋势，结合项目服务定价与推广计划，制定未来五年销售预测。首年聚焦通州区核心客群，通过线上线下联动推广快速打开市场，预计年销售收入 84.85 万元；随着品牌口碑积累与会员规模扩大，后续逐年稳步增长，第三年突破 150 万元。</w:t>
      </w:r>
    </w:p>
    <w:p w14:paraId="07FD65E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销售与成本计划表</w:t>
      </w:r>
    </w:p>
    <w:tbl>
      <w:tblPr>
        <w:tblStyle w:val="12"/>
        <w:tblW w:w="9226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19"/>
        <w:gridCol w:w="1201"/>
        <w:gridCol w:w="1201"/>
        <w:gridCol w:w="1201"/>
        <w:gridCol w:w="1202"/>
        <w:gridCol w:w="1202"/>
      </w:tblGrid>
      <w:tr w14:paraId="3000012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7F163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项目（单位：万元）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F88B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第一年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E0D13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第二年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A4FB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第三年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AC77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第四年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DDBE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第五年</w:t>
            </w:r>
          </w:p>
        </w:tc>
      </w:tr>
      <w:tr w14:paraId="2B0C546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C051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年收入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7C1EA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84.85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B9FD2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115.60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DB5C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152.80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9E3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189.30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93D11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227.10</w:t>
            </w:r>
          </w:p>
        </w:tc>
      </w:tr>
      <w:tr w14:paraId="7E85DD5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E2899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销售成本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F2D6D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12.73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FCF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17.34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D20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22.92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0886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28.40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83FE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34.07</w:t>
            </w:r>
          </w:p>
        </w:tc>
      </w:tr>
      <w:tr w14:paraId="1B93F04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B4D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运营成本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F17B3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49.17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89AEE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62.76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A3AB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79.48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F661A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96.95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B2CF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113.55</w:t>
            </w:r>
          </w:p>
        </w:tc>
      </w:tr>
      <w:tr w14:paraId="70F47F6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37B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净收入（税前）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603D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22.95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09012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35.50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00161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50.40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D0A41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63.95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2757F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79.48</w:t>
            </w:r>
          </w:p>
        </w:tc>
      </w:tr>
      <w:tr w14:paraId="73DCE01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098D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实际投资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094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10.00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8FE8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0.00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08B81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20.00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FB3F5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30.00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79562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40.00</w:t>
            </w:r>
          </w:p>
        </w:tc>
      </w:tr>
      <w:tr w14:paraId="2F1EF7C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EE01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资本支出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6998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6.00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9BA49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8.00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E8AE1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12.00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129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15.00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EDE4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18.00</w:t>
            </w:r>
          </w:p>
        </w:tc>
      </w:tr>
      <w:tr w14:paraId="0B87E49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21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134A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年终现金余额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334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16.95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79F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44.45</w:t>
            </w:r>
          </w:p>
        </w:tc>
        <w:tc>
          <w:tcPr>
            <w:tcW w:w="12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85370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62.85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5E4E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81.90</w:t>
            </w:r>
          </w:p>
        </w:tc>
        <w:tc>
          <w:tcPr>
            <w:tcW w:w="120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DD2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101.48</w:t>
            </w:r>
          </w:p>
        </w:tc>
      </w:tr>
    </w:tbl>
    <w:p w14:paraId="5BD277E7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 现金流量表（首年）</w:t>
      </w:r>
    </w:p>
    <w:tbl>
      <w:tblPr>
        <w:tblStyle w:val="12"/>
        <w:tblW w:w="923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8"/>
        <w:gridCol w:w="647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  <w:gridCol w:w="729"/>
      </w:tblGrid>
      <w:tr w14:paraId="2673F8C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82C04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项目（单位：元）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5605BF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20004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9D456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EABFA6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37D8D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57B990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29665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1CAE4D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6262B7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824BC7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6AFCA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 月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854CC9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 月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2781BD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合计</w:t>
            </w:r>
          </w:p>
        </w:tc>
      </w:tr>
      <w:tr w14:paraId="52435AB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62E5E9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现金流入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FCD5857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936D50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79EB656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0025C9C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0D7EA10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1C8B4D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74C43F9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42CDC64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C98D985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7304969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F56E34D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86E47C0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D1B015A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 w14:paraId="35F18B3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B3E46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月初现金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C7FC2C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BE493E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85600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BEC3D9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78900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9C038A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72300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03492E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20B63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65800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C4D0F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63200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4C9A1A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60700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2F5E4C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58300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DC55D6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56100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D9C69F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54000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29C743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52100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23DB16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</w:tr>
      <w:tr w14:paraId="1D38668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09D24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现金销售收入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E0683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58900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4F282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61200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1F751A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63500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9C73D5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65800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1D0C14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DBED1E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70400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E7EF38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72700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8F560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7C991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77300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F1FF0D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79600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9525EA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81900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F0CD77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84200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CFB90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848500</w:t>
            </w:r>
          </w:p>
        </w:tc>
      </w:tr>
      <w:tr w14:paraId="06EF17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4E5D7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股东投入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BE1CF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CC906F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95552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86B9AB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70A072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28E6F6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74844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1062A3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7F11EB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0E80F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11A1F4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4E5C50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A07EE8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3DF7EEC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D9B8B5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现金流入合计（A）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33E56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158900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B42FE1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146800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D6A362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142400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F288E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138100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3B1A7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136600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BC08D0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136200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79276F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135900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3D852D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135700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085E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135600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D7E34D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135700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DB30CA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135900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BEF95A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136300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F14354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1697000</w:t>
            </w:r>
          </w:p>
        </w:tc>
      </w:tr>
      <w:tr w14:paraId="65ED954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4C63B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现金流出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D4621D7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89F0B60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67BCC7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2EC2A3D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8EE625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7E9B913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D2E3897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A49DB06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3853461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6E1DF37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52EEE90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39B3DF9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2FFFDE4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  <w:tr w14:paraId="03DFA98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0E84C7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现金采购支出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77FC21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043C2A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4813C6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E77EE4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73F4F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46773C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11900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F98C3F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12600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7FFE0C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6C575B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5CD8A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14700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8491BA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15400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F7012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16100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9F6FD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142200</w:t>
            </w:r>
          </w:p>
        </w:tc>
      </w:tr>
      <w:tr w14:paraId="1EBFD80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41F926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工资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2B86D1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CAA9AC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C1E4A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83CB98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6C516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E74E67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6BEF82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33D9C3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5DE4E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93FDE6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1DDD8A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EFEAD9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85A750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144000</w:t>
            </w:r>
          </w:p>
        </w:tc>
      </w:tr>
      <w:tr w14:paraId="3893021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544649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租金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D83E98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19DFF2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BECD0B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ED14A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A53DBC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9DA974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06C2C2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2F76E2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2F8F54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2CF6A2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E3F20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03F2E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EA85A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60000</w:t>
            </w:r>
          </w:p>
        </w:tc>
      </w:tr>
      <w:tr w14:paraId="36C11B4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9B2FE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促销费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93CA5D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38555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E659BC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497D8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0C848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8E9F3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18A6E9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718486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319DD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3FE1C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E032E9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4473E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0D10E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20500</w:t>
            </w:r>
          </w:p>
        </w:tc>
      </w:tr>
      <w:tr w14:paraId="5169C8A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739AB4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保险费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AAF533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48D07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45DEF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5BD68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26F54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07C21D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13EB0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2BB60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BFA97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AAB2BA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9B8227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09D110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ED9A80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3600</w:t>
            </w:r>
          </w:p>
        </w:tc>
      </w:tr>
      <w:tr w14:paraId="6EB44D2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96A1B4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维修费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1169DF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3037B2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964BC8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284920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DB2E1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5403AD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E2F23B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71AF22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FD99B6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43DDFB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5D0FC9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CA443F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400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753020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4800</w:t>
            </w:r>
          </w:p>
        </w:tc>
      </w:tr>
      <w:tr w14:paraId="60BDADE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92EBF9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水电费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A3E218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E83464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9EBAC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C49B3F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FDB68D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3E4559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05E272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012096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13060F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2DBC3F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EDB46F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B8B47C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750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2CB4C8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9150</w:t>
            </w:r>
          </w:p>
        </w:tc>
      </w:tr>
      <w:tr w14:paraId="1863C52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D91CD3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宽带费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C06C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A444C9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9F247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997A87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22F45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4D145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4C69AB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126F63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55969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1B562C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455A7B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F69F27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EE31F1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1800</w:t>
            </w:r>
          </w:p>
        </w:tc>
      </w:tr>
      <w:tr w14:paraId="09F9177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E76FC1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电话费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1039C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816A97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0D113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E818D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43D3A1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B57CEA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B63FEF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CC5E6C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300B7E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D193B0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5A9A2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C6963E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093CD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2280</w:t>
            </w:r>
          </w:p>
        </w:tc>
      </w:tr>
      <w:tr w14:paraId="4A859D2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4D179A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办公用品购置费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DB9FE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A1284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D5FA6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109E71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B2EE83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E56CB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E323D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E1218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A8F0B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6793A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5EF7BE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3A595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150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EC810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2700</w:t>
            </w:r>
          </w:p>
        </w:tc>
      </w:tr>
      <w:tr w14:paraId="310750B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73B470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贷款本息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DCCDFE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73ECA1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A26D57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91CBB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A30CC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86833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8A5A58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04187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5DA0C2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E63A6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81AFE7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A8E1F8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939B3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</w:tr>
      <w:tr w14:paraId="0EBC2C5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A39545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增值税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5584E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1712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B3960F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1772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9BEF68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1833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B4B3EE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1895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B0E2D7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1957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2B7005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2019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077F5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2081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84B2E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2143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B5DAA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2205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B8C2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2267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331F48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2329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8337A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2391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DD6BD9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24877</w:t>
            </w:r>
          </w:p>
        </w:tc>
      </w:tr>
      <w:tr w14:paraId="1548864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2328DE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附加税费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933365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206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8916E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213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E6075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220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9FB3E5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227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F2905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235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B99E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EED5C5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B12C56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30A1D2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265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5C65B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272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FAAED0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279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48FF07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287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85960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2986</w:t>
            </w:r>
          </w:p>
        </w:tc>
      </w:tr>
      <w:tr w14:paraId="2F64434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00A1E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企业所得税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6FEC8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149F90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CF6D2E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836941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60121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DE93D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2D21BF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2FDA44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E669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87888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A517F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0023DA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5738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C8BAFA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5738</w:t>
            </w:r>
          </w:p>
        </w:tc>
      </w:tr>
      <w:tr w14:paraId="4EA893E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2F8806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现金总支出（B）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07FE55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27908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63D89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23883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EEDADC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24723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4C2650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23602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3BAB4A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24592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1634D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25491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674158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25831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CB2FC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26067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586F4E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26275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127D9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26097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00D16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26358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58C418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32796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F686F6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305504</w:t>
            </w:r>
          </w:p>
        </w:tc>
      </w:tr>
      <w:tr w14:paraId="07B6445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AA4DD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月底现金（A-B）</w:t>
            </w:r>
          </w:p>
        </w:tc>
        <w:tc>
          <w:tcPr>
            <w:tcW w:w="64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D6A830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130992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B8CEDB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122917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813162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117677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09C31C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114498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57FCCA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112008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DB44A6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110709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28452F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110069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A6A944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109633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80BC69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109325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0069F5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109603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4F097B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109542</w:t>
            </w:r>
          </w:p>
        </w:tc>
        <w:tc>
          <w:tcPr>
            <w:tcW w:w="64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8F5D67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103504</w:t>
            </w:r>
          </w:p>
        </w:tc>
        <w:tc>
          <w:tcPr>
            <w:tcW w:w="72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E39749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1391496</w:t>
            </w:r>
          </w:p>
        </w:tc>
      </w:tr>
    </w:tbl>
    <w:p w14:paraId="2A44663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（二）投资计划</w:t>
      </w:r>
    </w:p>
    <w:p w14:paraId="646D386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预计风险投资数额</w:t>
      </w:r>
    </w:p>
    <w:p w14:paraId="0D26A58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项目初期启动资金 10 万元，全部由合伙人共同出资（含部分个人信用贷款）；第三年计划引入风险投资 20 万元，第四年引入 30 万元，第五年引入 40 万元，用于门店扩张、设备升级与市场拓展。</w:t>
      </w:r>
    </w:p>
    <w:p w14:paraId="3B79DED6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资本结构安排</w:t>
      </w:r>
    </w:p>
    <w:p w14:paraId="623FD72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初期合伙人股权按出资比例均等分配；后续引入风险投资后，按投资金额占比稀释股权，核心团队保留不低于 60% 的控股比例，确保对公司的主导经营权。</w:t>
      </w:r>
    </w:p>
    <w:p w14:paraId="7FC937EC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 抵押与担保条件</w:t>
      </w:r>
    </w:p>
    <w:p w14:paraId="6C30F97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无抵押担保要求，依托项目盈利能力与市场前景作为投资保障。</w:t>
      </w:r>
    </w:p>
    <w:p w14:paraId="01F14C7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 投资收益与再投资安排</w:t>
      </w:r>
    </w:p>
    <w:p w14:paraId="7EE005C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投资收益优先用于公司运营资金补充与门店扩张，每年按净利润的 30% 向股东分红，70% 用于再投资（包括新店筹备、设备更新、团队扩充等）。</w:t>
      </w:r>
    </w:p>
    <w:p w14:paraId="3C9202A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5 股权比例安排</w:t>
      </w:r>
    </w:p>
    <w:p w14:paraId="4543F3E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初期（前两年）：5 名合伙人各占 20% 股权；</w:t>
      </w:r>
    </w:p>
    <w:p w14:paraId="699F6C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leftChars="0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第三年引入 20 万元投资：投资方占 10% 股权，原合伙人股权各稀释至 18%；</w:t>
      </w:r>
    </w:p>
    <w:p w14:paraId="1E4472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第四年引入 30 万元投资：投资方占 12% 股权，原合伙人股权各稀释至 15.6%；</w:t>
      </w:r>
    </w:p>
    <w:p w14:paraId="6AB2151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80" w:leftChars="-38" w:firstLine="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第五年引入 40 万元投资：投资方占 15% 股权，原合伙人股权各稀释至 12.6%。</w:t>
      </w:r>
    </w:p>
    <w:p w14:paraId="4BD00CC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6 资金收支与财务报告</w:t>
      </w:r>
    </w:p>
    <w:p w14:paraId="4E2DBEC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资金收支实行 “专人管控、双人复核” 制度，所有支出需经财务负责人与项目负责人双重审批；每月编制财务收支报表，每季度出具财务分析报告，每年进行年度财务审计，确保资金使用透明可追溯。</w:t>
      </w:r>
    </w:p>
    <w:p w14:paraId="193E63E3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7 投资者介入程度</w:t>
      </w:r>
    </w:p>
    <w:p w14:paraId="3C18467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投资者有权参与公司重大事项决策（如融资、扩张、核心人事任免），可查阅财务报表与运营数据，但不干预日常经营管理，核心运营事务由原有管理团队负责。</w:t>
      </w:r>
    </w:p>
    <w:p w14:paraId="7239E5B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（三）融资需求</w:t>
      </w:r>
    </w:p>
    <w:p w14:paraId="5FD91A5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资金需求总额与出资情况</w:t>
      </w:r>
    </w:p>
    <w:p w14:paraId="07EBBD8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启动资金：10 万元，由 5 名合伙人各出资 2 万元（其中 3 名合伙人通过个人信用贷款补足部分出资）；</w:t>
      </w:r>
    </w:p>
    <w:p w14:paraId="12B997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后续融资：第三至五年累计需求 90 万元，计划通过风险投资、银行贷款（盈利稳定后）等方式筹集。</w:t>
      </w:r>
    </w:p>
    <w:p w14:paraId="15FE168A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资金需求时间性</w:t>
      </w:r>
    </w:p>
    <w:p w14:paraId="48EE337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初期 10 万元：项目启动前一次性到位，用于店面租赁、装修、设备采购、首批备货及初期推广；</w:t>
      </w:r>
    </w:p>
    <w:p w14:paraId="76A273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第三年 20 万元：计划在第二年年底到位，用于开设第一家分店；</w:t>
      </w:r>
    </w:p>
    <w:p w14:paraId="1F201E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第四年 30 万元：第三年下半年到位，用于设备升级与市场拓展；</w:t>
      </w:r>
    </w:p>
    <w:p w14:paraId="6B7BFC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第五年 40 万元：第四年年底到位，用于第二家分店筹备与品牌推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广。</w:t>
      </w:r>
    </w:p>
    <w:p w14:paraId="38671730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 资金用途明细</w:t>
      </w:r>
    </w:p>
    <w:tbl>
      <w:tblPr>
        <w:tblStyle w:val="12"/>
        <w:tblW w:w="852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2"/>
        <w:gridCol w:w="1286"/>
        <w:gridCol w:w="792"/>
        <w:gridCol w:w="4532"/>
      </w:tblGrid>
      <w:tr w14:paraId="0F3CB02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2D3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资金用途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F44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金额</w:t>
            </w:r>
          </w:p>
          <w:p w14:paraId="2ED63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（万元）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9D76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占比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49C7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具体说明</w:t>
            </w:r>
          </w:p>
        </w:tc>
      </w:tr>
      <w:tr w14:paraId="395428B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2ED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店面租赁与装修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3F94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4.5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808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45%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F8E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含 6 个月房租（3 万元）、店面装修（1.5 万元），选址通州区核心社区周边 100㎡商铺</w:t>
            </w:r>
          </w:p>
        </w:tc>
      </w:tr>
      <w:tr w14:paraId="12687A8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501B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设备采购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BD9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1.2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8D47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12%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A94F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美容设备、寄养设备、防疫设备等核心设备购置</w:t>
            </w:r>
          </w:p>
        </w:tc>
      </w:tr>
      <w:tr w14:paraId="161355E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F1FA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首批备货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754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0.8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942A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8%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69B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宠物食品、用品、疫苗等首批库存采购</w:t>
            </w:r>
          </w:p>
        </w:tc>
      </w:tr>
      <w:tr w14:paraId="5E27F8A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B8E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人员培训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2046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0.5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88A3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5%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350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服务团队专业技能培训、行业知识学习</w:t>
            </w:r>
          </w:p>
        </w:tc>
      </w:tr>
      <w:tr w14:paraId="3233C41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CD8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初期推广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516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1.0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930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10%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965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线上平台入驻、线下广告投放、社区推广活动等</w:t>
            </w:r>
          </w:p>
        </w:tc>
      </w:tr>
      <w:tr w14:paraId="07772DC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D6F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营运资金储备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91F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3.0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E75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cstheme="minorEastAsia"/>
                <w:kern w:val="0"/>
                <w:sz w:val="28"/>
                <w:szCs w:val="28"/>
                <w:lang w:val="en-US" w:eastAsia="zh-CN" w:bidi="ar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0%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F8A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覆盖前 3 个月人工、水电、应急等运营开支</w:t>
            </w:r>
          </w:p>
        </w:tc>
      </w:tr>
      <w:tr w14:paraId="5C97D25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1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964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分店筹备（后续）</w:t>
            </w:r>
          </w:p>
        </w:tc>
        <w:tc>
          <w:tcPr>
            <w:tcW w:w="12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4114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90.0</w:t>
            </w:r>
          </w:p>
        </w:tc>
        <w:tc>
          <w:tcPr>
            <w:tcW w:w="79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905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453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9889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含房租、装修、设备、备货、推广等，按单店 40-50 万元标准配置</w:t>
            </w:r>
          </w:p>
        </w:tc>
      </w:tr>
    </w:tbl>
    <w:p w14:paraId="220DAAF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 融资方案</w:t>
      </w:r>
    </w:p>
    <w:p w14:paraId="01327D6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股权融资：优先引入关注宠物经济领域的天使投资人或创投机构，第三年出让 10% 股权融资 20 万元，后续按估值逐步调整股权出让比例；</w:t>
      </w:r>
    </w:p>
    <w:p w14:paraId="60C763B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债权融资：项目盈利稳定后（预计第二年），申请银行经营性贷款，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用于补充运营资金与分店扩张，贷款额度控制在当年所需资金的 30%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以内，降低股权稀释压力。</w:t>
      </w:r>
    </w:p>
    <w:p w14:paraId="573C31D7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（四）关键财务节点</w:t>
      </w:r>
    </w:p>
    <w:p w14:paraId="739D80E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研发投入</w:t>
      </w:r>
    </w:p>
    <w:p w14:paraId="05D46DE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项目无额外研发投入，核心投入聚焦服务标准化建设与运营优化，初期培训投入 0.5 万元，后续每年按营业收入的 2% 计提培训与流程优化费用。</w:t>
      </w:r>
    </w:p>
    <w:p w14:paraId="6E3CFCB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盈亏平衡投入与时间</w:t>
      </w:r>
    </w:p>
    <w:p w14:paraId="05A189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盈亏平衡所需投入：10 万元启动资金全额投入后，无需额外追加投入即可实现盈亏平衡；</w:t>
      </w:r>
    </w:p>
    <w:p w14:paraId="4DC9A4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-360" w:leftChars="0"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盈亏平衡时间：预计项目启动后第 3 个月实现月度盈亏平衡，第 6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个月收回初期固定成本投入。</w:t>
      </w:r>
    </w:p>
    <w:p w14:paraId="0ADC2BCD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 项目实施计划进度与资金配置</w:t>
      </w:r>
    </w:p>
    <w:tbl>
      <w:tblPr>
        <w:tblStyle w:val="12"/>
        <w:tblW w:w="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4"/>
        <w:gridCol w:w="1856"/>
        <w:gridCol w:w="1856"/>
        <w:gridCol w:w="1856"/>
        <w:gridCol w:w="1840"/>
      </w:tblGrid>
      <w:tr w14:paraId="14E0F21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E6EAA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阶段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768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时间节点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DEB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核心任务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C987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资金配置（万元）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D5B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备注</w:t>
            </w:r>
          </w:p>
        </w:tc>
      </w:tr>
      <w:tr w14:paraId="7ADD0DD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96BD3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筹备期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88D4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第 1-2 个月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B652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店面选址、装修、设备采购、人员培训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AC192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7.0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0E85B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占启动资金 70%</w:t>
            </w:r>
          </w:p>
        </w:tc>
      </w:tr>
      <w:tr w14:paraId="0CDE1EC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029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试运营期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1D9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第 3 个月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DB6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线上线下推广、试营业活动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B1E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1.5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E71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占启动资金 15%</w:t>
            </w:r>
          </w:p>
        </w:tc>
      </w:tr>
      <w:tr w14:paraId="58CD4FC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1430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正式运营期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415D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第 4-12 个月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3B99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稳定运营、客户积累、口碑建设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2F0F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1.5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F287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占启动资金 15%</w:t>
            </w:r>
          </w:p>
        </w:tc>
      </w:tr>
      <w:tr w14:paraId="5490EE4A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7B0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扩张期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6160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第 2-5 年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C0EB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分店筹备、市场拓展、品牌升级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A8C1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90.0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D6489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股权融资 + 债权融资结合</w:t>
            </w:r>
          </w:p>
        </w:tc>
      </w:tr>
    </w:tbl>
    <w:p w14:paraId="29DB136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（五）投资与收益说明</w:t>
      </w:r>
    </w:p>
    <w:p w14:paraId="059B5115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 风险投资退出策略</w:t>
      </w:r>
    </w:p>
    <w:p w14:paraId="22AFC3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股权转让：项目第五年实现稳定盈利后，允许风险投资方通过股权转让方式退出，优先由创始团队回购；</w:t>
      </w:r>
    </w:p>
    <w:p w14:paraId="000324F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公司并购：若项目发展至连锁规模后吸引行业龙头并购，投资方按股权比例分享并购收益；</w:t>
      </w:r>
    </w:p>
    <w:p w14:paraId="4C1B756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left w:val="none" w:color="auto" w:sz="0" w:space="0"/>
        </w:pBdr>
        <w:spacing w:before="0" w:beforeAutospacing="0" w:after="0" w:afterAutospacing="0" w:line="16" w:lineRule="atLeast"/>
        <w:ind w:left="0" w:hanging="36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IPO 上市：长期目标为实现资本化运作，待公司达到上市条件后，投资方通过股票市场退出。</w:t>
      </w:r>
    </w:p>
    <w:p w14:paraId="3B4BF424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 预计回报数额与时间表</w:t>
      </w:r>
    </w:p>
    <w:tbl>
      <w:tblPr>
        <w:tblStyle w:val="12"/>
        <w:tblW w:w="0" w:type="dxa"/>
        <w:tblInd w:w="0" w:type="dxa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1871"/>
        <w:gridCol w:w="1854"/>
        <w:gridCol w:w="1890"/>
        <w:gridCol w:w="1818"/>
      </w:tblGrid>
      <w:tr w14:paraId="0E4CE43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4019F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时间节点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0A7E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预计累计净利润（万元）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F2C59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投资方累计回报（万元）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8A45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投资回报率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EDC92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备注</w:t>
            </w:r>
          </w:p>
        </w:tc>
      </w:tr>
      <w:tr w14:paraId="4F5A0F5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38E5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第三年年底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F5C58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108.85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52FE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10.89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43136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54.45%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4123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按 10% 股权计算</w:t>
            </w:r>
          </w:p>
        </w:tc>
      </w:tr>
      <w:tr w14:paraId="1A7AAAF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2D1B5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第五年年底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6DC9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252.23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BE7C3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37.83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DDBB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126.10%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3E1FE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按第三至五年累计股权计算</w:t>
            </w:r>
          </w:p>
        </w:tc>
      </w:tr>
      <w:tr w14:paraId="396CE39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0" w:hRule="atLeast"/>
        </w:trPr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7C9A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第七年年底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1B2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480.50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91C3D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72.08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48C2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180.20%</w:t>
            </w:r>
          </w:p>
        </w:tc>
        <w:tc>
          <w:tcPr>
            <w:tcW w:w="20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96A3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预计年化回报率 25% 以上</w:t>
            </w:r>
          </w:p>
        </w:tc>
      </w:tr>
    </w:tbl>
    <w:p w14:paraId="5A5D6F92">
      <w:pPr>
        <w:pStyle w:val="2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</w:rPr>
        <w:t>六、风险分析</w:t>
      </w:r>
    </w:p>
    <w:p w14:paraId="7187F1D4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（一）市场风险</w:t>
      </w:r>
    </w:p>
    <w:p w14:paraId="3A9DDAF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风险识别：</w:t>
      </w:r>
    </w:p>
    <w:p w14:paraId="6BAE663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行业热度攀升导致区域内新增竞争对手，引发客源分流与价格竞争；经济周期波动或突发公共卫生事件影响居民可支配收入，导致宠物非刚性消费需求下滑；新项目初期品牌知名度不足，目标客群对服务专业性与品质存在认知壁垒，用户转化效率偏低。</w:t>
      </w:r>
    </w:p>
    <w:p w14:paraId="1231CAD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应对措施：</w:t>
      </w:r>
    </w:p>
    <w:p w14:paraId="75EFAF90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强化差异化竞争优势，聚焦开放式寄养、定制化美容等特色服务，定期推出主题服务套餐与限定活动，形成核心竞争力；构建会员专属体系，设置优先预约、免费健康体检、消费积分兑换等权益，提升用户粘性与复购率；优化获客渠道组合，线上聚焦社区社群、本地生活平台精准推广，线下与社区物业、宠物医院达成异业合作，降低获客成本；建立消费需求预警机制，通过月度消费数据监测，及时调整服务定价与产品结构，对冲市场波动影响。</w:t>
      </w:r>
    </w:p>
    <w:p w14:paraId="2916AF2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（二）运营风险</w:t>
      </w:r>
    </w:p>
    <w:p w14:paraId="1328E72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风险识别：</w:t>
      </w:r>
    </w:p>
    <w:p w14:paraId="7603FCC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宠物服务过程中因动物性格差异、操作不当等因素，可能出现宠物受伤、应激反应或交叉感染，引发客户纠纷；宠物医生、资深美容师等专业人才稀缺，面临被竞争对手高薪挖角的流失风险，影响服务连续性与品质；宠物用品、疫苗等核心物资依赖单一供应商，可能出现断供、提价或产品质量不达标问题；美容设备、消毒设备、烘干箱等核心设施长期高频使用，存在故障停机风险，导致服务中断。</w:t>
      </w:r>
    </w:p>
    <w:p w14:paraId="58AF757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应对措施：</w:t>
      </w:r>
    </w:p>
    <w:p w14:paraId="3E00ABD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建立标准化服务流程与风险防控体系，服务前强制开展宠物健康检查并签订服务协议，明确双方权责；服务中按品种、体型、健康状况分区管理，寄养区域每日定时消毒，美容过程全程留存监控记录；服务后 24 小时内完成客户回访，及时响应并处理反馈问题。构建人才留存机制，实行 “底薪 + 绩效 + 提成” 的薪酬结构，将客户满意度、复购率与绩效挂钩，为核心员工提供股权分红与职业晋升通道；定期组织专业技能培训，提升团队整体服务水平。优化供应链管理，每个品类对接 2-3 家备选供应商，签订长期合作协议锁定价格与供货量，约定断供赔偿条款；建立安全库存制度，常用物资保持 15 天以上库存，疫苗等特殊产品严格把控保质期。制定设备维护计划，美容工具每周清洁保养，医疗设备每月校准调试，关键设备配备备用件，与附近维修商家签订应急维修协议，确保故障快速响应修复。</w:t>
      </w:r>
    </w:p>
    <w:p w14:paraId="76B87DA3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（三）财务风险</w:t>
      </w:r>
    </w:p>
    <w:p w14:paraId="7245DB9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风险识别：</w:t>
      </w:r>
    </w:p>
    <w:p w14:paraId="7923032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初期启动资金有限，若实际客流量与营收未达预期，可能出现现金流断裂，影响租金支付、人员工资发放等日常运营；租金、人工、原材料等成本逐年上涨，挤压利润空间；后期连锁扩张阶段依赖外部融资，若市场环境变化或项目估值未达预期，可能面临融资失败，阻碍发展计划。</w:t>
      </w:r>
    </w:p>
    <w:p w14:paraId="70547BF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应对措施：</w:t>
      </w:r>
    </w:p>
    <w:p w14:paraId="6A44CEB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强化现金流管理，编制月度现金流预算，严格控制固定成本占比，将租金、工资等刚性支出控制在营收的合理区间；推出预付式服务套餐，提前回笼资金，同时预留启动资金的 20% 作为应急储备，应对突发资金缺口。实施成本精细化管控，与房东签订长期租赁合同锁定租金涨幅，批量采购原材料争取供应商折扣，淘汰滞销产品提高库存周转率；根据客流量弹性排班，核心岗位全职配置，辅助岗位采用兼职模式，优化人力成本结构。提前筹备融资相关工作，连续积累盈利数据、客户增长数据与市场份额报告，提升项目估值；拓展多元化融资渠道，结合天使投资、银行创业贷款、政府创业补贴等方式，降低单一融资渠道风险；明确融资资金用途与分配比例，制定详细的资金使用计划与还款方案，确保资金高效合规使用。</w:t>
      </w:r>
    </w:p>
    <w:p w14:paraId="02B513FE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（四）政策风险</w:t>
      </w:r>
    </w:p>
    <w:p w14:paraId="10A520D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风险识别：</w:t>
      </w:r>
    </w:p>
    <w:p w14:paraId="6681F0DD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政府可能出台更严格的行业监管标准，涉及卫生防疫、从业人员资质、排污处理等方面，需额外投入资金进行合规改造；税收政策调整可能取消小微企业税收优惠，增加税负压力；宠物繁育与交易监管政策收紧，可能影响宠物售卖业务的合法开展。</w:t>
      </w:r>
    </w:p>
    <w:p w14:paraId="4F26F1A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应对措施：</w:t>
      </w:r>
    </w:p>
    <w:p w14:paraId="529DFC6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坚持合规经营底线，提前办理营业执照、动物防疫条件合格证、从业人员健康证等齐全证照；密切关注行业政策动态，加入地方宠物行业协会，及时获取政策通知，提前做好合规改造准备。聘请专业财务人员进行税务筹划，合理利用小微企业税收优惠政策，规范财务核算流程，确保发票、账本等资料齐全，规避税务风险。根据政策导向调整业务结构，逐步降低宠物售卖业务占比，聚焦高毛利的服务类与用品销售业务；与正规持证繁育机构建立合作，留存宠物检疫证明、疫苗接种记录等完整档案，确保交易流程合法合规。</w:t>
      </w:r>
    </w:p>
    <w:p w14:paraId="3C8AC943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（五）法律风险</w:t>
      </w:r>
    </w:p>
    <w:p w14:paraId="00E4F00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风险识别：</w:t>
      </w:r>
    </w:p>
    <w:p w14:paraId="66E5619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宠物在服务过程中出现受伤、生病或死亡情况，可能引发客户高额赔偿诉求或法律诉讼；劳动合同签订不规范、社保缴纳不及时等问题可能引发劳动仲裁；门店名称、LOGO、宣传语等知识产权未及时保护，存在侵权纠纷风险；销售的宠物食品、用品因质量问题导致宠物健康受损，需承担相应赔偿责任。</w:t>
      </w:r>
    </w:p>
    <w:p w14:paraId="390D66E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应对措施：</w:t>
      </w:r>
    </w:p>
    <w:p w14:paraId="4DC5FD3C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规范法律文书管理，签订标准化服务合同，明确服务范围、风险责任划分与赔偿标准；投保宠物服务责任险，覆盖宠物意外伤亡等情况，降低赔偿风险；建立纠纷协商机制，优先通过沟通调解解决争议，必要时借助行业协会或法律途径处理。强化劳动用工合规管理，与所有员工签订书面劳动合同，明确工作内容、薪资待遇、社保缴纳等条款，建立规范的考勤、绩效考核与工资支付制度，避免劳动纠纷。加强知识产权保护，及时为门店名称、LOGO 申请商标注册，宣传语与服务流程申请著作权保护，避免使用与知名品牌相似的元素；建立产品质量把控体系，严格审核供应商资质，要求提供营业执照、产品检验报告等证明文件，产品入库前核对生产日期、保质期与包装完整性，杜绝不合格产品流入市场。</w:t>
      </w:r>
    </w:p>
    <w:p w14:paraId="0331DEFA"/>
    <w:p w14:paraId="65F2DB19">
      <w:pPr>
        <w:pStyle w:val="2"/>
        <w:keepNext w:val="0"/>
        <w:keepLines w:val="0"/>
        <w:widowControl/>
        <w:suppressLineNumbers w:val="0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七、附录</w:t>
      </w:r>
    </w:p>
    <w:p w14:paraId="516E46AE">
      <w:pPr>
        <w:pStyle w:val="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（一）项目成功关键因素</w:t>
      </w:r>
    </w:p>
    <w:p w14:paraId="1076F7C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精准的市场定位：聚焦区域内中高端宠物主人的多元化需求，以 “私人定制 + 一站式服务” 为核心，贴合宠物消费升级趋势；</w:t>
      </w:r>
    </w:p>
    <w:p w14:paraId="21CE62E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专业的服务能力：依托经过系统培训的美容师、持证宠物医生团队，保障服务标准化与专业化，建立口碑壁垒；</w:t>
      </w:r>
    </w:p>
    <w:p w14:paraId="0B781CC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3 稳定的供应链体系：与 2-3 家正规供应商建立长期合作，确保宠物食品、疫苗、用品等核心物资的正品保障与稳定供应；</w:t>
      </w:r>
    </w:p>
    <w:p w14:paraId="6078B2E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4 灵活的运营策略：根据市场反馈快速调整服务套餐、定价机制与推广渠道，适配消费需求波动与行业竞争变化；</w:t>
      </w:r>
    </w:p>
    <w:p w14:paraId="51A42A1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5 健全的风险防控：通过标准化服务流程、责任保险投保、合规经营体系，降低运营过程中的各类风险隐患。</w:t>
      </w:r>
    </w:p>
    <w:p w14:paraId="03D4B652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（二）项目投资价值说明</w:t>
      </w:r>
    </w:p>
    <w:p w14:paraId="6500C72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行业前景广阔：中国宠物经济市场规模年复合增长率达 25.4%，2025 年将突破 8114 亿元，服务类消费占比持续提升，市场空间充足；</w:t>
      </w:r>
    </w:p>
    <w:p w14:paraId="4AA392A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差异化竞争优势显著：开放式寄养、定制化美容等特色服务区别于传统宠物门店，会员体系与异业合作模式提升用户粘性与获客效率；</w:t>
      </w:r>
    </w:p>
    <w:p w14:paraId="4F65C8B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3 盈利模式清晰可持续：涵盖服务、用品销售、寄养等多板块收入，成本结构可控，预计首年即可实现盈利，后续增长潜力明确；</w:t>
      </w:r>
    </w:p>
    <w:p w14:paraId="54A15E3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4 团队执行力强：核心成员分工明确，覆盖运营、营销、财务、服务执行等关键环节，具备项目落地与持续运营的综合能力；</w:t>
      </w:r>
    </w:p>
    <w:p w14:paraId="187D246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5 扩张路径明确：前期聚焦区域口碑建设，中期拓展门店布局，后期推进品牌连锁化，发展规划符合行业发展规律与市场需求。</w:t>
      </w:r>
    </w:p>
    <w:p w14:paraId="675DC1C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（四）相关佐证材料清单</w:t>
      </w:r>
    </w:p>
    <w:p w14:paraId="5C0BCB4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1 资质类文件：营业执照（预申请）、动物防疫条件合格证（预申请）、从业人员健康证（培训后办理）；</w:t>
      </w:r>
    </w:p>
    <w:p w14:paraId="5F59F6A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2 合作类文件：与宠物用品供应商</w:t>
      </w:r>
      <w:r>
        <w:rPr>
          <w:rFonts w:hint="eastAsia" w:asciiTheme="minorEastAsia" w:hAnsiTheme="minorEastAsia" w:cstheme="minorEastAsia"/>
          <w:kern w:val="0"/>
          <w:sz w:val="28"/>
          <w:szCs w:val="28"/>
          <w:lang w:val="en-US" w:eastAsia="zh-CN" w:bidi="ar"/>
        </w:rPr>
        <w:t>（计划）</w:t>
      </w: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、疫苗供应商签订的意向合作协议（计划），与社区物业、宠物医院达成的异业合作框架（计划）；</w:t>
      </w:r>
    </w:p>
    <w:p w14:paraId="73E0579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3 市场调研材料：区域宠物饲养率调查报告（计划）、目标客群消费需求问卷分析报告（计划）、周边竞争对手调研数据表（计划）；</w:t>
      </w:r>
    </w:p>
    <w:p w14:paraId="58F6A5F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4 服务标准化文件：宠物美容服务操作手册（计划）、寄养服务流程规范（计划）、防疫接种操作指南（计划）；</w:t>
      </w:r>
    </w:p>
    <w:p w14:paraId="578E29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kern w:val="0"/>
          <w:sz w:val="28"/>
          <w:szCs w:val="28"/>
          <w:lang w:val="en-US" w:eastAsia="zh-CN" w:bidi="ar"/>
        </w:rPr>
        <w:t>5 媒介与产品资料：门店设计效果图（计划）、服务套餐宣传海报模板（计划）、核心宠物用品样品说明（含质检报告摘要）（计划）。</w:t>
      </w:r>
    </w:p>
    <w:p w14:paraId="4AC6339D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43AFD4E5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销售收入预测表（12 个月）</w:t>
      </w:r>
    </w:p>
    <w:tbl>
      <w:tblPr>
        <w:tblStyle w:val="12"/>
        <w:tblW w:w="8466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6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778"/>
      </w:tblGrid>
      <w:tr w14:paraId="1F9586A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920F0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产品类别 / 月份</w:t>
            </w:r>
          </w:p>
        </w:tc>
        <w:tc>
          <w:tcPr>
            <w:tcW w:w="6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B88C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7D02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6376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90EF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5CF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8C24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D982F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21AC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297C4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17F66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A792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 月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D5BC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 月</w:t>
            </w:r>
          </w:p>
        </w:tc>
        <w:tc>
          <w:tcPr>
            <w:tcW w:w="7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1AF03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合计</w:t>
            </w:r>
          </w:p>
        </w:tc>
      </w:tr>
      <w:tr w14:paraId="2918B59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976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宠物美容服务</w:t>
            </w:r>
          </w:p>
        </w:tc>
        <w:tc>
          <w:tcPr>
            <w:tcW w:w="6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22B8E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735F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3CE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B8FE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7824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44A0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AF0C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2341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B9C14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B41FF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F2E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464CE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29250 元</w:t>
            </w:r>
          </w:p>
        </w:tc>
        <w:tc>
          <w:tcPr>
            <w:tcW w:w="7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B53F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351000 元</w:t>
            </w:r>
          </w:p>
        </w:tc>
      </w:tr>
      <w:tr w14:paraId="53A95B6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E982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宠物防疫服务</w:t>
            </w:r>
          </w:p>
        </w:tc>
        <w:tc>
          <w:tcPr>
            <w:tcW w:w="6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B065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511C1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9DEA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3B0B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430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3EB4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62DC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5641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4A0C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384D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BFC3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E84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7370 元</w:t>
            </w:r>
          </w:p>
        </w:tc>
        <w:tc>
          <w:tcPr>
            <w:tcW w:w="7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4E5D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88440 元</w:t>
            </w:r>
          </w:p>
        </w:tc>
      </w:tr>
      <w:tr w14:paraId="23E5DA7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7C461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宠物寄养服务</w:t>
            </w:r>
          </w:p>
        </w:tc>
        <w:tc>
          <w:tcPr>
            <w:tcW w:w="6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9F59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FB2F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7B25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FE62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918C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A8B3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63B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FC56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1A2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BEC0E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D446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990D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2590 元</w:t>
            </w:r>
          </w:p>
        </w:tc>
        <w:tc>
          <w:tcPr>
            <w:tcW w:w="7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EA21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31080 元</w:t>
            </w:r>
          </w:p>
        </w:tc>
      </w:tr>
      <w:tr w14:paraId="42A9837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A9C2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宠物用品销售</w:t>
            </w:r>
          </w:p>
        </w:tc>
        <w:tc>
          <w:tcPr>
            <w:tcW w:w="6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FB4C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2F96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2F08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B3D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0B731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4DF7E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CB5B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932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406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18C80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2598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B550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31500 元</w:t>
            </w:r>
          </w:p>
        </w:tc>
        <w:tc>
          <w:tcPr>
            <w:tcW w:w="7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8078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378000 元</w:t>
            </w:r>
          </w:p>
        </w:tc>
      </w:tr>
      <w:tr w14:paraId="4AE7B5B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2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1DB9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销售总收入</w:t>
            </w:r>
          </w:p>
        </w:tc>
        <w:tc>
          <w:tcPr>
            <w:tcW w:w="617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61D7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77AB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1A618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4265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A62D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D93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C9BCE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B1AE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CDEE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9D5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3146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34E8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7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7C853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848520 元</w:t>
            </w:r>
          </w:p>
        </w:tc>
      </w:tr>
    </w:tbl>
    <w:p w14:paraId="4BDACB98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销售和成本计划表（12 个月）</w:t>
      </w:r>
    </w:p>
    <w:tbl>
      <w:tblPr>
        <w:tblStyle w:val="12"/>
        <w:tblW w:w="10533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"/>
        <w:gridCol w:w="608"/>
        <w:gridCol w:w="608"/>
        <w:gridCol w:w="608"/>
        <w:gridCol w:w="1270"/>
        <w:gridCol w:w="1270"/>
        <w:gridCol w:w="609"/>
        <w:gridCol w:w="609"/>
        <w:gridCol w:w="609"/>
        <w:gridCol w:w="609"/>
        <w:gridCol w:w="609"/>
        <w:gridCol w:w="609"/>
        <w:gridCol w:w="609"/>
        <w:gridCol w:w="1410"/>
      </w:tblGrid>
      <w:tr w14:paraId="18F5AF3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B20B4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项目/月份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46F96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1月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631E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2月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20D1E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3月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856B7C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4月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90C15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5月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9A77F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6月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8AB24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7月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A0939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8月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053C6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9月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139FC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10月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4E78A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11月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B88F3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12月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69B2B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8"/>
                <w:szCs w:val="28"/>
                <w:lang w:val="en-US" w:eastAsia="zh-CN" w:bidi="ar"/>
              </w:rPr>
              <w:t>合计</w:t>
            </w:r>
          </w:p>
        </w:tc>
      </w:tr>
      <w:tr w14:paraId="246AED3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63A00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含税销售收入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5DBCD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28F902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13DA4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BA7B6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9022C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15E0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AF46E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9FF514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18D29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5146A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6CBF1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F43CB2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CAE63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848520 元</w:t>
            </w:r>
          </w:p>
        </w:tc>
      </w:tr>
      <w:tr w14:paraId="53ABC69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4D9C8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增值税（3%）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B6774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05AA13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F2D0D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5D514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F999B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5D6B1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EFFB0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C1562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BB60A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16B79E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9280E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01746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2059.51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295FA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24714.12 元</w:t>
            </w:r>
          </w:p>
        </w:tc>
      </w:tr>
      <w:tr w14:paraId="6AB8829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86AE5E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销售净收入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9997A3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8C848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073B35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FB1A8D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52F94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20619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0692A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4F0B0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3D6E9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A1355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60768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A3291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68650.49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B8AB6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823805.88 元</w:t>
            </w:r>
          </w:p>
        </w:tc>
      </w:tr>
      <w:tr w14:paraId="64C3EF9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0A630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一、固定成本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0E135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5A47C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FF3BE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30042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2DB75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B412B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B6B63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B9A3B7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0B124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5AEC6C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C980D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063BD7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9A50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</w:tr>
      <w:tr w14:paraId="2C6D6D4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A3D37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工资和薪金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98329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08EE38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DCC04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9BB74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40DB1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DAEE1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68006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7B027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8256D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A5738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9E134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104B5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4D694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312000 元</w:t>
            </w:r>
          </w:p>
        </w:tc>
      </w:tr>
      <w:tr w14:paraId="5F7ACC5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8BAE4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租金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C25FFA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391A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0737CC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CDE74F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1AA06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7CB3E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491B93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63202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7E8DF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B5224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1D961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7F169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AD73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120000 元</w:t>
            </w:r>
          </w:p>
        </w:tc>
      </w:tr>
      <w:tr w14:paraId="493FD85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AF438D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折旧费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09F6C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5B6862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2D6BA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5C8B1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BFEE6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B2B72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6ECC1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A24C3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11322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C7A7B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C101A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125CF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166.67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6BA9E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2000.04 元</w:t>
            </w:r>
          </w:p>
        </w:tc>
      </w:tr>
      <w:tr w14:paraId="1ADC8D5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C7F51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贷款利息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64D9A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729C3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48749F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22ADD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9631B6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9898C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4EB57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9A552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1E7ED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812E2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CA277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8BBF9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04B602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3000 元</w:t>
            </w:r>
          </w:p>
        </w:tc>
      </w:tr>
      <w:tr w14:paraId="012A5D6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B15C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二、变动成本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3F7E27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59E997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CE215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C21C8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DCFA2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7FDB2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CE162B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39F4B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AAE3E3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F0638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8AACF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8FE59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BFA23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</w:tr>
      <w:tr w14:paraId="48A83C2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536E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促销费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5E121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F3625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15729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1BA88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9D454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95B58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80E320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7650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FC14D4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14FC7F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058A22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3A778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FD9AA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6000 元</w:t>
            </w:r>
          </w:p>
        </w:tc>
      </w:tr>
      <w:tr w14:paraId="6A3E2D1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58469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保险费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89C8B2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CADC0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DD093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7B8B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ED4238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FB70E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CDF87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501012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70F96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D62706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41F7DE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7D068F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A43B4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3600 元</w:t>
            </w:r>
          </w:p>
        </w:tc>
      </w:tr>
      <w:tr w14:paraId="543EF00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0CEAAE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维修费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AE93C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6378A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02E2F4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D6756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F8CDE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EA192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B7C19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224348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77225D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377230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DABF5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A68383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476B6D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2400 元</w:t>
            </w:r>
          </w:p>
        </w:tc>
      </w:tr>
      <w:tr w14:paraId="015565F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3B601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水电费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9FFF8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7FCD1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04D57F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A575CB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70057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E7B65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D42943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4C6C2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FC6A5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A1869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0DCF0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8F3F1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7011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 元</w:t>
            </w:r>
          </w:p>
        </w:tc>
      </w:tr>
      <w:tr w14:paraId="372FF83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446CA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办公用品购置费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0ED00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68AFF3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F05DA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645AF6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C6994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F31A42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97F2BF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4553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30164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3256D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0CB26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F3C42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EBB3C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 元</w:t>
            </w:r>
          </w:p>
        </w:tc>
      </w:tr>
      <w:tr w14:paraId="17318BA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FA5183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宽带费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D85DC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B6B19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CEB01E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E36A2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048DC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390B3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0F5DB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79EE7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AB2109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CEB8A5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CF908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B61B6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44A25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 元</w:t>
            </w:r>
          </w:p>
        </w:tc>
      </w:tr>
      <w:tr w14:paraId="118F41D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E4FF78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电话费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9D8CE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B6E1F7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3550E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06A4E7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806AB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2C0FA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4E087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7A2C21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A344EF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BC15DC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9C77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C4006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D22D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 元</w:t>
            </w:r>
          </w:p>
        </w:tc>
      </w:tr>
      <w:tr w14:paraId="2DE3DF6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EDD721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其他费用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BDD8A8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54DBD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A8CAD7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58B05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E39D8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A7BAE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3A121C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EC17D8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9662D7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BC41E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347A1A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651C4C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E41D3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 元</w:t>
            </w:r>
          </w:p>
        </w:tc>
      </w:tr>
      <w:tr w14:paraId="4CC5467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5FCCE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原材料成本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9DAD0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8A2B8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929B4C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419D3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D3AD9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A761F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2F73BB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932B5D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DF9CBC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308A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80D8E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14E53B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85CC98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89760 元</w:t>
            </w:r>
          </w:p>
        </w:tc>
      </w:tr>
      <w:tr w14:paraId="086062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3EA4A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三、总成本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F75AA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86FA3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76F6C3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0895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16683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90996B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794A4E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E628DF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ED8870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5C467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8EE11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9CAEBE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47196.67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D02A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566360.04 元</w:t>
            </w:r>
          </w:p>
        </w:tc>
      </w:tr>
      <w:tr w14:paraId="4339DF3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73DB18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四、附加税费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D6F29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A7A165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F50D35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3F626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27D9C0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C710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8707A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62DBC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361B83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AA868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D64092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E9B0A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205.95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36610D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2471.41 元</w:t>
            </w:r>
          </w:p>
        </w:tc>
      </w:tr>
      <w:tr w14:paraId="754B00F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188AFD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五、利润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F76EE7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D4EBFF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0DB156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8CE7C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08545A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EA3BA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8EE61A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C69872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9DB49C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C89BB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62B6DA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2299C2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21247.87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5F5B0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254974.44 元</w:t>
            </w:r>
          </w:p>
        </w:tc>
      </w:tr>
      <w:tr w14:paraId="3F6DFB6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B26F33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六、企业所得税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0F0EEF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8C139E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A475F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43CBFF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45A7DD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A635C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C75E50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DEB7F8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144D3C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57A427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09297A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A950C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2124.79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5F0B7A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25497.44 元</w:t>
            </w:r>
          </w:p>
        </w:tc>
      </w:tr>
      <w:tr w14:paraId="713E523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9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2466AB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七、税后净收入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DC82F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D7C461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21641B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E6FDC9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127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403C40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131FDB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AAAD23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0B26EED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6BC48C1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7830CE4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6D4C04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60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56502FB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19123.08 元</w:t>
            </w:r>
          </w:p>
        </w:tc>
        <w:tc>
          <w:tcPr>
            <w:tcW w:w="141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483FA2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righ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229477.00 元</w:t>
            </w:r>
          </w:p>
        </w:tc>
      </w:tr>
    </w:tbl>
    <w:p w14:paraId="5DD13DAC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现金流量计划表（12 个月）</w:t>
      </w:r>
    </w:p>
    <w:tbl>
      <w:tblPr>
        <w:tblStyle w:val="12"/>
        <w:tblW w:w="8466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3"/>
        <w:gridCol w:w="541"/>
        <w:gridCol w:w="732"/>
        <w:gridCol w:w="732"/>
        <w:gridCol w:w="669"/>
        <w:gridCol w:w="669"/>
        <w:gridCol w:w="669"/>
        <w:gridCol w:w="669"/>
        <w:gridCol w:w="669"/>
        <w:gridCol w:w="732"/>
        <w:gridCol w:w="732"/>
        <w:gridCol w:w="732"/>
        <w:gridCol w:w="732"/>
        <w:gridCol w:w="541"/>
      </w:tblGrid>
      <w:tr w14:paraId="704FC89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9A419B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项目 / 月份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767D87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 月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17B757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 月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63236E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 月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D1054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 月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08C26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 月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119681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 月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9C50C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 月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85D283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 月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0104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 月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B85115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 月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EB9A4C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 月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A1317E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 月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DB43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合计</w:t>
            </w:r>
          </w:p>
        </w:tc>
      </w:tr>
      <w:tr w14:paraId="2E041AD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00A7A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一、现金流入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21DB82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A1A6B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47E19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49B461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6FDC8F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248DF8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D7D09E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751A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448FB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81CDBA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46EAB4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09511F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5C2C3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</w:tr>
      <w:tr w14:paraId="583E8BD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6F3592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月初现金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6EAF29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9BDBC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41923.08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69E37D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33746.16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DFCA5E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25569.24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9F508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17392.32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6FFC32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9215.40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970F45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11038.48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8E1AE1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22861.56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27B356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34684.64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15CE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46507.72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A03C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58330.80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230E60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70153.88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703344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50000 元</w:t>
            </w:r>
          </w:p>
        </w:tc>
      </w:tr>
      <w:tr w14:paraId="3F03C6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C8689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现金销售收入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9AD310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2BBC63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93B1F4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765921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98FFE5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C59E73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BEFBA1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05D558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57BEAB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E8BD55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4D71E1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079CF9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70710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FD0E02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848520 元</w:t>
            </w:r>
          </w:p>
        </w:tc>
      </w:tr>
      <w:tr w14:paraId="38EA587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D14930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股东投入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9CEE0D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CB06E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5B1525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F481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6CD1C3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50F541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A1382A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A4509C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337D7C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F9050B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8A5584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B7E1A2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0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4DF83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24000 元</w:t>
            </w:r>
          </w:p>
        </w:tc>
      </w:tr>
      <w:tr w14:paraId="6AB6576D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9EF6D6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现金流入合计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61068A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144710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4CBDFC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112633.08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3D329F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104456.16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6838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96279.24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BE56D2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88102.32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E8FAC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79925.40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A6F77D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81748.48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0B3874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93571.56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F24654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105394.64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683E75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117217.72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2D053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129040.80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1BDC1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140863.88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816DC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922520 元</w:t>
            </w:r>
          </w:p>
        </w:tc>
      </w:tr>
      <w:tr w14:paraId="3481712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8470A5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二、现金流出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E481C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2D4951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E3C53A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50C133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F8927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2039A2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2FE1AA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674D68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166102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A998F3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C48785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B43D6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427FB4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-</w:t>
            </w:r>
          </w:p>
        </w:tc>
      </w:tr>
      <w:tr w14:paraId="5432EAD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BD2731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现金采购支出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D393F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48C976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45A15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16AA8D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52FF46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C3FEDA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D400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3ABB6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29993D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ABE5A9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199C2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C055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7480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E78FC2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89760 元</w:t>
            </w:r>
          </w:p>
        </w:tc>
      </w:tr>
      <w:tr w14:paraId="22927EB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5DC5D8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工资和薪金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6DB31E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A7B66E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DEBCFF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8D6C66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4F5339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7FBA0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E7752A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EA351A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6900B8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71D0D4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7DC399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331A2F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26000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E60E65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312000 元</w:t>
            </w:r>
          </w:p>
        </w:tc>
      </w:tr>
      <w:tr w14:paraId="7C42840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E1490C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租金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743C0C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5AF9A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CCCBED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D45A69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B70E82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3FC936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C550C0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5EDA18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D9CC2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A15705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4FE00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49EC48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10000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4F3E19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120000 元</w:t>
            </w:r>
          </w:p>
        </w:tc>
      </w:tr>
      <w:tr w14:paraId="7C8B05A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0193A0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促销费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7A0B4F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80A733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24D491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DF443C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A2E661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656BB4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E6CE83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32C247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C942AC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FB576C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C2B292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595CCCA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500 元</w:t>
            </w: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5C23D5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6000 元</w:t>
            </w:r>
          </w:p>
        </w:tc>
      </w:tr>
      <w:tr w14:paraId="71F9EB6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6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76717F2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保险费</w:t>
            </w:r>
          </w:p>
        </w:tc>
        <w:tc>
          <w:tcPr>
            <w:tcW w:w="50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6FF545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7D3C38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3C05B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5B0601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1DBBF7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2B2C5AA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6A6489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1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80AA79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 元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41508A9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 w:bidi="ar"/>
              </w:rPr>
              <w:t>300</w:t>
            </w: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3D99F333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6B4B3BB7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669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0D1AFEEA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  <w:tc>
          <w:tcPr>
            <w:tcW w:w="50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14:paraId="1BA58AE4">
            <w:pPr>
              <w:keepNext/>
              <w:snapToGrid w:val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</w:tbl>
    <w:p w14:paraId="5A7209DC">
      <w:pPr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sectPr>
      <w:headerReference r:id="rId6" w:type="default"/>
      <w:footerReference r:id="rId7" w:type="default"/>
      <w:pgSz w:w="11906" w:h="16838"/>
      <w:pgMar w:top="1417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756B0">
    <w:pPr>
      <w:widowControl w:val="0"/>
      <w:snapToGrid w:val="0"/>
      <w:jc w:val="left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FDF7B3">
                          <w:pPr>
                            <w:widowControl w:val="0"/>
                            <w:snapToGrid w:val="0"/>
                            <w:jc w:val="left"/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w:pP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t>1</w:t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DkjEckBAACZAwAADgAAAGRycy9lMm9Eb2MueG1srVPNjtMwEL4j8Q6W&#10;79TZSou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kOSMR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5FDF7B3">
                    <w:pPr>
                      <w:widowControl w:val="0"/>
                      <w:snapToGrid w:val="0"/>
                      <w:jc w:val="left"/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</w:pP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t>1</w:t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A6908">
    <w:pPr>
      <w:widowControl w:val="0"/>
      <w:snapToGrid w:val="0"/>
      <w:jc w:val="left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2B3F70">
                          <w:pPr>
                            <w:widowControl w:val="0"/>
                            <w:snapToGrid w:val="0"/>
                            <w:jc w:val="left"/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w:pP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t>1</w:t>
                          </w:r>
                          <w:r>
                            <w:rPr>
                              <w:rFonts w:ascii="Calibri" w:hAnsi="Calibri" w:eastAsia="宋体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MT0TX7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72B3F70">
                    <w:pPr>
                      <w:widowControl w:val="0"/>
                      <w:snapToGrid w:val="0"/>
                      <w:jc w:val="left"/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</w:pP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fldChar w:fldCharType="begin"/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instrText xml:space="preserve"> PAGE  \* MERGEFORMAT </w:instrText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fldChar w:fldCharType="separate"/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t>1</w:t>
                    </w:r>
                    <w:r>
                      <w:rPr>
                        <w:rFonts w:ascii="Calibri" w:hAnsi="Calibri" w:eastAsia="宋体" w:cs="Times New Roman"/>
                        <w:kern w:val="2"/>
                        <w:sz w:val="18"/>
                        <w:szCs w:val="18"/>
                        <w:lang w:val="en-US" w:eastAsia="zh-CN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70E5B">
    <w:pPr>
      <w:widowControl w:val="0"/>
      <w:pBdr>
        <w:bottom w:val="none" w:color="auto" w:sz="0" w:space="1"/>
      </w:pBdr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0333B">
    <w:pPr>
      <w:widowControl w:val="0"/>
      <w:pBdr>
        <w:bottom w:val="none" w:color="auto" w:sz="0" w:space="1"/>
      </w:pBdr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60017">
    <w:pPr>
      <w:widowControl w:val="0"/>
      <w:pBdr>
        <w:bottom w:val="none" w:color="auto" w:sz="0" w:space="1"/>
      </w:pBdr>
      <w:snapToGrid w:val="0"/>
      <w:jc w:val="center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875AA"/>
    <w:multiLevelType w:val="multilevel"/>
    <w:tmpl w:val="ACD87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D5E1A424"/>
    <w:multiLevelType w:val="multilevel"/>
    <w:tmpl w:val="D5E1A4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363B3AFE"/>
    <w:multiLevelType w:val="multilevel"/>
    <w:tmpl w:val="363B3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F354F5F"/>
    <w:multiLevelType w:val="singleLevel"/>
    <w:tmpl w:val="4F354F5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3591617"/>
    <w:multiLevelType w:val="multilevel"/>
    <w:tmpl w:val="735916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002225"/>
    <w:rsid w:val="00030D09"/>
    <w:rsid w:val="00066880"/>
    <w:rsid w:val="000720EB"/>
    <w:rsid w:val="000B135A"/>
    <w:rsid w:val="000F45F4"/>
    <w:rsid w:val="00186726"/>
    <w:rsid w:val="001B638D"/>
    <w:rsid w:val="001F0968"/>
    <w:rsid w:val="001F52FC"/>
    <w:rsid w:val="001F7422"/>
    <w:rsid w:val="00246385"/>
    <w:rsid w:val="002E0D10"/>
    <w:rsid w:val="002F2C01"/>
    <w:rsid w:val="003F083D"/>
    <w:rsid w:val="004D1117"/>
    <w:rsid w:val="00533A66"/>
    <w:rsid w:val="005A49D2"/>
    <w:rsid w:val="005E422A"/>
    <w:rsid w:val="006C7565"/>
    <w:rsid w:val="0074552D"/>
    <w:rsid w:val="00917447"/>
    <w:rsid w:val="00921693"/>
    <w:rsid w:val="00A47B89"/>
    <w:rsid w:val="00AE78C9"/>
    <w:rsid w:val="00C22278"/>
    <w:rsid w:val="00C91222"/>
    <w:rsid w:val="00C92684"/>
    <w:rsid w:val="00CF7736"/>
    <w:rsid w:val="00D7770A"/>
    <w:rsid w:val="00D92B2E"/>
    <w:rsid w:val="00DA7556"/>
    <w:rsid w:val="00F118AC"/>
    <w:rsid w:val="00FB1374"/>
    <w:rsid w:val="00FF05CA"/>
    <w:rsid w:val="01B71CCC"/>
    <w:rsid w:val="073539CF"/>
    <w:rsid w:val="0C3E638A"/>
    <w:rsid w:val="0CE02650"/>
    <w:rsid w:val="18E45D48"/>
    <w:rsid w:val="1D4258A3"/>
    <w:rsid w:val="22BD18B8"/>
    <w:rsid w:val="2C6E531E"/>
    <w:rsid w:val="33042538"/>
    <w:rsid w:val="33A733D5"/>
    <w:rsid w:val="388F698F"/>
    <w:rsid w:val="40821C59"/>
    <w:rsid w:val="48F60818"/>
    <w:rsid w:val="4D0819A6"/>
    <w:rsid w:val="4D4A7A1B"/>
    <w:rsid w:val="4E0C2BCC"/>
    <w:rsid w:val="4E86609F"/>
    <w:rsid w:val="50002225"/>
    <w:rsid w:val="51D5063E"/>
    <w:rsid w:val="56B440F1"/>
    <w:rsid w:val="5E012096"/>
    <w:rsid w:val="62FA5458"/>
    <w:rsid w:val="64B82AE0"/>
    <w:rsid w:val="686C31CD"/>
    <w:rsid w:val="721C48AB"/>
    <w:rsid w:val="7A071B25"/>
    <w:rsid w:val="7D676F18"/>
    <w:rsid w:val="7F915958"/>
    <w:rsid w:val="7FE0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76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jc w:val="left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spacing w:line="360" w:lineRule="auto"/>
      <w:ind w:right="-57" w:rightChars="-27"/>
      <w:outlineLvl w:val="2"/>
    </w:pPr>
    <w:rPr>
      <w:b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8495"/>
      </w:tabs>
      <w:spacing w:line="380" w:lineRule="exact"/>
      <w:ind w:left="952"/>
      <w:jc w:val="left"/>
    </w:pPr>
    <w:rPr>
      <w:i/>
      <w:iCs/>
      <w:sz w:val="20"/>
      <w:szCs w:val="20"/>
    </w:rPr>
  </w:style>
  <w:style w:type="paragraph" w:styleId="6">
    <w:name w:val="Balloon Text"/>
    <w:basedOn w:val="1"/>
    <w:link w:val="16"/>
    <w:qFormat/>
    <w:uiPriority w:val="0"/>
    <w:rPr>
      <w:sz w:val="18"/>
      <w:szCs w:val="18"/>
    </w:r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pPr>
      <w:tabs>
        <w:tab w:val="right" w:leader="dot" w:pos="8495"/>
      </w:tabs>
      <w:jc w:val="left"/>
    </w:pPr>
    <w:rPr>
      <w:rFonts w:ascii="黑体" w:eastAsia="黑体"/>
      <w:b/>
      <w:bCs/>
      <w:i/>
      <w:caps/>
      <w:sz w:val="20"/>
      <w:szCs w:val="20"/>
    </w:rPr>
  </w:style>
  <w:style w:type="paragraph" w:styleId="10">
    <w:name w:val="toc 2"/>
    <w:basedOn w:val="1"/>
    <w:next w:val="1"/>
    <w:qFormat/>
    <w:uiPriority w:val="0"/>
    <w:pPr>
      <w:tabs>
        <w:tab w:val="right" w:leader="dot" w:pos="8495"/>
      </w:tabs>
      <w:spacing w:line="380" w:lineRule="exact"/>
      <w:ind w:left="504"/>
      <w:jc w:val="left"/>
    </w:pPr>
    <w:rPr>
      <w:smallCaps/>
      <w:sz w:val="20"/>
      <w:szCs w:val="20"/>
    </w:rPr>
  </w:style>
  <w:style w:type="paragraph" w:styleId="11">
    <w:name w:val="Normal (Web)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" w:hAnsi="Arial" w:cs="Arial"/>
      <w:color w:val="000000"/>
      <w:kern w:val="0"/>
      <w:sz w:val="17"/>
      <w:szCs w:val="17"/>
    </w:rPr>
  </w:style>
  <w:style w:type="table" w:styleId="1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qFormat/>
    <w:uiPriority w:val="0"/>
    <w:rPr>
      <w:color w:val="261CDC"/>
      <w:u w:val="single"/>
    </w:rPr>
  </w:style>
  <w:style w:type="character" w:customStyle="1" w:styleId="16">
    <w:name w:val="批注框文本 Char"/>
    <w:basedOn w:val="14"/>
    <w:link w:val="6"/>
    <w:qFormat/>
    <w:uiPriority w:val="0"/>
    <w:rPr>
      <w:kern w:val="2"/>
      <w:sz w:val="18"/>
      <w:szCs w:val="18"/>
    </w:rPr>
  </w:style>
  <w:style w:type="character" w:customStyle="1" w:styleId="17">
    <w:name w:val="页眉 Char"/>
    <w:basedOn w:val="14"/>
    <w:link w:val="8"/>
    <w:qFormat/>
    <w:uiPriority w:val="0"/>
    <w:rPr>
      <w:kern w:val="2"/>
      <w:sz w:val="18"/>
      <w:szCs w:val="18"/>
    </w:rPr>
  </w:style>
  <w:style w:type="character" w:customStyle="1" w:styleId="18">
    <w:name w:val="页脚 Char"/>
    <w:basedOn w:val="14"/>
    <w:link w:val="7"/>
    <w:qFormat/>
    <w:uiPriority w:val="0"/>
    <w:rPr>
      <w:kern w:val="2"/>
      <w:sz w:val="18"/>
      <w:szCs w:val="18"/>
    </w:rPr>
  </w:style>
  <w:style w:type="paragraph" w:styleId="19">
    <w:name w:val="List Paragraph"/>
    <w:basedOn w:val="1"/>
    <w:qFormat/>
    <w:uiPriority w:val="99"/>
    <w:pPr>
      <w:ind w:firstLine="420"/>
    </w:pPr>
  </w:style>
  <w:style w:type="paragraph" w:customStyle="1" w:styleId="20">
    <w:name w:val="图表标题"/>
    <w:basedOn w:val="1"/>
    <w:qFormat/>
    <w:uiPriority w:val="0"/>
    <w:pPr>
      <w:ind w:firstLine="0" w:firstLineChars="0"/>
      <w:jc w:val="center"/>
    </w:pPr>
    <w:rPr>
      <w:rFonts w:hAnsi="黑体" w:eastAsia="黑体" w:cs="Times New Roman"/>
      <w:b/>
      <w:bCs/>
      <w:sz w:val="21"/>
    </w:rPr>
  </w:style>
  <w:style w:type="paragraph" w:customStyle="1" w:styleId="21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22">
    <w:name w:val="font41"/>
    <w:qFormat/>
    <w:uiPriority w:val="0"/>
    <w:rPr>
      <w:rFonts w:ascii="宋体" w:hAnsi="宋体" w:eastAsia="宋体" w:cs="宋体"/>
      <w:color w:val="000000"/>
      <w:sz w:val="14"/>
      <w:szCs w:val="1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C3755ED-9960-4D6B-86B5-A30C35374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3545</Words>
  <Characters>3795</Characters>
  <Lines>9</Lines>
  <Paragraphs>2</Paragraphs>
  <TotalTime>6</TotalTime>
  <ScaleCrop>false</ScaleCrop>
  <LinksUpToDate>false</LinksUpToDate>
  <CharactersWithSpaces>4187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2017-10-11T01:01:00Z</dcterms:created>
  <dc:creator>Administrator</dc:creator>
  <cp:lastModifiedBy>WPS_1616172524</cp:lastModifiedBy>
  <dcterms:modified xsi:type="dcterms:W3CDTF">2025-11-17T11:43:34Z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4615437F095449C8B45EF17AFAB3473C</vt:lpwstr>
  </property>
  <property fmtid="{D5CDD505-2E9C-101B-9397-08002B2CF9AE}" pid="4" name="KSOTemplateDocerSaveRecord">
    <vt:lpwstr>eyJoZGlkIjoiZDYwMDkzM2YyZTI4MzYwNTU3Y2UzZTg5ZWY0NGNjZGMiLCJ1c2VySWQiOiIxMTgzMzQ0NjQ1In0=</vt:lpwstr>
  </property>
</Properties>
</file>