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FORCED VS. FREE</w:t>
      </w:r>
    </w:p>
    <w:p>
      <w:pPr>
        <w:spacing w:after="40"/>
      </w:pPr>
      <w:r>
        <w:rPr>
          <w:i/>
          <w:iCs/>
          <w:sz w:val="26"/>
          <w:szCs w:val="26"/>
        </w:rPr>
        <w:t xml:space="preserve">A Seeley-DeWitt Test of the Spectral Action / Distinction-Transformation-Constraint Grammar Mapping</w:t>
      </w:r>
    </w:p>
    <w:p>
      <w:pPr>
        <w:spacing w:after="300"/>
      </w:pPr>
      <w:r>
        <w:rPr>
          <w:color w:val="555555"/>
          <w:sz w:val="20"/>
          <w:szCs w:val="20"/>
        </w:rPr>
        <w:t xml:space="preserve">Whether the Higgs-Mass Falsification of 2012 Tells Us the Grammar Correspondence Is Real</w:t>
      </w:r>
    </w:p>
    <w:p>
      <w:pPr>
        <w:spacing w:after="40"/>
      </w:pPr>
      <w:r>
        <w:rPr>
          <w:b/>
          <w:bCs/>
          <w:sz w:val="22"/>
          <w:szCs w:val="22"/>
        </w:rPr>
        <w:t xml:space="preserve">Keith I. Blaze</w:t>
      </w:r>
    </w:p>
    <w:p>
      <w:pPr>
        <w:spacing w:after="40"/>
      </w:pPr>
      <w:r>
        <w:rPr>
          <w:i/>
          <w:iCs/>
          <w:sz w:val="20"/>
          <w:szCs w:val="20"/>
        </w:rPr>
        <w:t xml:space="preserve">Independent Researcher — DTC Universality Program</w:t>
      </w:r>
    </w:p>
    <w:p>
      <w:pPr>
        <w:spacing w:after="400"/>
      </w:pPr>
      <w:r>
        <w:rPr>
          <w:color w:val="555555"/>
          <w:sz w:val="18"/>
          <w:szCs w:val="18"/>
        </w:rPr>
        <w:t xml:space="preserve">Document Reference: DTC-RP-004  ·  June 2026</w:t>
      </w:r>
    </w:p>
    <w:p>
      <w:pPr>
        <w:spacing w:after="120" w:before="120"/>
      </w:pPr>
      <w:r>
        <w:rPr>
          <w:b/>
          <w:bCs/>
          <w:sz w:val="20"/>
          <w:szCs w:val="20"/>
        </w:rPr>
        <w:t xml:space="preserve">ABSTRACT</w:t>
      </w:r>
    </w:p>
    <w:p>
      <w:pPr>
        <w:pBdr>
          <w:left w:val="single" w:color="2E5C8A" w:sz="12" w:space="12"/>
        </w:pBdr>
        <w:spacing w:after="300" w:line="276"/>
        <w:ind w:left="200"/>
      </w:pPr>
      <w:r>
        <w:rPr>
          <w:sz w:val="20"/>
          <w:szCs w:val="20"/>
        </w:rPr>
        <w:t xml:space="preserve">A prior working document in this research program (“Executive Summary: Mapping the Spectral Action onto the Distinction-Transformation-Constraint Grammar”) proposed a correspondence between the objects of Connes-Chamseddine noncommutative-geometric spectral action and the author’s G = (Δ, τ, κ) grammar, and constructed dynamical equations whose fixed points were chosen to resemble known physics. That document itself flagged the mapping as “likely metaphorical rather than literal” in places. This paper supplies the test that distinguishes a metaphorical overlay from a structural finding: whether the coefficients in the grammar’s dynamical equations are forced by the same spectral data that fixes physical couplings in the real theory, or remain free parameters chosen independently. The real spectral action provides a documented historical instance of this exact test already having been run: the 2007 Chamseddine-Connes-Marcolli Higgs quartic coupling was computed as a forced output of the trace of the fermionic Yukawa matrix, used to predict a Higgs mass near 170 GeV, checked against the 2012 discovery of a 125 GeV Higgs boson, found inconsistent, and revised in a published 2012 correction. We reproduce the forcing relation symbolically and apply the identical test to the grammar’s own dynamical coefficient γ. We find no such forcing relation exists, or is recoverable from, the source document. We report this as a genuine negative result rather than a reason to abandon the broader research program, and we specify exactly what a future iteration would need to supply to pass the test.</w:t>
      </w:r>
    </w:p>
    <w:p>
      <w:pPr>
        <w:pStyle w:val="Heading1"/>
      </w:pPr>
      <w:r>
        <w:t xml:space="preserve">1. WHAT IS BEING TESTED, AND WHY THE TEST MATTERS</w:t>
      </w:r>
    </w:p>
    <w:p>
      <w:pPr>
        <w:spacing w:after="160" w:line="276"/>
      </w:pPr>
      <w:r>
        <w:t xml:space="preserve">The Executive Summary document maps spectral-triple objects (the algebra A, the Dirac operator D, the cutoff function f, the heat-kernel coefficients a₀, a₂, a₄) onto the grammar G = (Δ, τ, κ), then writes three candidate partial differential equations — for distinction-persistence coupling, curvature, and a Higgs-like scalar field — whose fixed points are chosen to resemble the physics the spectral action is known to produce. The document is explicit, in its own Section 7, that several of these correspondences are “likely metaphorical rather than literal,” and that the dynamical equations of Section 4 are postulated rather than derived: “the spectral action itself does not yield a time-dependent flow; it is a static action.”</w:t>
      </w:r>
    </w:p>
    <w:p>
      <w:pPr>
        <w:spacing w:after="160" w:line="276"/>
      </w:pPr>
      <w:r>
        <w:t xml:space="preserve">This honesty is the right instinct, but it leaves open exactly the question that determines whether the mapping is a notational convenience or a scientific claim. A correspondence between two formal structures is structural — forced — if fixing the data on one side determines the data on the other, with no remaining freedom to tune. It is decorative — free — if the same vocabulary can be applied regardless of what the underlying data says, because nothing in the target structure actually depends on it. The difference is not stylistic. A forced correspondence can fail: it makes a prediction, and the prediction can be wrong, which is itself evidence the correspondence was real enough to break. A decorative correspondence cannot fail in this way, because nothing was ever actually being checked.</w:t>
      </w:r>
    </w:p>
    <w:p>
      <w:pPr>
        <w:spacing w:after="160" w:line="276"/>
      </w:pPr>
      <w:r>
        <w:t xml:space="preserve">This paper runs that test on the single most concrete instance available: the grammar's Candidate 3 (“Gauge-/Higgs-like Scalar Field Equation”) and its constraint coefficient γ, identified in the Executive Summary as the grammar's image of the Higgs quartic term inside a₄.</w:t>
      </w:r>
    </w:p>
    <w:p>
      <w:pPr>
        <w:pStyle w:val="Heading1"/>
      </w:pPr>
      <w:r>
        <w:t xml:space="preserve">2. THE HISTORICAL PRECEDENT: A FORCED COUPLING THAT WAS ACTUALLY FALSIFIED</w:t>
      </w:r>
    </w:p>
    <w:p>
      <w:pPr>
        <w:spacing w:after="160" w:line="276"/>
      </w:pPr>
      <w:r>
        <w:t xml:space="preserve">The real spectral action has already supplied one clean, documented instance of a heat-kernel-derived coupling behaving as a forced quantity rather than a free one, and the historical record is worth stating precisely because it is the standard the grammar mapping needs to be held to.</w:t>
      </w:r>
    </w:p>
    <w:p>
      <w:pPr>
        <w:spacing w:after="160" w:line="276"/>
      </w:pPr>
      <w:r>
        <w:t xml:space="preserve">In the Chamseddine-Connes-Marcolli formulation of the spectral Standard Model (2007), the a₄ heat-kernel coefficient yields a Higgs self-coupling λH at the unification scale Λ₀ that is fixed by the trace of the fermionic Yukawa coupling matrix Y, via a relation of the schematic form λH(Λ₀) ∝ Tr(Y⁴)/Tr(Y²)². This ratio is not chosen by the model builder. It is computed once the finite algebra A_F = ℂ ⊕ ℍ ⊕ M₃(ℂ) and its fermion representation are fixed. Because the top-quark Yukawa coupling dominates the trace by orders of magnitude over all other fermions, the ratio evaluates, in the top-dominance approximation used in the original papers, to a number close to 1, which the authors used to derive a specific quartic coupling and, after running it down through the renormalization group to the electroweak scale, a specific Higgs mass prediction near 170 GeV.</w:t>
      </w:r>
    </w:p>
    <w:p>
      <w:pPr>
        <w:spacing w:after="160" w:line="276"/>
      </w:pPr>
      <w:r>
        <w:t xml:space="preserve">That prediction was a real commitment, not a post-hoc description. When the Higgs boson was discovered at the Large Hadron Collider in 2012 with a mass near 125 GeV, the prediction was directly checked and found inconsistent. Chamseddine and Connes published a correction the same year, “Resilience of the Spectral Standard Model” (JHEP 2012), stating plainly that a real scalar field present in the spectral model had been “wrongly neglected” in the earlier computation, and that including it “invalidates our previous prediction of Higgs mass in the range 160–180 GeV” while restoring consistency with the observed value once the omitted field is included.</w:t>
      </w:r>
    </w:p>
    <w:p>
      <w:pPr>
        <w:spacing w:after="160" w:line="276"/>
      </w:pPr>
      <w:r>
        <w:t xml:space="preserve">This is the single most important fact this paper relies on, so it is worth stating its significance without hedging: a forced coupling, by definition, is one where you do not get to retune your way out of a bad prediction — you have to find and fix an actual gap in the derivation, which is exactly what happened. The 2012 correction did not adjust λH to fit the new data. It found a real, previously omitted term in the same heat-kernel calculation and showed that including it changes the forced value of λH. That is what a structural correspondence looks like under pressure. It breaks in a specific, diagnosable way, and the fix comes from the same mathematics that produced the original claim, not from outside it.</w:t>
      </w:r>
    </w:p>
    <w:p>
      <w:pPr>
        <w:pStyle w:val="Heading1"/>
      </w:pPr>
      <w:r>
        <w:t xml:space="preserve">3. SYMBOLIC VERIFICATION OF THE FORCING RELATION</w:t>
      </w:r>
    </w:p>
    <w:p>
      <w:pPr>
        <w:spacing w:after="160" w:line="276"/>
      </w:pPr>
      <w:r>
        <w:t xml:space="preserve">To make Section 2's claim checkable rather than asserted, we verify symbolically that the ratio Tr(Y⁴)/Tr(Y²)² is a determined number once physical fermion masses are supplied, not a free symbol left floating in the calculation.</w:t>
      </w:r>
    </w:p>
    <w:p>
      <w:pPr>
        <w:spacing w:after="160" w:line="276"/>
      </w:pPr>
      <w:r>
        <w:t xml:space="preserve">Using the standard relation between Yukawa eigenvalues and fermion masses, yᶠ = √2·mᶠ/v, for a representative set of third-generation fermions (top quark, bottom quark, tau lepton) with v the electroweak vacuum expectation value:</w:t>
      </w:r>
    </w:p>
    <w:p>
      <w:pPr>
        <w:pBdr>
          <w:top w:val="single" w:color="999999" w:sz="4" w:space="8"/>
          <w:bottom w:val="single" w:color="999999" w:sz="4" w:space="8"/>
        </w:pBdr>
        <w:spacing w:after="160" w:before="160"/>
        <w:jc w:val="center"/>
      </w:pPr>
      <w:r>
        <w:rPr>
          <w:i/>
          <w:iCs/>
          <w:sz w:val="22"/>
          <w:szCs w:val="22"/>
        </w:rPr>
        <w:t xml:space="preserve">Tr(Y⁴)/Tr(Y²)²  =  (m_t⁴ + m_b⁴ + m_τ⁴) / (m_t² + m_b² + m_τ²)²</w:t>
      </w:r>
    </w:p>
    <w:p>
      <w:pPr>
        <w:spacing w:after="160" w:line="276"/>
      </w:pPr>
      <w:r>
        <w:t xml:space="preserve">Substituting the measured fermion masses (m_t = 173.0 GeV, m_b = 4.18 GeV, m_τ = 1.777 GeV) gives a numeric value of 0.9986, and the exact top-dominance limit (m_b, m_τ → 0) gives exactly 1. Both computations were carried out symbolically in SymPy rather than estimated by hand, and the code and full output are included as an appendix to this paper for independent verification.</w:t>
      </w:r>
    </w:p>
    <w:p>
      <w:pPr>
        <w:spacing w:after="160" w:line="276"/>
      </w:pPr>
      <w:r>
        <w:t xml:space="preserve">The result that matters is not the specific number but what determines it: once the fermion content is fixed by choosing the finite algebra A_F, the ratio is computed, not chosen. Nothing in the derivation leaves room for the model builder to select a different value to make a downstream prediction come out differently. This is the property — forcedness — the grammar mapping needs to share if its own dynamical coefficients are to carry the same evidential weight as λH does in the real spectral action.</w:t>
      </w:r>
    </w:p>
    <w:p>
      <w:pPr>
        <w:pStyle w:val="Heading1"/>
      </w:pPr>
      <w:r>
        <w:t xml:space="preserve">4. APPLYING THE SAME TEST TO THE GRAMMAR'S γ</w:t>
      </w:r>
    </w:p>
    <w:p>
      <w:pPr>
        <w:spacing w:after="160" w:line="276"/>
      </w:pPr>
      <w:r>
        <w:t xml:space="preserve">The Executive Summary's Candidate 3 equation is:</w:t>
      </w:r>
    </w:p>
    <w:p>
      <w:pPr>
        <w:pBdr>
          <w:top w:val="single" w:color="999999" w:sz="4" w:space="8"/>
          <w:bottom w:val="single" w:color="999999" w:sz="4" w:space="8"/>
        </w:pBdr>
        <w:spacing w:after="160" w:before="160"/>
        <w:jc w:val="center"/>
      </w:pPr>
      <w:r>
        <w:rPr>
          <w:i/>
          <w:iCs/>
          <w:sz w:val="22"/>
          <w:szCs w:val="22"/>
        </w:rPr>
        <w:t xml:space="preserve">∂Φ/∂t  =  αJ(x)  −  βΦ  −  γΦ³  +  DΦ∇²Φ</w:t>
      </w:r>
    </w:p>
    <w:p>
      <w:pPr>
        <w:spacing w:after="160" w:line="276"/>
      </w:pPr>
      <w:r>
        <w:t xml:space="preserve">with γ identified in the document's own mapping table as corresponding to a4's Higgs-quartic-type term — the same physical object whose forced value is λH in Section 2 and Section 3 above. If this identification is structural rather than decorative, γ should be expressible as a function of the same spectral data that fixes λH: the trace ratio Tr(Y⁴)/Tr(Y²)², the cutoff scale Λ₀, and the specific finite algebra A_F chosen.</w:t>
      </w:r>
    </w:p>
    <w:p>
      <w:pPr>
        <w:spacing w:after="160" w:line="276"/>
      </w:pPr>
      <w:r>
        <w:t xml:space="preserve">No such expression appears anywhere in the source document. γ is introduced in Section 4.3 of the Executive Summary as one of several unspecified “positive constants,” with its role described only by the sign it must have for the steady-state solution to be stable (γ &gt; 0 for the Φ³ saturation term to act as a sink rather than a source). The cube-root scaling law presented in Section 8 as a falsifiable prediction, Φ* ∝ J^(1/3), holds for any positive value of γ whatsoever — doubling the source J always produces a 2^(1/3) ≈ 1.26 increase in the steady-state field amplitude regardless of what γ actually is, because γ cancels out of the scaling exponent entirely and only sets the overall normalization.</w:t>
      </w:r>
    </w:p>
    <w:p>
      <w:pPr>
        <w:spacing w:after="160" w:line="276"/>
      </w:pPr>
      <w:r>
        <w:t xml:space="preserve">This is the structural difference the test was designed to surface. λH in the real spectral action is load-bearing: change the fermion content, and λH changes, and the resulting Higgs mass prediction changes with it, which is precisely how the 2012 correction was possible. γ in the grammar's Candidate 3 equation is not load-bearing in this sense: the document's headline falsifiable prediction (the cube-root law) is insensitive to γ's value, which means γ is free to be chosen, or left unspecified, without affecting what the model claims to predict. A coefficient whose value does not affect the prediction attributed to it is not functioning as a forced parameter, regardless of which heat-kernel object it has been associated with in the mapping table.</w:t>
      </w:r>
    </w:p>
    <w:p>
      <w:pPr>
        <w:pStyle w:val="Heading1"/>
      </w:pPr>
      <w:r>
        <w:t xml:space="preserve">5. RESULT</w:t>
      </w:r>
    </w:p>
    <w:p>
      <w:pPr>
        <w:spacing w:after="160" w:line="276"/>
      </w:pPr>
      <w:r>
        <w:t xml:space="preserve">The test specified at the end of the prior audit in this research program — compute the real heat-kernel coefficients for a specific finite algebra and check whether the grammar's dynamical coefficients come out forced or remain free — has been run, using the cleanest available real-world instance of the forcing mechanism the Executive Summary appeals to. The result is negative for the specific case checked: γ in Candidate 3 is not forced by the spectral data its own mapping table assigns it to, and the headline prediction built on γ does not depend on its value.</w:t>
      </w:r>
    </w:p>
    <w:p>
      <w:pPr>
        <w:spacing w:after="160" w:line="276"/>
      </w:pPr>
      <w:r>
        <w:t xml:space="preserve">Table 1 summarizes the epistemic status of every claim this paper relies on or tests, following the convention established in DTC-RP-003.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shd w:fill="2E5C8A" w:val="clear"/>
            <w:tcMar>
              <w:top w:type="dxa" w:w="100"/>
              <w:left w:type="dxa" w:w="120"/>
              <w:bottom w:type="dxa" w:w="100"/>
              <w:right w:type="dxa" w:w="120"/>
            </w:tcMar>
          </w:tcPr>
          <w:p>
            <w:r>
              <w:rPr>
                <w:b/>
                <w:bCs/>
                <w:sz w:val="20"/>
                <w:szCs w:val="20"/>
              </w:rPr>
              <w:t xml:space="preserve">Claim</w:t>
            </w:r>
          </w:p>
        </w:tc>
        <w:tc>
          <w:tcPr>
            <w:tcW w:type="dxa" w:w="2880"/>
            <w:shd w:fill="2E5C8A" w:val="clear"/>
            <w:tcMar>
              <w:top w:type="dxa" w:w="100"/>
              <w:left w:type="dxa" w:w="120"/>
              <w:bottom w:type="dxa" w:w="100"/>
              <w:right w:type="dxa" w:w="120"/>
            </w:tcMar>
          </w:tcPr>
          <w:p>
            <w:r>
              <w:rPr>
                <w:b/>
                <w:bCs/>
                <w:sz w:val="20"/>
                <w:szCs w:val="20"/>
              </w:rPr>
              <w:t xml:space="preserve">Status</w:t>
            </w:r>
          </w:p>
        </w:tc>
        <w:tc>
          <w:tcPr>
            <w:tcW w:type="dxa" w:w="2880"/>
            <w:shd w:fill="2E5C8A" w:val="clear"/>
            <w:tcMar>
              <w:top w:type="dxa" w:w="100"/>
              <w:left w:type="dxa" w:w="120"/>
              <w:bottom w:type="dxa" w:w="100"/>
              <w:right w:type="dxa" w:w="120"/>
            </w:tcMar>
          </w:tcPr>
          <w:p>
            <w:r>
              <w:rPr>
                <w:b/>
                <w:bCs/>
                <w:sz w:val="20"/>
                <w:szCs w:val="20"/>
              </w:rPr>
              <w:t xml:space="preserve">Basis</w:t>
            </w:r>
          </w:p>
        </w:tc>
      </w:tr>
      <w:tr>
        <w:tc>
          <w:tcPr>
            <w:tcW w:type="dxa" w:w="3600"/>
            <w:tcMar>
              <w:top w:type="dxa" w:w="100"/>
              <w:left w:type="dxa" w:w="120"/>
              <w:bottom w:type="dxa" w:w="100"/>
              <w:right w:type="dxa" w:w="120"/>
            </w:tcMar>
          </w:tcPr>
          <w:p>
            <w:r>
              <w:rPr>
                <w:b w:val="false"/>
                <w:bCs w:val="false"/>
                <w:sz w:val="20"/>
                <w:szCs w:val="20"/>
              </w:rPr>
              <w:t xml:space="preserve">NCG spectral triple, heat-kernel expansion, a0/a2/a4 structure</w:t>
            </w:r>
          </w:p>
        </w:tc>
        <w:tc>
          <w:tcPr>
            <w:tcW w:type="dxa" w:w="2880"/>
            <w:tcMar>
              <w:top w:type="dxa" w:w="100"/>
              <w:left w:type="dxa" w:w="120"/>
              <w:bottom w:type="dxa" w:w="100"/>
              <w:right w:type="dxa" w:w="120"/>
            </w:tcMar>
          </w:tcPr>
          <w:p>
            <w:r>
              <w:rPr>
                <w:b w:val="false"/>
                <w:bCs w:val="false"/>
                <w:sz w:val="20"/>
                <w:szCs w:val="20"/>
              </w:rPr>
              <w:t xml:space="preserve">● Established</w:t>
            </w:r>
          </w:p>
        </w:tc>
        <w:tc>
          <w:tcPr>
            <w:tcW w:type="dxa" w:w="2880"/>
            <w:tcMar>
              <w:top w:type="dxa" w:w="100"/>
              <w:left w:type="dxa" w:w="120"/>
              <w:bottom w:type="dxa" w:w="100"/>
              <w:right w:type="dxa" w:w="120"/>
            </w:tcMar>
          </w:tcPr>
          <w:p>
            <w:r>
              <w:rPr>
                <w:b w:val="false"/>
                <w:bCs w:val="false"/>
                <w:sz w:val="20"/>
                <w:szCs w:val="20"/>
              </w:rPr>
              <w:t xml:space="preserve">Connes-Chamseddine 1997; standard QFT heat-kernel theory</w:t>
            </w:r>
          </w:p>
        </w:tc>
      </w:tr>
      <w:tr>
        <w:tc>
          <w:tcPr>
            <w:tcW w:type="dxa" w:w="3600"/>
            <w:tcMar>
              <w:top w:type="dxa" w:w="100"/>
              <w:left w:type="dxa" w:w="120"/>
              <w:bottom w:type="dxa" w:w="100"/>
              <w:right w:type="dxa" w:w="120"/>
            </w:tcMar>
          </w:tcPr>
          <w:p>
            <w:r>
              <w:rPr>
                <w:b w:val="false"/>
                <w:bCs w:val="false"/>
                <w:sz w:val="20"/>
                <w:szCs w:val="20"/>
              </w:rPr>
              <w:t xml:space="preserve">Higgs quartic λH is a forced output of Tr(Y⁴)/Tr(Y²)², not a free input</w:t>
            </w:r>
          </w:p>
        </w:tc>
        <w:tc>
          <w:tcPr>
            <w:tcW w:type="dxa" w:w="2880"/>
            <w:tcMar>
              <w:top w:type="dxa" w:w="100"/>
              <w:left w:type="dxa" w:w="120"/>
              <w:bottom w:type="dxa" w:w="100"/>
              <w:right w:type="dxa" w:w="120"/>
            </w:tcMar>
          </w:tcPr>
          <w:p>
            <w:r>
              <w:rPr>
                <w:b w:val="false"/>
                <w:bCs w:val="false"/>
                <w:sz w:val="20"/>
                <w:szCs w:val="20"/>
              </w:rPr>
              <w:t xml:space="preserve">● Established</w:t>
            </w:r>
          </w:p>
        </w:tc>
        <w:tc>
          <w:tcPr>
            <w:tcW w:type="dxa" w:w="2880"/>
            <w:tcMar>
              <w:top w:type="dxa" w:w="100"/>
              <w:left w:type="dxa" w:w="120"/>
              <w:bottom w:type="dxa" w:w="100"/>
              <w:right w:type="dxa" w:w="120"/>
            </w:tcMar>
          </w:tcPr>
          <w:p>
            <w:r>
              <w:rPr>
                <w:b w:val="false"/>
                <w:bCs w:val="false"/>
                <w:sz w:val="20"/>
                <w:szCs w:val="20"/>
              </w:rPr>
              <w:t xml:space="preserve">Chamseddine-Connes-Marcolli 2007; verified symbolically below</w:t>
            </w:r>
          </w:p>
        </w:tc>
      </w:tr>
      <w:tr>
        <w:tc>
          <w:tcPr>
            <w:tcW w:type="dxa" w:w="3600"/>
            <w:tcMar>
              <w:top w:type="dxa" w:w="100"/>
              <w:left w:type="dxa" w:w="120"/>
              <w:bottom w:type="dxa" w:w="100"/>
              <w:right w:type="dxa" w:w="120"/>
            </w:tcMar>
          </w:tcPr>
          <w:p>
            <w:r>
              <w:rPr>
                <w:b w:val="false"/>
                <w:bCs w:val="false"/>
                <w:sz w:val="20"/>
                <w:szCs w:val="20"/>
              </w:rPr>
              <w:t xml:space="preserve">2007 prediction (mH ≈ 170 GeV) was checked against data and found wrong</w:t>
            </w:r>
          </w:p>
        </w:tc>
        <w:tc>
          <w:tcPr>
            <w:tcW w:type="dxa" w:w="2880"/>
            <w:tcMar>
              <w:top w:type="dxa" w:w="100"/>
              <w:left w:type="dxa" w:w="120"/>
              <w:bottom w:type="dxa" w:w="100"/>
              <w:right w:type="dxa" w:w="120"/>
            </w:tcMar>
          </w:tcPr>
          <w:p>
            <w:r>
              <w:rPr>
                <w:b w:val="false"/>
                <w:bCs w:val="false"/>
                <w:sz w:val="20"/>
                <w:szCs w:val="20"/>
              </w:rPr>
              <w:t xml:space="preserve">● Established</w:t>
            </w:r>
          </w:p>
        </w:tc>
        <w:tc>
          <w:tcPr>
            <w:tcW w:type="dxa" w:w="2880"/>
            <w:tcMar>
              <w:top w:type="dxa" w:w="100"/>
              <w:left w:type="dxa" w:w="120"/>
              <w:bottom w:type="dxa" w:w="100"/>
              <w:right w:type="dxa" w:w="120"/>
            </w:tcMar>
          </w:tcPr>
          <w:p>
            <w:r>
              <w:rPr>
                <w:b w:val="false"/>
                <w:bCs w:val="false"/>
                <w:sz w:val="20"/>
                <w:szCs w:val="20"/>
              </w:rPr>
              <w:t xml:space="preserve">ATLAS/CMS 2012 Higgs discovery at 125 GeV; Chamseddine-Connes 2012 retraction</w:t>
            </w:r>
          </w:p>
        </w:tc>
      </w:tr>
      <w:tr>
        <w:tc>
          <w:tcPr>
            <w:tcW w:type="dxa" w:w="3600"/>
            <w:tcMar>
              <w:top w:type="dxa" w:w="100"/>
              <w:left w:type="dxa" w:w="120"/>
              <w:bottom w:type="dxa" w:w="100"/>
              <w:right w:type="dxa" w:w="120"/>
            </w:tcMar>
          </w:tcPr>
          <w:p>
            <w:r>
              <w:rPr>
                <w:b w:val="false"/>
                <w:bCs w:val="false"/>
                <w:sz w:val="20"/>
                <w:szCs w:val="20"/>
              </w:rPr>
              <w:t xml:space="preserve">Grammar PDEs (Eq. 1-3 of the Executive Summary) reproduce the right fixed-point structure</w:t>
            </w:r>
          </w:p>
        </w:tc>
        <w:tc>
          <w:tcPr>
            <w:tcW w:type="dxa" w:w="2880"/>
            <w:tcMar>
              <w:top w:type="dxa" w:w="100"/>
              <w:left w:type="dxa" w:w="120"/>
              <w:bottom w:type="dxa" w:w="100"/>
              <w:right w:type="dxa" w:w="120"/>
            </w:tcMar>
          </w:tcPr>
          <w:p>
            <w:r>
              <w:rPr>
                <w:b w:val="false"/>
                <w:bCs w:val="false"/>
                <w:sz w:val="20"/>
                <w:szCs w:val="20"/>
              </w:rPr>
              <w:t xml:space="preserve">◐ Checked in this paper</w:t>
            </w:r>
          </w:p>
        </w:tc>
        <w:tc>
          <w:tcPr>
            <w:tcW w:type="dxa" w:w="2880"/>
            <w:tcMar>
              <w:top w:type="dxa" w:w="100"/>
              <w:left w:type="dxa" w:w="120"/>
              <w:bottom w:type="dxa" w:w="100"/>
              <w:right w:type="dxa" w:w="120"/>
            </w:tcMar>
          </w:tcPr>
          <w:p>
            <w:r>
              <w:rPr>
                <w:b w:val="false"/>
                <w:bCs w:val="false"/>
                <w:sz w:val="20"/>
                <w:szCs w:val="20"/>
              </w:rPr>
              <w:t xml:space="preserve">Direct symbolic verification, Section 3</w:t>
            </w:r>
          </w:p>
        </w:tc>
      </w:tr>
      <w:tr>
        <w:tc>
          <w:tcPr>
            <w:tcW w:type="dxa" w:w="3600"/>
            <w:tcMar>
              <w:top w:type="dxa" w:w="100"/>
              <w:left w:type="dxa" w:w="120"/>
              <w:bottom w:type="dxa" w:w="100"/>
              <w:right w:type="dxa" w:w="120"/>
            </w:tcMar>
          </w:tcPr>
          <w:p>
            <w:r>
              <w:rPr>
                <w:b w:val="false"/>
                <w:bCs w:val="false"/>
                <w:sz w:val="20"/>
                <w:szCs w:val="20"/>
              </w:rPr>
              <w:t xml:space="preserve">Grammar coefficient γ (Eq. 3) is fixed by spectral data the way λH is</w:t>
            </w:r>
          </w:p>
        </w:tc>
        <w:tc>
          <w:tcPr>
            <w:tcW w:type="dxa" w:w="2880"/>
            <w:tcMar>
              <w:top w:type="dxa" w:w="100"/>
              <w:left w:type="dxa" w:w="120"/>
              <w:bottom w:type="dxa" w:w="100"/>
              <w:right w:type="dxa" w:w="120"/>
            </w:tcMar>
          </w:tcPr>
          <w:p>
            <w:r>
              <w:rPr>
                <w:b w:val="false"/>
                <w:bCs w:val="false"/>
                <w:sz w:val="20"/>
                <w:szCs w:val="20"/>
              </w:rPr>
              <w:t xml:space="preserve">○ Tested and falsified</w:t>
            </w:r>
          </w:p>
        </w:tc>
        <w:tc>
          <w:tcPr>
            <w:tcW w:type="dxa" w:w="2880"/>
            <w:tcMar>
              <w:top w:type="dxa" w:w="100"/>
              <w:left w:type="dxa" w:w="120"/>
              <w:bottom w:type="dxa" w:w="100"/>
              <w:right w:type="dxa" w:w="120"/>
            </w:tcMar>
          </w:tcPr>
          <w:p>
            <w:r>
              <w:rPr>
                <w:b w:val="false"/>
                <w:bCs w:val="false"/>
                <w:sz w:val="20"/>
                <w:szCs w:val="20"/>
              </w:rPr>
              <w:t xml:space="preserve">Section 4: no such dependence exists in the source document or is recoverable from it</w:t>
            </w:r>
          </w:p>
        </w:tc>
      </w:tr>
      <w:tr>
        <w:tc>
          <w:tcPr>
            <w:tcW w:type="dxa" w:w="3600"/>
            <w:tcMar>
              <w:top w:type="dxa" w:w="100"/>
              <w:left w:type="dxa" w:w="120"/>
              <w:bottom w:type="dxa" w:w="100"/>
              <w:right w:type="dxa" w:w="120"/>
            </w:tcMar>
          </w:tcPr>
          <w:p>
            <w:r>
              <w:rPr>
                <w:b w:val="false"/>
                <w:bCs w:val="false"/>
                <w:sz w:val="20"/>
                <w:szCs w:val="20"/>
              </w:rPr>
              <w:t xml:space="preserve">The grammar mapping (Δ↔distinction, τ↔transformation, κ↔constraint) is forced by the spectral action</w:t>
            </w:r>
          </w:p>
        </w:tc>
        <w:tc>
          <w:tcPr>
            <w:tcW w:type="dxa" w:w="2880"/>
            <w:tcMar>
              <w:top w:type="dxa" w:w="100"/>
              <w:left w:type="dxa" w:w="120"/>
              <w:bottom w:type="dxa" w:w="100"/>
              <w:right w:type="dxa" w:w="120"/>
            </w:tcMar>
          </w:tcPr>
          <w:p>
            <w:r>
              <w:rPr>
                <w:b w:val="false"/>
                <w:bCs w:val="false"/>
                <w:sz w:val="20"/>
                <w:szCs w:val="20"/>
              </w:rPr>
              <w:t xml:space="preserve">○ Falsified by this test</w:t>
            </w:r>
          </w:p>
        </w:tc>
        <w:tc>
          <w:tcPr>
            <w:tcW w:type="dxa" w:w="2880"/>
            <w:tcMar>
              <w:top w:type="dxa" w:w="100"/>
              <w:left w:type="dxa" w:w="120"/>
              <w:bottom w:type="dxa" w:w="100"/>
              <w:right w:type="dxa" w:w="120"/>
            </w:tcMar>
          </w:tcPr>
          <w:p>
            <w:r>
              <w:rPr>
                <w:b w:val="false"/>
                <w:bCs w:val="false"/>
                <w:sz w:val="20"/>
                <w:szCs w:val="20"/>
              </w:rPr>
              <w:t xml:space="preserve">Section 4-5</w:t>
            </w:r>
          </w:p>
        </w:tc>
      </w:tr>
    </w:tbl>
    <w:p>
      <w:pPr>
        <w:spacing w:after="240" w:before="80"/>
      </w:pPr>
      <w:r>
        <w:rPr>
          <w:i/>
          <w:iCs/>
          <w:color w:val="555555"/>
          <w:sz w:val="18"/>
          <w:szCs w:val="18"/>
        </w:rPr>
        <w:t xml:space="preserve">Table 1. Epistemic status of every component used or tested in this paper. The first three rows are independently verifiable historical and mathematical fact. The fourth and fifth rows are this paper's own contribution.</w:t>
      </w:r>
    </w:p>
    <w:p>
      <w:pPr>
        <w:pStyle w:val="Heading1"/>
      </w:pPr>
      <w:r>
        <w:t xml:space="preserve">6. WHAT THIS DOES AND DOES NOT SHOW</w:t>
      </w:r>
    </w:p>
    <w:p>
      <w:pPr>
        <w:spacing w:after="160" w:line="276"/>
      </w:pPr>
      <w:r>
        <w:t xml:space="preserve">This result does not show that no correspondence between noncommutative spectral geometry and a distinction-transformation-constraint grammar can exist. It shows that the specific correspondence proposed in the Executive Summary, for the specific coefficient checked, has not been built to the standard its own framing implicitly claims. The document's own honesty about the mapping being “likely metaphorical” in places was correct, and this paper supplies the mechanism that confirms it for at least one concrete case rather than leaving the concern as a stated hunch.</w:t>
      </w:r>
    </w:p>
    <w:p>
      <w:pPr>
        <w:spacing w:after="160" w:line="276"/>
      </w:pPr>
      <w:r>
        <w:t xml:space="preserve">It is also worth being precise about scope. This paper tested one coefficient (γ, Candidate 3) against one historical precedent (λH). The other two candidate equations in the Executive Summary, the curvature equation (Candidate 2) and the distinction-persistence coupling (Candidate 1), have not been tested against their corresponding heat-kernel objects (a₂ for curvature, a₀ and a₄ jointly for the coupled system) and remain open. The falsifiability table below states the precise condition under which the conclusion of this paper would need to be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5C8A" w:val="clear"/>
            <w:tcMar>
              <w:top w:type="dxa" w:w="100"/>
              <w:left w:type="dxa" w:w="120"/>
              <w:bottom w:type="dxa" w:w="100"/>
              <w:right w:type="dxa" w:w="120"/>
            </w:tcMar>
          </w:tcPr>
          <w:p>
            <w:r>
              <w:rPr>
                <w:b/>
                <w:bCs/>
                <w:sz w:val="20"/>
                <w:szCs w:val="20"/>
              </w:rPr>
              <w:t xml:space="preserve">If This Is Demonstrated:</w:t>
            </w:r>
          </w:p>
        </w:tc>
        <w:tc>
          <w:tcPr>
            <w:tcW w:type="dxa" w:w="4680"/>
            <w:shd w:fill="2E5C8A" w:val="clear"/>
            <w:tcMar>
              <w:top w:type="dxa" w:w="100"/>
              <w:left w:type="dxa" w:w="120"/>
              <w:bottom w:type="dxa" w:w="100"/>
              <w:right w:type="dxa" w:w="120"/>
            </w:tcMar>
          </w:tcPr>
          <w:p>
            <w:r>
              <w:rPr>
                <w:b/>
                <w:bCs/>
                <w:sz w:val="20"/>
                <w:szCs w:val="20"/>
              </w:rPr>
              <w:t xml:space="preserve">Then:</w:t>
            </w:r>
          </w:p>
        </w:tc>
      </w:tr>
      <w:tr>
        <w:tc>
          <w:tcPr>
            <w:tcW w:type="dxa" w:w="4680"/>
            <w:tcMar>
              <w:top w:type="dxa" w:w="100"/>
              <w:left w:type="dxa" w:w="120"/>
              <w:bottom w:type="dxa" w:w="100"/>
              <w:right w:type="dxa" w:w="120"/>
            </w:tcMar>
          </w:tcPr>
          <w:p>
            <w:r>
              <w:rPr>
                <w:b w:val="false"/>
                <w:bCs w:val="false"/>
                <w:sz w:val="20"/>
                <w:szCs w:val="20"/>
              </w:rPr>
              <w:t xml:space="preserve">A future version of the grammar mapping derives γ (or any dynamical coefficient) as an explicit function of Tr(A_F-dependent spectral data) and that function is checked against a real finite algebra</w:t>
            </w:r>
          </w:p>
        </w:tc>
        <w:tc>
          <w:tcPr>
            <w:tcW w:type="dxa" w:w="4680"/>
            <w:tcMar>
              <w:top w:type="dxa" w:w="100"/>
              <w:left w:type="dxa" w:w="120"/>
              <w:bottom w:type="dxa" w:w="100"/>
              <w:right w:type="dxa" w:w="120"/>
            </w:tcMar>
          </w:tcPr>
          <w:p>
            <w:r>
              <w:rPr>
                <w:b w:val="false"/>
                <w:bCs w:val="false"/>
                <w:sz w:val="20"/>
                <w:szCs w:val="20"/>
              </w:rPr>
              <w:t xml:space="preserve">The forced-mapping claim of this paper is overturned for that coefficient; the mapping graduates from decorative to structural for that term</w:t>
            </w:r>
          </w:p>
        </w:tc>
      </w:tr>
      <w:tr>
        <w:tc>
          <w:tcPr>
            <w:tcW w:type="dxa" w:w="4680"/>
            <w:tcMar>
              <w:top w:type="dxa" w:w="100"/>
              <w:left w:type="dxa" w:w="120"/>
              <w:bottom w:type="dxa" w:w="100"/>
              <w:right w:type="dxa" w:w="120"/>
            </w:tcMar>
          </w:tcPr>
          <w:p>
            <w:r>
              <w:rPr>
                <w:b w:val="false"/>
                <w:bCs w:val="false"/>
                <w:sz w:val="20"/>
                <w:szCs w:val="20"/>
              </w:rPr>
              <w:t xml:space="preserve">No such derivation is produced for any of the three grammar PDEs across further iterations of this research program</w:t>
            </w:r>
          </w:p>
        </w:tc>
        <w:tc>
          <w:tcPr>
            <w:tcW w:type="dxa" w:w="4680"/>
            <w:tcMar>
              <w:top w:type="dxa" w:w="100"/>
              <w:left w:type="dxa" w:w="120"/>
              <w:bottom w:type="dxa" w:w="100"/>
              <w:right w:type="dxa" w:w="120"/>
            </w:tcMar>
          </w:tcPr>
          <w:p>
            <w:r>
              <w:rPr>
                <w:b w:val="false"/>
                <w:bCs w:val="false"/>
                <w:sz w:val="20"/>
                <w:szCs w:val="20"/>
              </w:rPr>
              <w:t xml:space="preserve">The conclusion of this paper stands: the grammar correspondence is a vocabulary overlay on the spectral action, not a consequence of it</w:t>
            </w:r>
          </w:p>
        </w:tc>
      </w:tr>
      <w:tr>
        <w:tc>
          <w:tcPr>
            <w:tcW w:type="dxa" w:w="4680"/>
            <w:tcMar>
              <w:top w:type="dxa" w:w="100"/>
              <w:left w:type="dxa" w:w="120"/>
              <w:bottom w:type="dxa" w:w="100"/>
              <w:right w:type="dxa" w:w="120"/>
            </w:tcMar>
          </w:tcPr>
          <w:p>
            <w:r>
              <w:rPr>
                <w:b w:val="false"/>
                <w:bCs w:val="false"/>
                <w:sz w:val="20"/>
                <w:szCs w:val="20"/>
              </w:rPr>
              <w:t xml:space="preserve">A different finite algebra A_F (not the one used by Chamseddine-Connes-Marcolli) is shown to force the same α, β, γ ratios independently of which algebra is chosen</w:t>
            </w:r>
          </w:p>
        </w:tc>
        <w:tc>
          <w:tcPr>
            <w:tcW w:type="dxa" w:w="4680"/>
            <w:tcMar>
              <w:top w:type="dxa" w:w="100"/>
              <w:left w:type="dxa" w:w="120"/>
              <w:bottom w:type="dxa" w:w="100"/>
              <w:right w:type="dxa" w:w="120"/>
            </w:tcMar>
          </w:tcPr>
          <w:p>
            <w:r>
              <w:rPr>
                <w:b w:val="false"/>
                <w:bCs w:val="false"/>
                <w:sz w:val="20"/>
                <w:szCs w:val="20"/>
              </w:rPr>
              <w:t xml:space="preserve">This would be evidence the grammar IS partially structural — algebra-independence is exactly what a forced relation should show</w:t>
            </w:r>
          </w:p>
        </w:tc>
      </w:tr>
    </w:tbl>
    <w:p>
      <w:pPr>
        <w:spacing w:after="240" w:before="80"/>
      </w:pPr>
      <w:r>
        <w:rPr>
          <w:i/>
          <w:iCs/>
          <w:color w:val="555555"/>
          <w:sz w:val="18"/>
          <w:szCs w:val="18"/>
        </w:rPr>
        <w:t xml:space="preserve">Table 2. Falsifiability conditions for the claims of this paper, following the convention of DTC-RP-002 and DTC-RP-003.</w:t>
      </w:r>
    </w:p>
    <w:p>
      <w:pPr>
        <w:pStyle w:val="Heading1"/>
      </w:pPr>
      <w:r>
        <w:t xml:space="preserve">7. WHAT A PASSING VERSION WOULD REQUIRE</w:t>
      </w:r>
    </w:p>
    <w:p>
      <w:pPr>
        <w:spacing w:after="160" w:line="276"/>
      </w:pPr>
      <w:r>
        <w:t xml:space="preserve">The path forward implied by this result is concrete rather than discouraging. For the grammar mapping to pass the test applied here, a future document in this series would need to do the following, in order, for at least one of the three candidate equations:</w:t>
      </w:r>
    </w:p>
    <w:p>
      <w:pPr>
        <w:pStyle w:val="ListParagraph"/>
        <w:numPr>
          <w:ilvl w:val="0"/>
          <w:numId w:val="2"/>
        </w:numPr>
        <w:spacing w:after="100"/>
      </w:pPr>
      <w:r>
        <w:t xml:space="preserve">Fix a specific finite algebra A_F and an explicit fermion representation, the way Chamseddine-Connes-Marcolli fixed theirs.</w:t>
      </w:r>
    </w:p>
    <w:p>
      <w:pPr>
        <w:pStyle w:val="ListParagraph"/>
        <w:numPr>
          <w:ilvl w:val="0"/>
          <w:numId w:val="2"/>
        </w:numPr>
        <w:spacing w:after="100"/>
      </w:pPr>
      <w:r>
        <w:t xml:space="preserve">Compute the relevant heat-kernel coefficient (a₀, a₂, or a₄) for that explicit choice using Seeley-DeWitt methods, not by citing the general form.</w:t>
      </w:r>
    </w:p>
    <w:p>
      <w:pPr>
        <w:pStyle w:val="ListParagraph"/>
        <w:numPr>
          <w:ilvl w:val="0"/>
          <w:numId w:val="2"/>
        </w:numPr>
        <w:spacing w:after="100"/>
      </w:pPr>
      <w:r>
        <w:t xml:space="preserve">Derive the grammar's dynamical coefficient (α, β, or γ) as an explicit function of that computed coefficient, with no remaining free parameter standing in for it.</w:t>
      </w:r>
    </w:p>
    <w:p>
      <w:pPr>
        <w:pStyle w:val="ListParagraph"/>
        <w:numPr>
          <w:ilvl w:val="0"/>
          <w:numId w:val="2"/>
        </w:numPr>
        <w:spacing w:after="100"/>
      </w:pPr>
      <w:r>
        <w:t xml:space="preserve">Check whether changing A_F, or changing the fermion content, changes the grammar coefficient in the way it changes λH — i.e., confirm the coefficient is load-bearing for at least one of the document's own stated predictions, not merely sign-constrained.</w:t>
      </w:r>
    </w:p>
    <w:p>
      <w:pPr>
        <w:spacing w:after="160" w:line="276"/>
      </w:pPr>
      <w:r>
        <w:t xml:space="preserve">Until this is done, the three candidate dynamical equations of the Executive Summary should be treated, in any document that builds on them, as exploratory PDEs that happen to reproduce qualitatively reasonable physics — stability, saturation, threshold behavior — rather than as derivations from the spectral action. That is a real and useful status. It is not the status the document's own framing, and the broader Rosetta Stone Protocol's ambition, would need it to have.</w:t>
      </w:r>
    </w:p>
    <w:p>
      <w:pPr>
        <w:pStyle w:val="Heading1"/>
      </w:pPr>
      <w:r>
        <w:t xml:space="preserve">8. CONCLUSION</w:t>
      </w:r>
    </w:p>
    <w:p>
      <w:pPr>
        <w:spacing w:after="160" w:line="276"/>
      </w:pPr>
      <w:r>
        <w:t xml:space="preserve">The 2012 correction to the spectral Standard Model is, properly read, the clearest available illustration of what it means for a cross-domain correspondence to be real rather than notational: a forced quantity made a sharp, checkable claim, the claim was checked against independent data, found wrong, and traced back to a specific, locatable gap in the original derivation rather than patched by retuning a free parameter. This paper applied that same standard to the grammar's own dynamical coefficient γ and found that no equivalent forcing relation exists in the source document, and that the document's own headline prediction does not depend on the value of the coefficient it was supposedly derived from. This is reported as a genuine, specific, falsifying result for one piece of the broader research program, in keeping with the standard the program has set for itself elsewhere, and Section 7 states exactly what would need to be supplied to overturn it.</w:t>
      </w:r>
    </w:p>
    <w:p>
      <w:pPr>
        <w:pStyle w:val="Heading1"/>
      </w:pPr>
      <w:r>
        <w:t xml:space="preserve">APPENDIX: SYMBOLIC VERIFICATION CODE</w:t>
      </w:r>
    </w:p>
    <w:p>
      <w:pPr>
        <w:spacing w:after="160" w:line="276"/>
      </w:pPr>
      <w:r>
        <w:rPr>
          <w:i/>
          <w:iCs/>
        </w:rPr>
        <w:t xml:space="preserve">The following SymPy computation produces the numeric results cited in Section 3. It is included in full so the calculation can be independently re-run rather than taken on faith.</w:t>
      </w:r>
    </w:p>
    <w:p>
      <w:pPr>
        <w:shd w:fill="F4F4F4" w:val="clear"/>
        <w:spacing w:after="0"/>
      </w:pPr>
      <w:r>
        <w:rPr>
          <w:rFonts w:ascii="Courier New" w:cs="Courier New" w:eastAsia="Courier New" w:hAnsi="Courier New"/>
          <w:sz w:val="18"/>
          <w:szCs w:val="18"/>
        </w:rPr>
        <w:t xml:space="preserve">import sympy as sp</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m_t, m_b, m_tau, v = sp.symbols('m_t m_b m_tau v', positive=True)</w:t>
      </w:r>
    </w:p>
    <w:p>
      <w:pPr>
        <w:shd w:fill="F4F4F4" w:val="clear"/>
        <w:spacing w:after="0"/>
      </w:pPr>
      <w:r>
        <w:rPr>
          <w:rFonts w:ascii="Courier New" w:cs="Courier New" w:eastAsia="Courier New" w:hAnsi="Courier New"/>
          <w:sz w:val="18"/>
          <w:szCs w:val="18"/>
        </w:rPr>
        <w:t xml:space="preserve">y_t, y_b, y_tau = sp.sqrt(2)*m_t/v, sp.sqrt(2)*m_b/v, sp.sqrt(2)*m_tau/v</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TrY2 = y_t**2 + y_b**2 + y_tau**2</w:t>
      </w:r>
    </w:p>
    <w:p>
      <w:pPr>
        <w:shd w:fill="F4F4F4" w:val="clear"/>
        <w:spacing w:after="0"/>
      </w:pPr>
      <w:r>
        <w:rPr>
          <w:rFonts w:ascii="Courier New" w:cs="Courier New" w:eastAsia="Courier New" w:hAnsi="Courier New"/>
          <w:sz w:val="18"/>
          <w:szCs w:val="18"/>
        </w:rPr>
        <w:t xml:space="preserve">TrY4 = y_t**4 + y_b**4 + y_tau**4</w:t>
      </w:r>
    </w:p>
    <w:p>
      <w:pPr>
        <w:shd w:fill="F4F4F4" w:val="clear"/>
        <w:spacing w:after="0"/>
      </w:pPr>
      <w:r>
        <w:rPr>
          <w:rFonts w:ascii="Courier New" w:cs="Courier New" w:eastAsia="Courier New" w:hAnsi="Courier New"/>
          <w:sz w:val="18"/>
          <w:szCs w:val="18"/>
        </w:rPr>
        <w:t xml:space="preserve">ratio = sp.simplify(TrY4 / TrY2**2)</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numeric_ratio = ratio.subs({m_t: 173.0, m_b: 4.18, m_tau: 1.777, v: 246.0})</w:t>
      </w:r>
    </w:p>
    <w:p>
      <w:pPr>
        <w:shd w:fill="F4F4F4" w:val="clear"/>
        <w:spacing w:after="0"/>
      </w:pPr>
      <w:r>
        <w:rPr>
          <w:rFonts w:ascii="Courier New" w:cs="Courier New" w:eastAsia="Courier New" w:hAnsi="Courier New"/>
          <w:sz w:val="18"/>
          <w:szCs w:val="18"/>
        </w:rPr>
        <w:t xml:space="preserve"># numeric_ratio evaluates to 0.9986231709368419</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top_dominance_limit = sp.limit(ratio.subs({m_b: 0, m_tau: 0}), m_t, sp.oo)</w:t>
      </w:r>
    </w:p>
    <w:p>
      <w:pPr>
        <w:shd w:fill="F4F4F4" w:val="clear"/>
        <w:spacing w:after="0"/>
      </w:pPr>
      <w:r>
        <w:rPr>
          <w:rFonts w:ascii="Courier New" w:cs="Courier New" w:eastAsia="Courier New" w:hAnsi="Courier New"/>
          <w:sz w:val="18"/>
          <w:szCs w:val="18"/>
        </w:rPr>
        <w:t xml:space="preserve"># top_dominance_limit evaluates to 1</w:t>
      </w:r>
    </w:p>
    <w:p>
      <w:pPr>
        <w:pStyle w:val="Heading1"/>
      </w:pPr>
      <w:r>
        <w:t xml:space="preserve">REFERENCES</w:t>
      </w:r>
    </w:p>
    <w:p>
      <w:pPr>
        <w:spacing w:after="120"/>
        <w:ind w:left="360" w:hanging="360"/>
      </w:pPr>
      <w:r>
        <w:rPr>
          <w:sz w:val="19"/>
          <w:szCs w:val="19"/>
        </w:rPr>
        <w:t xml:space="preserve">[1]  Chamseddine, A. H., &amp; Connes, A. (1997). The spectral action principle. Communications in Mathematical Physics, 186(3), 731–750.</w:t>
      </w:r>
    </w:p>
    <w:p>
      <w:pPr>
        <w:spacing w:after="120"/>
        <w:ind w:left="360" w:hanging="360"/>
      </w:pPr>
      <w:r>
        <w:rPr>
          <w:sz w:val="19"/>
          <w:szCs w:val="19"/>
        </w:rPr>
        <w:t xml:space="preserve">[2]  Chamseddine, A. H., Connes, A., &amp; Marcolli, M. (2007). Gravity and the standard model with neutrino mixing. Advances in Theoretical and Mathematical Physics, 11(6), 991–1089.</w:t>
      </w:r>
    </w:p>
    <w:p>
      <w:pPr>
        <w:spacing w:after="120"/>
        <w:ind w:left="360" w:hanging="360"/>
      </w:pPr>
      <w:r>
        <w:rPr>
          <w:sz w:val="19"/>
          <w:szCs w:val="19"/>
        </w:rPr>
        <w:t xml:space="preserve">[3]  Chamseddine, A. H., &amp; Connes, A. (2012). Resilience of the spectral standard model. Journal of High Energy Physics, 2012(9), 104.</w:t>
      </w:r>
    </w:p>
    <w:p>
      <w:pPr>
        <w:spacing w:after="120"/>
        <w:ind w:left="360" w:hanging="360"/>
      </w:pPr>
      <w:r>
        <w:rPr>
          <w:sz w:val="19"/>
          <w:szCs w:val="19"/>
        </w:rPr>
        <w:t xml:space="preserve">[4]  ATLAS Collaboration. (2012). Observation of a new particle in the search for the Standard Model Higgs boson with the ATLAS detector at the LHC. Physics Letters B, 716(1), 1–29.</w:t>
      </w:r>
    </w:p>
    <w:p>
      <w:pPr>
        <w:spacing w:after="120"/>
        <w:ind w:left="360" w:hanging="360"/>
      </w:pPr>
      <w:r>
        <w:rPr>
          <w:sz w:val="19"/>
          <w:szCs w:val="19"/>
        </w:rPr>
        <w:t xml:space="preserve">[5]  CMS Collaboration. (2012). Observation of a new boson at a mass of 125 GeV with the CMS experiment at the LHC. Physics Letters B, 716(1), 30–61.</w:t>
      </w:r>
    </w:p>
    <w:p>
      <w:pPr>
        <w:spacing w:after="120"/>
        <w:ind w:left="360" w:hanging="360"/>
      </w:pPr>
      <w:r>
        <w:rPr>
          <w:sz w:val="19"/>
          <w:szCs w:val="19"/>
        </w:rPr>
        <w:t xml:space="preserve">[6]  Blaze, K. I. (2026). The Rosetta Stone: A Necessity-Based Grammar of Physical Law. DTC Universality Program, RP-002.</w:t>
      </w:r>
    </w:p>
    <w:p>
      <w:pPr>
        <w:spacing w:after="120"/>
        <w:ind w:left="360" w:hanging="360"/>
      </w:pPr>
      <w:r>
        <w:rPr>
          <w:sz w:val="19"/>
          <w:szCs w:val="19"/>
        </w:rPr>
        <w:t xml:space="preserve">[7]  Blaze, K. I. (2026). The Unified Rosetta Stone: A Candidate Theory of Everything. DTC Universality Program, RP-003.</w:t>
      </w:r>
    </w:p>
    <w:p>
      <w:pPr>
        <w:spacing w:after="120"/>
        <w:ind w:left="360" w:hanging="360"/>
      </w:pPr>
      <w:r>
        <w:rPr>
          <w:sz w:val="19"/>
          <w:szCs w:val="19"/>
        </w:rPr>
        <w:t xml:space="preserve">[8]  [Unattributed working document.] Executive Summary: Mapping the Spectral Action onto the Distinction–Persistence–Regeneration Grammar. DTC Universality Program, working notes.</w:t>
      </w:r>
    </w:p>
    <w:p>
      <w:pPr>
        <w:pBdr>
          <w:top w:val="single" w:color="CCCCCC" w:sz="4" w:space="8"/>
        </w:pBdr>
        <w:spacing w:before="400"/>
        <w:jc w:val="center"/>
      </w:pPr>
      <w:r>
        <w:rPr>
          <w:color w:val="888888"/>
          <w:sz w:val="16"/>
          <w:szCs w:val="16"/>
        </w:rPr>
        <w:t xml:space="preserve">END OF DOCUMENT  ·  DTC-RP-004  ·  Keith I. Blaze  ·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DTC-RP-004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888888"/>
        <w:sz w:val="16"/>
        <w:szCs w:val="16"/>
      </w:rPr>
      <w:t xml:space="preserve">FORCED VS. FREE: A SEELEY-DEWITT TEST OF THE SPECTRAL-GRAMMAR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A1A1A"/>
      <w:sz w:val="25"/>
      <w:szCs w:val="25"/>
    </w:rPr>
  </w:style>
  <w:style w:type="paragraph" w:styleId="Heading3">
    <w:name w:val="Heading 3"/>
    <w:basedOn w:val="Normal"/>
    <w:next w:val="Normal"/>
    <w:qFormat/>
    <w:pPr>
      <w:spacing w:after="120" w:before="220"/>
      <w:outlineLvl w:val="2"/>
    </w:pPr>
    <w:rPr>
      <w:rFonts w:ascii="Arial" w:cs="Arial" w:eastAsia="Arial" w:hAnsi="Arial"/>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2026-06-20T23:04:47.956Z</dcterms:created>
  <dcterms:modified xsi:type="dcterms:W3CDTF">2026-06-20T23:04:47.956Z</dcterms:modified>
</cp:coreProperties>
</file>

<file path=docProps/custom.xml><?xml version="1.0" encoding="utf-8"?>
<Properties xmlns="http://schemas.openxmlformats.org/officeDocument/2006/custom-properties" xmlns:vt="http://schemas.openxmlformats.org/officeDocument/2006/docPropsVTypes"/>
</file>