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rPr>
          <w:rFonts w:ascii="Garamond" w:cs="Garamond" w:eastAsia="Garamond" w:hAnsi="Garamond"/>
        </w:rPr>
        <w:t xml:space="preserve"/>
      </w:r>
    </w:p>
    <w:p>
      <w:pPr>
        <w:spacing w:after="90" w:before="0"/>
        <w:jc w:val="center"/>
      </w:pPr>
      <w:r>
        <w:rPr>
          <w:rFonts w:ascii="Arial" w:cs="Arial" w:eastAsia="Arial" w:hAnsi="Arial"/>
          <w:b/>
          <w:bCs/>
          <w:color w:val="1B2A4A"/>
          <w:sz w:val="44"/>
          <w:szCs w:val="44"/>
        </w:rPr>
        <w:t xml:space="preserve">THE UNIFIED ROSETTA STONE</w:t>
      </w:r>
    </w:p>
    <w:p>
      <w:pPr>
        <w:spacing w:after="60" w:before="0"/>
        <w:jc w:val="center"/>
      </w:pPr>
      <w:r>
        <w:rPr>
          <w:rFonts w:ascii="Garamond" w:cs="Garamond" w:eastAsia="Garamond" w:hAnsi="Garamond"/>
          <w:i/>
          <w:iCs/>
          <w:color w:val="4A6FA5"/>
          <w:sz w:val="27"/>
          <w:szCs w:val="27"/>
        </w:rPr>
        <w:t xml:space="preserve">A Candidate Theory of Everything Under a Corrected Definition</w:t>
      </w:r>
    </w:p>
    <w:p>
      <w:pPr>
        <w:spacing w:after="70" w:before="0"/>
        <w:jc w:val="center"/>
      </w:pPr>
      <w:r>
        <w:rPr>
          <w:rFonts w:ascii="Garamond" w:cs="Garamond" w:eastAsia="Garamond" w:hAnsi="Garamond"/>
          <w:color w:val="555555"/>
          <w:sz w:val="20"/>
          <w:szCs w:val="20"/>
        </w:rPr>
        <w:t xml:space="preserve">Distinction · Transformation · Constraint — Grammar, Dynamics, and Their Limits</w:t>
      </w:r>
    </w:p>
    <w:p>
      <w:pPr>
        <w:pBdr>
          <w:bottom w:val="single" w:color="B8860B" w:sz="6" w:space="1"/>
        </w:pBdr>
        <w:spacing w:after="100" w:before="50"/>
      </w:pPr>
      <w:r>
        <w:rPr>
          <w:rFonts w:ascii="Garamond" w:cs="Garamond" w:eastAsia="Garamond" w:hAnsi="Garamond"/>
        </w:rPr>
        <w:t xml:space="preserve"/>
      </w:r>
    </w:p>
    <w:p>
      <w:pPr>
        <w:spacing w:after="35" w:before="60"/>
        <w:jc w:val="center"/>
      </w:pPr>
      <w:r>
        <w:rPr>
          <w:rFonts w:ascii="Arial" w:cs="Arial" w:eastAsia="Arial" w:hAnsi="Arial"/>
          <w:b/>
          <w:bCs/>
          <w:sz w:val="23"/>
          <w:szCs w:val="23"/>
        </w:rPr>
        <w:t xml:space="preserve">Keith I. Blaze</w:t>
      </w:r>
    </w:p>
    <w:p>
      <w:pPr>
        <w:spacing w:after="35" w:before="0"/>
        <w:jc w:val="center"/>
      </w:pPr>
      <w:r>
        <w:rPr>
          <w:rFonts w:ascii="Garamond" w:cs="Garamond" w:eastAsia="Garamond" w:hAnsi="Garamond"/>
          <w:i/>
          <w:iCs/>
          <w:color w:val="555555"/>
          <w:sz w:val="19"/>
          <w:szCs w:val="19"/>
        </w:rPr>
        <w:t xml:space="preserve">Independent Researcher — DTC Universality Program</w:t>
      </w:r>
    </w:p>
    <w:p>
      <w:pPr>
        <w:spacing w:after="280" w:before="0"/>
        <w:jc w:val="center"/>
      </w:pPr>
      <w:r>
        <w:rPr>
          <w:rFonts w:ascii="Garamond" w:cs="Garamond" w:eastAsia="Garamond" w:hAnsi="Garamond"/>
          <w:color w:val="777777"/>
          <w:sz w:val="18"/>
          <w:szCs w:val="18"/>
        </w:rPr>
        <w:t xml:space="preserve">Document Reference: DTC-RP-003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G = (D, T, C)            R emerges from (D,T,C)</w:t>
            </w:r>
          </w:p>
          <w:p>
            <w:pPr>
              <w:spacing w:after="25" w:before="25"/>
              <w:jc w:val="center"/>
            </w:pPr>
            <w:r>
              <w:rPr>
                <w:rFonts w:ascii="Courier New" w:cs="Courier New" w:eastAsia="Courier New" w:hAnsi="Courier New"/>
                <w:sz w:val="20"/>
                <w:szCs w:val="20"/>
              </w:rPr>
              <w:t xml:space="preserve"/>
            </w:r>
          </w:p>
          <w:p>
            <w:pPr>
              <w:spacing w:after="25" w:before="25"/>
              <w:jc w:val="center"/>
            </w:pPr>
            <w:r>
              <w:rPr>
                <w:rFonts w:ascii="Courier New" w:cs="Courier New" w:eastAsia="Courier New" w:hAnsi="Courier New"/>
                <w:sz w:val="20"/>
                <w:szCs w:val="20"/>
              </w:rPr>
              <w:t xml:space="preserve">∂D/∂t = αT + γCD − βD − λD²</w:t>
            </w:r>
          </w:p>
          <w:p>
            <w:pPr>
              <w:spacing w:after="25" w:before="25"/>
              <w:jc w:val="center"/>
            </w:pPr>
            <w:r>
              <w:rPr>
                <w:rFonts w:ascii="Courier New" w:cs="Courier New" w:eastAsia="Courier New" w:hAnsi="Courier New"/>
                <w:sz w:val="20"/>
                <w:szCs w:val="20"/>
              </w:rPr>
              <w:t xml:space="preserve">∂C/∂t = κC(1 − C/Cmax) − λTC</w:t>
            </w:r>
          </w:p>
          <w:p>
            <w:pPr>
              <w:spacing w:after="25" w:before="25"/>
              <w:jc w:val="center"/>
            </w:pPr>
            <w:r>
              <w:rPr>
                <w:rFonts w:ascii="Courier New" w:cs="Courier New" w:eastAsia="Courier New" w:hAnsi="Courier New"/>
                <w:sz w:val="20"/>
                <w:szCs w:val="20"/>
              </w:rPr>
              <w:t xml:space="preserve">∂P/∂t = P(αC − βT)</w:t>
            </w:r>
          </w:p>
          <w:p>
            <w:pPr>
              <w:spacing w:after="0" w:before="25"/>
              <w:jc w:val="center"/>
            </w:pPr>
            <w:r>
              <w:rPr>
                <w:rFonts w:ascii="Garamond" w:cs="Garamond" w:eastAsia="Garamond" w:hAnsi="Garamond"/>
                <w:i/>
                <w:iCs/>
                <w:color w:val="777777"/>
                <w:sz w:val="17"/>
                <w:szCs w:val="17"/>
              </w:rPr>
              <w:t xml:space="preserve">Grammar (top) and the dynamical generators derived from it (bottom)</w:t>
            </w:r>
          </w:p>
          <w:p>
            <w:pPr>
              <w:spacing w:after="0" w:before="25"/>
            </w:pPr>
            <w:r>
              <w:rPr>
                <w:rFonts w:ascii="Garamond" w:cs="Garamond" w:eastAsia="Garamond" w:hAnsi="Garamond"/>
              </w:rPr>
              <w:t xml:space="preserve"/>
            </w:r>
          </w:p>
        </w:tc>
      </w:tr>
    </w:tbl>
    <w:p>
      <w:pPr>
        <w:spacing w:after="0" w:before="140"/>
      </w:pPr>
      <w:r>
        <w:rPr>
          <w:rFonts w:ascii="Garamond" w:cs="Garamond" w:eastAsia="Garamond" w:hAnsi="Garamond"/>
        </w:rPr>
        <w:t xml:space="preserve"/>
      </w:r>
    </w:p>
    <w:p>
      <w:pPr>
        <w:spacing w:after="90" w:before="140"/>
      </w:pPr>
      <w:r>
        <w:rPr>
          <w:rFonts w:ascii="Arial" w:cs="Arial" w:eastAsia="Arial" w:hAnsi="Arial"/>
          <w:b/>
          <w:bCs/>
          <w:color w:val="1B2A4A"/>
          <w:sz w:val="19"/>
          <w:szCs w:val="19"/>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6FA5" w:sz="8"/>
              <w:left w:val="single" w:color="4A6FA5" w:sz="8"/>
              <w:bottom w:val="single" w:color="4A6FA5" w:sz="8"/>
              <w:right w:val="single" w:color="4A6FA5" w:sz="8"/>
            </w:tcBorders>
            <w:shd w:fill="F4F6FA" w:val="clear"/>
            <w:tcMar>
              <w:top w:type="dxa" w:w="160"/>
              <w:left w:type="dxa" w:w="200"/>
              <w:bottom w:type="dxa" w:w="160"/>
              <w:right w:type="dxa" w:w="200"/>
            </w:tcMar>
          </w:tcPr>
          <w:p>
            <w:pPr>
              <w:spacing w:after="100" w:before="0" w:line="305"/>
              <w:jc w:val="both"/>
            </w:pPr>
            <w:r>
              <w:rPr>
                <w:rFonts w:ascii="Garamond" w:cs="Garamond" w:eastAsia="Garamond" w:hAnsi="Garamond"/>
                <w:sz w:val="20"/>
                <w:szCs w:val="20"/>
              </w:rPr>
              <w:t xml:space="preserve">This paper does not claim to prove a final Theory of Everything. It claims to assemble, under a corrected and explicitly stated definition of what a TOE is, the most rigorous and falsifiable candidate currently available from established physics combined with new, numerically tested results. The corrected definition treats a TOE not as a single replacing field theory but as the minimal necessity grammar shared by every mature, predictively successful explanatory system. We formalize this grammar as G = (D, T, C) — Distinction, Transformation, Constraint — and prove, from elementary fixed-point mathematics, that Retention (persistence of structure) is a derived consequence of constrained transformation rather than an independent assumption. We show the grammar's instantiation across six independently developed, experimentally validated domains of physics and formal science. We present a genuine derivation, using only standard quantum field theory, that the Standard Model gauge group is the minimal anomaly-free structure satisfying local identity preservation. We ground the convergence mechanism of renormalization-group flow in the Banach Fixed-Point Theorem. We then extend the grammar into explicit dynamical equations — a step beyond prior compression-only protocols — and report, honestly, what happens when those equations are actually solved: a coupled persistence-constraint-pressure system possesses a genuine interior equilibrium, but that equilibrium is numerically unstable in every tested parameter regime, collapsing into one of two divergent outcomes. We treat this instability as a real and informative result rather than a failure to be hidden, and we identify the precise gap — a missing source term for renewable possibility — that a future iteration would need to close. This paper is offered as a theoretical document: not absolute proof, but, to the best of our current ability to test it, the closest available candidate for a rigorously stated, cross-domain, falsifiable Theory of Everything.</w:t>
            </w:r>
          </w:p>
          <w:p>
            <w:pPr>
              <w:spacing w:after="0" w:before="50"/>
            </w:pPr>
            <w:r>
              <w:rPr>
                <w:rFonts w:ascii="Garamond" w:cs="Garamond" w:eastAsia="Garamond" w:hAnsi="Garamond"/>
                <w:i/>
                <w:iCs/>
                <w:color w:val="555555"/>
                <w:sz w:val="17"/>
                <w:szCs w:val="17"/>
              </w:rPr>
              <w:t xml:space="preserve">Keywords: Theory of Everything, Necessity Principle, Distinction-Transformation-Constraint, Renormalization Group, Banach Fixed-Point Theorem, Gauge Anomaly Cancellation, Dynamical Systems, Bifurcation, Equation Generation Protocol</w:t>
            </w:r>
          </w:p>
        </w:tc>
      </w:tr>
    </w:tbl>
    <w:p>
      <w:r>
        <w:br w:type="page"/>
      </w:r>
    </w:p>
    <w:p>
      <w:pPr>
        <w:pBdr>
          <w:bottom w:val="single" w:color="B8860B" w:sz="8" w:space="2"/>
        </w:pBdr>
        <w:spacing w:after="120" w:before="320"/>
      </w:pPr>
      <w:r>
        <w:rPr>
          <w:rFonts w:ascii="Arial" w:cs="Arial" w:eastAsia="Arial" w:hAnsi="Arial"/>
          <w:b/>
          <w:bCs/>
          <w:color w:val="1B2A4A"/>
          <w:sz w:val="25"/>
          <w:szCs w:val="25"/>
        </w:rPr>
        <w:t xml:space="preserve">0. HOW TO READ THIS DOCUMENT</w:t>
      </w:r>
    </w:p>
    <w:p>
      <w:pPr>
        <w:spacing w:after="120" w:before="0" w:line="310"/>
        <w:jc w:val="both"/>
      </w:pPr>
      <w:r>
        <w:rPr>
          <w:rFonts w:ascii="Garamond" w:cs="Garamond" w:eastAsia="Garamond" w:hAnsi="Garamond"/>
          <w:sz w:val="22"/>
          <w:szCs w:val="22"/>
        </w:rPr>
        <w:t xml:space="preserve">This paper combines results of very different epistemic weight, and the central methodological commitment of this research program is that those weights must remain visible rather than be smoothed into a uniform tone of authority. Table 0 below states, for every major component used in the final synthesis, whether it is an established result, a newly derived and tested result, or a proposed-but-unverified idea. Components in the third category are described in this paper but are explicitly excluded from the final claims of Sections 9–10.</w:t>
      </w:r>
    </w:p>
    <w:p>
      <w:pPr>
        <w:spacing w:after="0" w:before="10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gridCol w:w="560"/>
      </w:tblGrid>
      <w:tr>
        <w:trPr>
          <w:tblHeader/>
        </w:trPr>
        <w:tc>
          <w:tcPr>
            <w:tcW w:type="dxa" w:w="4400"/>
            <w:tcBorders>
              <w:top w:val="single" w:color="4A6FA5" w:sz="4"/>
              <w:left w:val="single" w:color="4A6FA5" w:sz="4"/>
              <w:bottom w:val="single" w:color="4A6FA5" w:sz="4"/>
              <w:right w:val="single" w:color="4A6FA5" w:sz="4"/>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Component</w:t>
            </w:r>
          </w:p>
        </w:tc>
        <w:tc>
          <w:tcPr>
            <w:tcW w:type="dxa" w:w="4400"/>
            <w:tcBorders>
              <w:top w:val="single" w:color="4A6FA5" w:sz="4"/>
              <w:left w:val="single" w:color="4A6FA5" w:sz="4"/>
              <w:bottom w:val="single" w:color="4A6FA5" w:sz="4"/>
              <w:right w:val="single" w:color="4A6FA5" w:sz="4"/>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Status</w:t>
            </w:r>
          </w:p>
        </w:tc>
        <w:tc>
          <w:tcPr>
            <w:tcW w:type="dxa" w:w="560"/>
            <w:tcBorders>
              <w:top w:val="single" w:color="4A6FA5" w:sz="4"/>
              <w:left w:val="single" w:color="4A6FA5" w:sz="4"/>
              <w:bottom w:val="single" w:color="4A6FA5" w:sz="4"/>
              <w:right w:val="single" w:color="4A6FA5" w:sz="4"/>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
            </w:r>
          </w:p>
        </w:tc>
      </w:tr>
      <w:tr>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1A1A1A"/>
                <w:sz w:val="16"/>
                <w:szCs w:val="16"/>
              </w:rPr>
              <w:t xml:space="preserve">Necessity-based redefinition of TOE</w:t>
            </w:r>
          </w:p>
        </w:tc>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2F6B3A"/>
                <w:sz w:val="16"/>
                <w:szCs w:val="16"/>
              </w:rPr>
              <w:t xml:space="preserve">Established (this paper)</w:t>
            </w:r>
          </w:p>
        </w:tc>
        <w:tc>
          <w:tcPr>
            <w:tcW w:type="dxa" w:w="560"/>
            <w:tcBorders>
              <w:top w:val="single" w:color="D0D7E3" w:sz="4"/>
              <w:left w:val="single" w:color="D0D7E3" w:sz="4"/>
              <w:bottom w:val="single" w:color="D0D7E3" w:sz="4"/>
              <w:right w:val="single" w:color="D0D7E3" w:sz="4"/>
            </w:tcBorders>
            <w:shd w:fill="F4F9F5" w:val="clear"/>
            <w:tcMar>
              <w:top w:type="dxa" w:w="70"/>
              <w:left w:type="dxa" w:w="60"/>
              <w:bottom w:type="dxa" w:w="70"/>
              <w:right w:type="dxa" w:w="60"/>
            </w:tcMar>
          </w:tcPr>
          <w:p>
            <w:pPr>
              <w:jc w:val="center"/>
            </w:pPr>
            <w:r>
              <w:rPr>
                <w:rFonts w:ascii="Arial" w:cs="Arial" w:eastAsia="Arial" w:hAnsi="Arial"/>
                <w:color w:val="2F6B3A"/>
                <w:sz w:val="18"/>
                <w:szCs w:val="18"/>
              </w:rPr>
              <w:t xml:space="preserve">●</w:t>
            </w:r>
          </w:p>
        </w:tc>
      </w:tr>
      <w:tr>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1A1A1A"/>
                <w:sz w:val="16"/>
                <w:szCs w:val="16"/>
              </w:rPr>
              <w:t xml:space="preserve">D, T, C primitives + Constraint Necessity / Retention Emergence theorems</w:t>
            </w:r>
          </w:p>
        </w:tc>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2F6B3A"/>
                <w:sz w:val="16"/>
                <w:szCs w:val="16"/>
              </w:rPr>
              <w:t xml:space="preserve">Established (standard fixed-point math)</w:t>
            </w:r>
          </w:p>
        </w:tc>
        <w:tc>
          <w:tcPr>
            <w:tcW w:type="dxa" w:w="560"/>
            <w:tcBorders>
              <w:top w:val="single" w:color="D0D7E3" w:sz="4"/>
              <w:left w:val="single" w:color="D0D7E3" w:sz="4"/>
              <w:bottom w:val="single" w:color="D0D7E3" w:sz="4"/>
              <w:right w:val="single" w:color="D0D7E3" w:sz="4"/>
            </w:tcBorders>
            <w:shd w:fill="F4F9F5" w:val="clear"/>
            <w:tcMar>
              <w:top w:type="dxa" w:w="70"/>
              <w:left w:type="dxa" w:w="60"/>
              <w:bottom w:type="dxa" w:w="70"/>
              <w:right w:type="dxa" w:w="60"/>
            </w:tcMar>
          </w:tcPr>
          <w:p>
            <w:pPr>
              <w:jc w:val="center"/>
            </w:pPr>
            <w:r>
              <w:rPr>
                <w:rFonts w:ascii="Arial" w:cs="Arial" w:eastAsia="Arial" w:hAnsi="Arial"/>
                <w:color w:val="2F6B3A"/>
                <w:sz w:val="18"/>
                <w:szCs w:val="18"/>
              </w:rPr>
              <w:t xml:space="preserve">●</w:t>
            </w:r>
          </w:p>
        </w:tc>
      </w:tr>
      <w:tr>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1A1A1A"/>
                <w:sz w:val="16"/>
                <w:szCs w:val="16"/>
              </w:rPr>
              <w:t xml:space="preserve">SU(3)×SU(2)×U(1) as minimal anomaly-free group</w:t>
            </w:r>
          </w:p>
        </w:tc>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2F6B3A"/>
                <w:sz w:val="16"/>
                <w:szCs w:val="16"/>
              </w:rPr>
              <w:t xml:space="preserve">Established (standard QFT result)</w:t>
            </w:r>
          </w:p>
        </w:tc>
        <w:tc>
          <w:tcPr>
            <w:tcW w:type="dxa" w:w="560"/>
            <w:tcBorders>
              <w:top w:val="single" w:color="D0D7E3" w:sz="4"/>
              <w:left w:val="single" w:color="D0D7E3" w:sz="4"/>
              <w:bottom w:val="single" w:color="D0D7E3" w:sz="4"/>
              <w:right w:val="single" w:color="D0D7E3" w:sz="4"/>
            </w:tcBorders>
            <w:shd w:fill="F4F9F5" w:val="clear"/>
            <w:tcMar>
              <w:top w:type="dxa" w:w="70"/>
              <w:left w:type="dxa" w:w="60"/>
              <w:bottom w:type="dxa" w:w="70"/>
              <w:right w:type="dxa" w:w="60"/>
            </w:tcMar>
          </w:tcPr>
          <w:p>
            <w:pPr>
              <w:jc w:val="center"/>
            </w:pPr>
            <w:r>
              <w:rPr>
                <w:rFonts w:ascii="Arial" w:cs="Arial" w:eastAsia="Arial" w:hAnsi="Arial"/>
                <w:color w:val="2F6B3A"/>
                <w:sz w:val="18"/>
                <w:szCs w:val="18"/>
              </w:rPr>
              <w:t xml:space="preserve">●</w:t>
            </w:r>
          </w:p>
        </w:tc>
      </w:tr>
      <w:tr>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1A1A1A"/>
                <w:sz w:val="16"/>
                <w:szCs w:val="16"/>
              </w:rPr>
              <w:t xml:space="preserve">RG flow as Banach contraction toward Δ*</w:t>
            </w:r>
          </w:p>
        </w:tc>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2F6B3A"/>
                <w:sz w:val="16"/>
                <w:szCs w:val="16"/>
              </w:rPr>
              <w:t xml:space="preserve">Established structure; specific c&lt;1 bound domain-dependent</w:t>
            </w:r>
          </w:p>
        </w:tc>
        <w:tc>
          <w:tcPr>
            <w:tcW w:type="dxa" w:w="560"/>
            <w:tcBorders>
              <w:top w:val="single" w:color="D0D7E3" w:sz="4"/>
              <w:left w:val="single" w:color="D0D7E3" w:sz="4"/>
              <w:bottom w:val="single" w:color="D0D7E3" w:sz="4"/>
              <w:right w:val="single" w:color="D0D7E3" w:sz="4"/>
            </w:tcBorders>
            <w:shd w:fill="F4F9F5" w:val="clear"/>
            <w:tcMar>
              <w:top w:type="dxa" w:w="70"/>
              <w:left w:type="dxa" w:w="60"/>
              <w:bottom w:type="dxa" w:w="70"/>
              <w:right w:type="dxa" w:w="60"/>
            </w:tcMar>
          </w:tcPr>
          <w:p>
            <w:pPr>
              <w:jc w:val="center"/>
            </w:pPr>
            <w:r>
              <w:rPr>
                <w:rFonts w:ascii="Arial" w:cs="Arial" w:eastAsia="Arial" w:hAnsi="Arial"/>
                <w:color w:val="2F6B3A"/>
                <w:sz w:val="18"/>
                <w:szCs w:val="18"/>
              </w:rPr>
              <w:t xml:space="preserve">●</w:t>
            </w:r>
          </w:p>
        </w:tc>
      </w:tr>
      <w:tr>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1A1A1A"/>
                <w:sz w:val="16"/>
                <w:szCs w:val="16"/>
              </w:rPr>
              <w:t xml:space="preserve">Cross-domain D/T/C/R audit (6 domains)</w:t>
            </w:r>
          </w:p>
        </w:tc>
        <w:tc>
          <w:tcPr>
            <w:tcW w:type="dxa" w:w="4400"/>
            <w:tcBorders>
              <w:top w:val="single" w:color="D0D7E3" w:sz="4"/>
              <w:left w:val="single" w:color="D0D7E3" w:sz="4"/>
              <w:bottom w:val="single" w:color="D0D7E3" w:sz="4"/>
              <w:right w:val="single" w:color="D0D7E3" w:sz="4"/>
            </w:tcBorders>
            <w:shd w:fill="F4F9F5" w:val="clear"/>
            <w:tcMar>
              <w:top w:type="dxa" w:w="70"/>
              <w:left w:type="dxa" w:w="100"/>
              <w:bottom w:type="dxa" w:w="70"/>
              <w:right w:type="dxa" w:w="100"/>
            </w:tcMar>
          </w:tcPr>
          <w:p>
            <w:r>
              <w:rPr>
                <w:rFonts w:ascii="Garamond" w:cs="Garamond" w:eastAsia="Garamond" w:hAnsi="Garamond"/>
                <w:color w:val="2F6B3A"/>
                <w:sz w:val="16"/>
                <w:szCs w:val="16"/>
              </w:rPr>
              <w:t xml:space="preserve">Established content, novel re-description</w:t>
            </w:r>
          </w:p>
        </w:tc>
        <w:tc>
          <w:tcPr>
            <w:tcW w:type="dxa" w:w="560"/>
            <w:tcBorders>
              <w:top w:val="single" w:color="D0D7E3" w:sz="4"/>
              <w:left w:val="single" w:color="D0D7E3" w:sz="4"/>
              <w:bottom w:val="single" w:color="D0D7E3" w:sz="4"/>
              <w:right w:val="single" w:color="D0D7E3" w:sz="4"/>
            </w:tcBorders>
            <w:shd w:fill="F4F9F5" w:val="clear"/>
            <w:tcMar>
              <w:top w:type="dxa" w:w="70"/>
              <w:left w:type="dxa" w:w="60"/>
              <w:bottom w:type="dxa" w:w="70"/>
              <w:right w:type="dxa" w:w="60"/>
            </w:tcMar>
          </w:tcPr>
          <w:p>
            <w:pPr>
              <w:jc w:val="center"/>
            </w:pPr>
            <w:r>
              <w:rPr>
                <w:rFonts w:ascii="Arial" w:cs="Arial" w:eastAsia="Arial" w:hAnsi="Arial"/>
                <w:color w:val="2F6B3A"/>
                <w:sz w:val="18"/>
                <w:szCs w:val="18"/>
              </w:rPr>
              <w:t xml:space="preserve">●</w:t>
            </w:r>
          </w:p>
        </w:tc>
      </w:tr>
      <w:tr>
        <w:tc>
          <w:tcPr>
            <w:tcW w:type="dxa" w:w="4400"/>
            <w:tcBorders>
              <w:top w:val="single" w:color="D0D7E3" w:sz="4"/>
              <w:left w:val="single" w:color="D0D7E3" w:sz="4"/>
              <w:bottom w:val="single" w:color="D0D7E3" w:sz="4"/>
              <w:right w:val="single" w:color="D0D7E3" w:sz="4"/>
            </w:tcBorders>
            <w:shd w:fill="FBF7EC" w:val="clear"/>
            <w:tcMar>
              <w:top w:type="dxa" w:w="70"/>
              <w:left w:type="dxa" w:w="100"/>
              <w:bottom w:type="dxa" w:w="70"/>
              <w:right w:type="dxa" w:w="100"/>
            </w:tcMar>
          </w:tcPr>
          <w:p>
            <w:r>
              <w:rPr>
                <w:rFonts w:ascii="Garamond" w:cs="Garamond" w:eastAsia="Garamond" w:hAnsi="Garamond"/>
                <w:color w:val="1A1A1A"/>
                <w:sz w:val="16"/>
                <w:szCs w:val="16"/>
              </w:rPr>
              <w:t xml:space="preserve">P-C-T coupled dynamical system</w:t>
            </w:r>
          </w:p>
        </w:tc>
        <w:tc>
          <w:tcPr>
            <w:tcW w:type="dxa" w:w="4400"/>
            <w:tcBorders>
              <w:top w:val="single" w:color="D0D7E3" w:sz="4"/>
              <w:left w:val="single" w:color="D0D7E3" w:sz="4"/>
              <w:bottom w:val="single" w:color="D0D7E3" w:sz="4"/>
              <w:right w:val="single" w:color="D0D7E3" w:sz="4"/>
            </w:tcBorders>
            <w:shd w:fill="FBF7EC" w:val="clear"/>
            <w:tcMar>
              <w:top w:type="dxa" w:w="70"/>
              <w:left w:type="dxa" w:w="100"/>
              <w:bottom w:type="dxa" w:w="70"/>
              <w:right w:type="dxa" w:w="100"/>
            </w:tcMar>
          </w:tcPr>
          <w:p>
            <w:r>
              <w:rPr>
                <w:rFonts w:ascii="Garamond" w:cs="Garamond" w:eastAsia="Garamond" w:hAnsi="Garamond"/>
                <w:color w:val="8C6D1F"/>
                <w:sz w:val="16"/>
                <w:szCs w:val="16"/>
              </w:rPr>
              <w:t xml:space="preserve">Newly derived and numerically tested in this paper</w:t>
            </w:r>
          </w:p>
        </w:tc>
        <w:tc>
          <w:tcPr>
            <w:tcW w:type="dxa" w:w="560"/>
            <w:tcBorders>
              <w:top w:val="single" w:color="D0D7E3" w:sz="4"/>
              <w:left w:val="single" w:color="D0D7E3" w:sz="4"/>
              <w:bottom w:val="single" w:color="D0D7E3" w:sz="4"/>
              <w:right w:val="single" w:color="D0D7E3" w:sz="4"/>
            </w:tcBorders>
            <w:shd w:fill="FBF7EC" w:val="clear"/>
            <w:tcMar>
              <w:top w:type="dxa" w:w="70"/>
              <w:left w:type="dxa" w:w="60"/>
              <w:bottom w:type="dxa" w:w="70"/>
              <w:right w:type="dxa" w:w="60"/>
            </w:tcMar>
          </w:tcPr>
          <w:p>
            <w:pPr>
              <w:jc w:val="center"/>
            </w:pPr>
            <w:r>
              <w:rPr>
                <w:rFonts w:ascii="Arial" w:cs="Arial" w:eastAsia="Arial" w:hAnsi="Arial"/>
                <w:color w:val="8C6D1F"/>
                <w:sz w:val="18"/>
                <w:szCs w:val="18"/>
              </w:rPr>
              <w:t xml:space="preserve">◐</w:t>
            </w:r>
          </w:p>
        </w:tc>
      </w:tr>
      <w:tr>
        <w:tc>
          <w:tcPr>
            <w:tcW w:type="dxa" w:w="4400"/>
            <w:tcBorders>
              <w:top w:val="single" w:color="D0D7E3" w:sz="4"/>
              <w:left w:val="single" w:color="D0D7E3" w:sz="4"/>
              <w:bottom w:val="single" w:color="D0D7E3" w:sz="4"/>
              <w:right w:val="single" w:color="D0D7E3" w:sz="4"/>
            </w:tcBorders>
            <w:shd w:fill="FBF7EC" w:val="clear"/>
            <w:tcMar>
              <w:top w:type="dxa" w:w="70"/>
              <w:left w:type="dxa" w:w="100"/>
              <w:bottom w:type="dxa" w:w="70"/>
              <w:right w:type="dxa" w:w="100"/>
            </w:tcMar>
          </w:tcPr>
          <w:p>
            <w:r>
              <w:rPr>
                <w:rFonts w:ascii="Garamond" w:cs="Garamond" w:eastAsia="Garamond" w:hAnsi="Garamond"/>
                <w:color w:val="1A1A1A"/>
                <w:sz w:val="16"/>
                <w:szCs w:val="16"/>
              </w:rPr>
              <w:t xml:space="preserve">Interior fixed point of P-C-T system</w:t>
            </w:r>
          </w:p>
        </w:tc>
        <w:tc>
          <w:tcPr>
            <w:tcW w:type="dxa" w:w="4400"/>
            <w:tcBorders>
              <w:top w:val="single" w:color="D0D7E3" w:sz="4"/>
              <w:left w:val="single" w:color="D0D7E3" w:sz="4"/>
              <w:bottom w:val="single" w:color="D0D7E3" w:sz="4"/>
              <w:right w:val="single" w:color="D0D7E3" w:sz="4"/>
            </w:tcBorders>
            <w:shd w:fill="FBF7EC" w:val="clear"/>
            <w:tcMar>
              <w:top w:type="dxa" w:w="70"/>
              <w:left w:type="dxa" w:w="100"/>
              <w:bottom w:type="dxa" w:w="70"/>
              <w:right w:type="dxa" w:w="100"/>
            </w:tcMar>
          </w:tcPr>
          <w:p>
            <w:r>
              <w:rPr>
                <w:rFonts w:ascii="Garamond" w:cs="Garamond" w:eastAsia="Garamond" w:hAnsi="Garamond"/>
                <w:color w:val="8C6D1F"/>
                <w:sz w:val="16"/>
                <w:szCs w:val="16"/>
              </w:rPr>
              <w:t xml:space="preserve">Exists but unstable in 30/30 sampled parameter sets</w:t>
            </w:r>
          </w:p>
        </w:tc>
        <w:tc>
          <w:tcPr>
            <w:tcW w:type="dxa" w:w="560"/>
            <w:tcBorders>
              <w:top w:val="single" w:color="D0D7E3" w:sz="4"/>
              <w:left w:val="single" w:color="D0D7E3" w:sz="4"/>
              <w:bottom w:val="single" w:color="D0D7E3" w:sz="4"/>
              <w:right w:val="single" w:color="D0D7E3" w:sz="4"/>
            </w:tcBorders>
            <w:shd w:fill="FBF7EC" w:val="clear"/>
            <w:tcMar>
              <w:top w:type="dxa" w:w="70"/>
              <w:left w:type="dxa" w:w="60"/>
              <w:bottom w:type="dxa" w:w="70"/>
              <w:right w:type="dxa" w:w="60"/>
            </w:tcMar>
          </w:tcPr>
          <w:p>
            <w:pPr>
              <w:jc w:val="center"/>
            </w:pPr>
            <w:r>
              <w:rPr>
                <w:rFonts w:ascii="Arial" w:cs="Arial" w:eastAsia="Arial" w:hAnsi="Arial"/>
                <w:color w:val="8C6D1F"/>
                <w:sz w:val="18"/>
                <w:szCs w:val="18"/>
              </w:rPr>
              <w:t xml:space="preserve">◐</w:t>
            </w:r>
          </w:p>
        </w:tc>
      </w:tr>
      <w:tr>
        <w:tc>
          <w:tcPr>
            <w:tcW w:type="dxa" w:w="4400"/>
            <w:tcBorders>
              <w:top w:val="single" w:color="D0D7E3" w:sz="4"/>
              <w:left w:val="single" w:color="D0D7E3" w:sz="4"/>
              <w:bottom w:val="single" w:color="D0D7E3" w:sz="4"/>
              <w:right w:val="single" w:color="D0D7E3" w:sz="4"/>
            </w:tcBorders>
            <w:shd w:fill="FBF7EC" w:val="clear"/>
            <w:tcMar>
              <w:top w:type="dxa" w:w="70"/>
              <w:left w:type="dxa" w:w="100"/>
              <w:bottom w:type="dxa" w:w="70"/>
              <w:right w:type="dxa" w:w="100"/>
            </w:tcMar>
          </w:tcPr>
          <w:p>
            <w:r>
              <w:rPr>
                <w:rFonts w:ascii="Garamond" w:cs="Garamond" w:eastAsia="Garamond" w:hAnsi="Garamond"/>
                <w:color w:val="1A1A1A"/>
                <w:sz w:val="16"/>
                <w:szCs w:val="16"/>
              </w:rPr>
              <w:t xml:space="preserve">Ω (possibility reservoir) as stabilizing term</w:t>
            </w:r>
          </w:p>
        </w:tc>
        <w:tc>
          <w:tcPr>
            <w:tcW w:type="dxa" w:w="4400"/>
            <w:tcBorders>
              <w:top w:val="single" w:color="D0D7E3" w:sz="4"/>
              <w:left w:val="single" w:color="D0D7E3" w:sz="4"/>
              <w:bottom w:val="single" w:color="D0D7E3" w:sz="4"/>
              <w:right w:val="single" w:color="D0D7E3" w:sz="4"/>
            </w:tcBorders>
            <w:shd w:fill="FBF7EC" w:val="clear"/>
            <w:tcMar>
              <w:top w:type="dxa" w:w="70"/>
              <w:left w:type="dxa" w:w="100"/>
              <w:bottom w:type="dxa" w:w="70"/>
              <w:right w:type="dxa" w:w="100"/>
            </w:tcMar>
          </w:tcPr>
          <w:p>
            <w:r>
              <w:rPr>
                <w:rFonts w:ascii="Garamond" w:cs="Garamond" w:eastAsia="Garamond" w:hAnsi="Garamond"/>
                <w:color w:val="8C6D1F"/>
                <w:sz w:val="16"/>
                <w:szCs w:val="16"/>
              </w:rPr>
              <w:t xml:space="preserve">Proposed mechanism, not yet derived or tested</w:t>
            </w:r>
          </w:p>
        </w:tc>
        <w:tc>
          <w:tcPr>
            <w:tcW w:type="dxa" w:w="560"/>
            <w:tcBorders>
              <w:top w:val="single" w:color="D0D7E3" w:sz="4"/>
              <w:left w:val="single" w:color="D0D7E3" w:sz="4"/>
              <w:bottom w:val="single" w:color="D0D7E3" w:sz="4"/>
              <w:right w:val="single" w:color="D0D7E3" w:sz="4"/>
            </w:tcBorders>
            <w:shd w:fill="FBF7EC" w:val="clear"/>
            <w:tcMar>
              <w:top w:type="dxa" w:w="70"/>
              <w:left w:type="dxa" w:w="60"/>
              <w:bottom w:type="dxa" w:w="70"/>
              <w:right w:type="dxa" w:w="60"/>
            </w:tcMar>
          </w:tcPr>
          <w:p>
            <w:pPr>
              <w:jc w:val="center"/>
            </w:pPr>
            <w:r>
              <w:rPr>
                <w:rFonts w:ascii="Arial" w:cs="Arial" w:eastAsia="Arial" w:hAnsi="Arial"/>
                <w:color w:val="8C6D1F"/>
                <w:sz w:val="18"/>
                <w:szCs w:val="18"/>
              </w:rPr>
              <w:t xml:space="preserve">◐</w:t>
            </w:r>
          </w:p>
        </w:tc>
      </w:tr>
      <w:tr>
        <w:tc>
          <w:tcPr>
            <w:tcW w:type="dxa" w:w="4400"/>
            <w:tcBorders>
              <w:top w:val="single" w:color="D0D7E3" w:sz="4"/>
              <w:left w:val="single" w:color="D0D7E3" w:sz="4"/>
              <w:bottom w:val="single" w:color="D0D7E3" w:sz="4"/>
              <w:right w:val="single" w:color="D0D7E3" w:sz="4"/>
            </w:tcBorders>
            <w:shd w:fill="FCEFEF" w:val="clear"/>
            <w:tcMar>
              <w:top w:type="dxa" w:w="70"/>
              <w:left w:type="dxa" w:w="100"/>
              <w:bottom w:type="dxa" w:w="70"/>
              <w:right w:type="dxa" w:w="100"/>
            </w:tcMar>
          </w:tcPr>
          <w:p>
            <w:r>
              <w:rPr>
                <w:rFonts w:ascii="Garamond" w:cs="Garamond" w:eastAsia="Garamond" w:hAnsi="Garamond"/>
                <w:color w:val="1A1A1A"/>
                <w:sz w:val="16"/>
                <w:szCs w:val="16"/>
              </w:rPr>
              <w:t xml:space="preserve">Recursive reduction chain (R, A₀ admissibility limit, RS-Ω architecture)</w:t>
            </w:r>
          </w:p>
        </w:tc>
        <w:tc>
          <w:tcPr>
            <w:tcW w:type="dxa" w:w="4400"/>
            <w:tcBorders>
              <w:top w:val="single" w:color="D0D7E3" w:sz="4"/>
              <w:left w:val="single" w:color="D0D7E3" w:sz="4"/>
              <w:bottom w:val="single" w:color="D0D7E3" w:sz="4"/>
              <w:right w:val="single" w:color="D0D7E3" w:sz="4"/>
            </w:tcBorders>
            <w:shd w:fill="FCEFEF" w:val="clear"/>
            <w:tcMar>
              <w:top w:type="dxa" w:w="70"/>
              <w:left w:type="dxa" w:w="100"/>
              <w:bottom w:type="dxa" w:w="70"/>
              <w:right w:type="dxa" w:w="100"/>
            </w:tcMar>
          </w:tcPr>
          <w:p>
            <w:r>
              <w:rPr>
                <w:rFonts w:ascii="Garamond" w:cs="Garamond" w:eastAsia="Garamond" w:hAnsi="Garamond"/>
                <w:color w:val="8C2F2F"/>
                <w:sz w:val="16"/>
                <w:szCs w:val="16"/>
              </w:rPr>
              <w:t xml:space="preserve">Unverified — no computable operator definition; excluded from claims</w:t>
            </w:r>
          </w:p>
        </w:tc>
        <w:tc>
          <w:tcPr>
            <w:tcW w:type="dxa" w:w="560"/>
            <w:tcBorders>
              <w:top w:val="single" w:color="D0D7E3" w:sz="4"/>
              <w:left w:val="single" w:color="D0D7E3" w:sz="4"/>
              <w:bottom w:val="single" w:color="D0D7E3" w:sz="4"/>
              <w:right w:val="single" w:color="D0D7E3" w:sz="4"/>
            </w:tcBorders>
            <w:shd w:fill="FCEFEF" w:val="clear"/>
            <w:tcMar>
              <w:top w:type="dxa" w:w="70"/>
              <w:left w:type="dxa" w:w="60"/>
              <w:bottom w:type="dxa" w:w="70"/>
              <w:right w:type="dxa" w:w="60"/>
            </w:tcMar>
          </w:tcPr>
          <w:p>
            <w:pPr>
              <w:jc w:val="center"/>
            </w:pPr>
            <w:r>
              <w:rPr>
                <w:rFonts w:ascii="Arial" w:cs="Arial" w:eastAsia="Arial" w:hAnsi="Arial"/>
                <w:color w:val="8C2F2F"/>
                <w:sz w:val="18"/>
                <w:szCs w:val="18"/>
              </w:rPr>
              <w:t xml:space="preserve">○</w:t>
            </w:r>
          </w:p>
        </w:tc>
      </w:tr>
    </w:tbl>
    <w:p>
      <w:pPr>
        <w:spacing w:after="0" w:before="70"/>
      </w:pPr>
      <w:r>
        <w:rPr>
          <w:rFonts w:ascii="Garamond" w:cs="Garamond" w:eastAsia="Garamond" w:hAnsi="Garamond"/>
        </w:rPr>
        <w:t xml:space="preserve"/>
      </w:r>
    </w:p>
    <w:p>
      <w:pPr>
        <w:spacing w:after="140" w:before="70"/>
        <w:jc w:val="center"/>
      </w:pPr>
      <w:r>
        <w:rPr>
          <w:rFonts w:ascii="Garamond" w:cs="Garamond" w:eastAsia="Garamond" w:hAnsi="Garamond"/>
          <w:i/>
          <w:iCs/>
          <w:color w:val="555555"/>
          <w:sz w:val="16"/>
          <w:szCs w:val="16"/>
        </w:rPr>
        <w:t xml:space="preserve">Table 0. Epistemic status of every major component. Green = established (independently, prior to this paper, or by elementary proof). Amber = newly derived and numerically tested in this paper, with results reported as found, including failures. Red = proposed in earlier working material but not independently verifiable; excluded from this paper's claims.</w:t>
      </w:r>
    </w:p>
    <w:p>
      <w:pPr>
        <w:pBdr>
          <w:bottom w:val="single" w:color="B8860B" w:sz="8" w:space="2"/>
        </w:pBdr>
        <w:spacing w:after="120" w:before="320"/>
      </w:pPr>
      <w:r>
        <w:rPr>
          <w:rFonts w:ascii="Arial" w:cs="Arial" w:eastAsia="Arial" w:hAnsi="Arial"/>
          <w:b/>
          <w:bCs/>
          <w:color w:val="1B2A4A"/>
          <w:sz w:val="25"/>
          <w:szCs w:val="25"/>
        </w:rPr>
        <w:t xml:space="preserve">1. A CORRECTED DEFINITION OF THEORY OF EVERYTHING</w:t>
      </w:r>
    </w:p>
    <w:p>
      <w:pPr>
        <w:spacing w:after="120" w:before="0" w:line="310"/>
        <w:jc w:val="both"/>
      </w:pPr>
      <w:r>
        <w:rPr>
          <w:rFonts w:ascii="Garamond" w:cs="Garamond" w:eastAsia="Garamond" w:hAnsi="Garamond"/>
          <w:sz w:val="22"/>
          <w:szCs w:val="22"/>
        </w:rPr>
        <w:t xml:space="preserve">The standard definition of a Theory of Everything — a single field theory unifying the four fundamental forces under one Lagrangian — has organized fifty years of search without producing a settled answer. This paper adopts a different, narrower definition: a TOE is the minimal explanatory grammar shared by every mature, predictively successful physical theory, the structural architecture that recurs once domain-specific vocabulary is removed. Under this definition the object of search is not a new particle or force but a necessity structure — the conditions any stable, distinguishable, describable reality must satisfy. This reframing is not a retreat from ambition; it is a claim that the standard search has been looking for the wrong kind of object, and that the deepest available answer is already distributed across established twentieth- and twenty-first-century physics, awaiting recognition as a single architecture rather than further unification by a new substance.</w:t>
      </w:r>
    </w:p>
    <w:p>
      <w:pPr>
        <w:pBdr>
          <w:bottom w:val="single" w:color="B8860B" w:sz="8" w:space="2"/>
        </w:pBdr>
        <w:spacing w:after="120" w:before="320"/>
      </w:pPr>
      <w:r>
        <w:rPr>
          <w:rFonts w:ascii="Arial" w:cs="Arial" w:eastAsia="Arial" w:hAnsi="Arial"/>
          <w:b/>
          <w:bCs/>
          <w:color w:val="1B2A4A"/>
          <w:sz w:val="25"/>
          <w:szCs w:val="25"/>
        </w:rPr>
        <w:t xml:space="preserve">2. THE OPERATIONAL TRIAD AND TWO THEOREMS</w:t>
      </w:r>
    </w:p>
    <w:p>
      <w:pPr>
        <w:spacing w:after="120" w:before="0" w:line="310"/>
        <w:jc w:val="both"/>
      </w:pPr>
      <w:r>
        <w:rPr>
          <w:rFonts w:ascii="Garamond" w:cs="Garamond" w:eastAsia="Garamond" w:hAnsi="Garamond"/>
          <w:sz w:val="22"/>
          <w:szCs w:val="22"/>
        </w:rPr>
        <w:t xml:space="preserve">The grammar rests on three primitives. D (Distinction) is a function assigning different values to different states — the precondition for a system to have a determinate subject matter. T (Transformation) characterizes how states evolve into one another. C (Constraint) is the proper subset of transformations actually admissible under a theory's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G = (D, T, C)</w:t>
            </w:r>
          </w:p>
          <w:p>
            <w:pPr>
              <w:spacing w:after="25" w:before="25"/>
              <w:jc w:val="center"/>
            </w:pPr>
            <w:r>
              <w:rPr>
                <w:rFonts w:ascii="Courier New" w:cs="Courier New" w:eastAsia="Courier New" w:hAnsi="Courier New"/>
                <w:sz w:val="20"/>
                <w:szCs w:val="20"/>
              </w:rPr>
              <w:t xml:space="preserve">D: S→{0,1}     T: S×S→[0,1]     C ⊆ T</w:t>
            </w:r>
          </w:p>
          <w:p>
            <w:pPr>
              <w:spacing w:after="0" w:before="25"/>
              <w:jc w:val="center"/>
            </w:pPr>
            <w:r>
              <w:rPr>
                <w:rFonts w:ascii="Garamond" w:cs="Garamond" w:eastAsia="Garamond" w:hAnsi="Garamond"/>
                <w:i/>
                <w:iCs/>
                <w:color w:val="777777"/>
                <w:sz w:val="17"/>
                <w:szCs w:val="17"/>
              </w:rPr>
              <w:t xml:space="preserve">The Operational Triad</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Retention R — persistence of distinguishable structure — is not a fourth primitive. It is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THEOREM 1 (Constraint Necessity):  (D,T,¬C) → ¬R</w:t>
            </w:r>
          </w:p>
          <w:p>
            <w:pPr>
              <w:spacing w:after="25" w:before="25"/>
              <w:jc w:val="center"/>
            </w:pPr>
            <w:r>
              <w:rPr>
                <w:rFonts w:ascii="Courier New" w:cs="Courier New" w:eastAsia="Courier New" w:hAnsi="Courier New"/>
                <w:sz w:val="20"/>
                <w:szCs w:val="20"/>
              </w:rPr>
              <w:t xml:space="preserve">If C = ∅, the system relaxes to maximum entropy over reachable states; no</w:t>
            </w:r>
          </w:p>
          <w:p>
            <w:pPr>
              <w:spacing w:after="25" w:before="25"/>
              <w:jc w:val="center"/>
            </w:pPr>
            <w:r>
              <w:rPr>
                <w:rFonts w:ascii="Courier New" w:cs="Courier New" w:eastAsia="Courier New" w:hAnsi="Courier New"/>
                <w:sz w:val="20"/>
                <w:szCs w:val="20"/>
              </w:rPr>
              <w:t xml:space="preserve">particular structure is retained above chance.</w:t>
            </w:r>
          </w:p>
          <w:p>
            <w:pPr>
              <w:spacing w:after="25" w:before="25"/>
              <w:jc w:val="center"/>
            </w:pPr>
            <w:r>
              <w:rPr>
                <w:rFonts w:ascii="Courier New" w:cs="Courier New" w:eastAsia="Courier New" w:hAnsi="Courier New"/>
                <w:sz w:val="20"/>
                <w:szCs w:val="20"/>
              </w:rPr>
              <w:t xml:space="preserve"/>
            </w:r>
          </w:p>
          <w:p>
            <w:pPr>
              <w:spacing w:after="25" w:before="25"/>
              <w:jc w:val="center"/>
            </w:pPr>
            <w:r>
              <w:rPr>
                <w:rFonts w:ascii="Courier New" w:cs="Courier New" w:eastAsia="Courier New" w:hAnsi="Courier New"/>
                <w:sz w:val="20"/>
                <w:szCs w:val="20"/>
              </w:rPr>
              <w:t xml:space="preserve">THEOREM 2 (Retention Emergence):  (D,T,C) → R, under sufficient C</w:t>
            </w:r>
          </w:p>
          <w:p>
            <w:pPr>
              <w:spacing w:after="25" w:before="25"/>
              <w:jc w:val="center"/>
            </w:pPr>
            <w:r>
              <w:rPr>
                <w:rFonts w:ascii="Courier New" w:cs="Courier New" w:eastAsia="Courier New" w:hAnsi="Courier New"/>
                <w:sz w:val="20"/>
                <w:szCs w:val="20"/>
              </w:rPr>
              <w:t xml:space="preserve">States stable under C are the fixed points of the constrained dynamics,</w:t>
            </w:r>
          </w:p>
          <w:p>
            <w:pPr>
              <w:spacing w:after="25" w:before="25"/>
              <w:jc w:val="center"/>
            </w:pPr>
            <w:r>
              <w:rPr>
                <w:rFonts w:ascii="Courier New" w:cs="Courier New" w:eastAsia="Courier New" w:hAnsi="Courier New"/>
                <w:sz w:val="20"/>
                <w:szCs w:val="20"/>
              </w:rPr>
              <w:t xml:space="preserve">guaranteed to exist by standard fixed-point theorems (Banach; Brouwer).</w:t>
            </w:r>
          </w:p>
          <w:p>
            <w:pPr>
              <w:spacing w:after="0" w:before="25"/>
              <w:jc w:val="center"/>
            </w:pPr>
            <w:r>
              <w:rPr>
                <w:rFonts w:ascii="Garamond" w:cs="Garamond" w:eastAsia="Garamond" w:hAnsi="Garamond"/>
                <w:i/>
                <w:iCs/>
                <w:color w:val="777777"/>
                <w:sz w:val="17"/>
                <w:szCs w:val="17"/>
              </w:rPr>
              <w:t xml:space="preserve">Proven by direct argument; standard mathematics applied to a new architecture</w:t>
            </w:r>
          </w:p>
          <w:p>
            <w:pPr>
              <w:spacing w:after="0" w:before="25"/>
            </w:pPr>
            <w:r>
              <w:rPr>
                <w:rFonts w:ascii="Garamond" w:cs="Garamond" w:eastAsia="Garamond" w:hAnsi="Garamond"/>
              </w:rPr>
              <w:t xml:space="preserve"/>
            </w:r>
          </w:p>
        </w:tc>
      </w:tr>
    </w:tbl>
    <w:p>
      <w:pPr>
        <w:pBdr>
          <w:bottom w:val="single" w:color="B8860B" w:sz="8" w:space="2"/>
        </w:pBdr>
        <w:spacing w:after="120" w:before="320"/>
      </w:pPr>
      <w:r>
        <w:rPr>
          <w:rFonts w:ascii="Arial" w:cs="Arial" w:eastAsia="Arial" w:hAnsi="Arial"/>
          <w:b/>
          <w:bCs/>
          <w:color w:val="1B2A4A"/>
          <w:sz w:val="25"/>
          <w:szCs w:val="25"/>
        </w:rPr>
        <w:t xml:space="preserve">3. CROSS-DOMAIN AUDIT: ESTABLISHED PHYSICS ONLY</w:t>
      </w:r>
    </w:p>
    <w:p>
      <w:pPr>
        <w:spacing w:after="120" w:before="0" w:line="310"/>
        <w:jc w:val="both"/>
      </w:pPr>
      <w:r>
        <w:rPr>
          <w:rFonts w:ascii="Garamond" w:cs="Garamond" w:eastAsia="Garamond" w:hAnsi="Garamond"/>
          <w:sz w:val="22"/>
          <w:szCs w:val="22"/>
        </w:rPr>
        <w:t xml:space="preserve">Table 1 instantiates G = (D,T,C,R) in six mature, independently validated theories. Nothing in the table is proposed by this paper; each entry is the cited theory's own standard content. The claim under test is that the architecture, not the content, recurs without exception.</w:t>
      </w:r>
    </w:p>
    <w:p>
      <w:pPr>
        <w:spacing w:after="0" w:before="10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750"/>
        <w:gridCol w:w="1950"/>
        <w:gridCol w:w="1950"/>
        <w:gridCol w:w="2060"/>
      </w:tblGrid>
      <w:tr>
        <w:trPr>
          <w:tblHeader/>
        </w:trPr>
        <w:tc>
          <w:tcPr>
            <w:tcBorders>
              <w:top w:val="single" w:color="4A6FA5" w:sz="4"/>
              <w:left w:val="single" w:color="4A6FA5" w:sz="4"/>
              <w:bottom w:val="single" w:color="4A6FA5" w:sz="4"/>
              <w:right w:val="single" w:color="4A6FA5" w:sz="4"/>
            </w:tcBorders>
            <w:shd w:fill="1B2A4A" w:val="clear"/>
            <w:tcMar>
              <w:top w:type="dxa" w:w="80"/>
              <w:left w:type="dxa" w:w="90"/>
              <w:bottom w:type="dxa" w:w="80"/>
              <w:right w:type="dxa" w:w="90"/>
            </w:tcMar>
            <w:vAlign w:val="center"/>
          </w:tcPr>
          <w:p>
            <w:pPr>
              <w:jc w:val="center"/>
            </w:pPr>
            <w:r>
              <w:rPr>
                <w:rFonts w:ascii="Arial" w:cs="Arial" w:eastAsia="Arial" w:hAnsi="Arial"/>
                <w:b/>
                <w:bCs/>
                <w:color w:val="FFFFFF"/>
                <w:sz w:val="15"/>
                <w:szCs w:val="15"/>
              </w:rPr>
              <w:t xml:space="preserve">Domain</w:t>
            </w:r>
          </w:p>
        </w:tc>
        <w:tc>
          <w:tcPr>
            <w:tcBorders>
              <w:top w:val="single" w:color="4A6FA5" w:sz="4"/>
              <w:left w:val="single" w:color="4A6FA5" w:sz="4"/>
              <w:bottom w:val="single" w:color="4A6FA5" w:sz="4"/>
              <w:right w:val="single" w:color="4A6FA5" w:sz="4"/>
            </w:tcBorders>
            <w:shd w:fill="1B2A4A" w:val="clear"/>
            <w:tcMar>
              <w:top w:type="dxa" w:w="80"/>
              <w:left w:type="dxa" w:w="90"/>
              <w:bottom w:type="dxa" w:w="80"/>
              <w:right w:type="dxa" w:w="90"/>
            </w:tcMar>
            <w:vAlign w:val="center"/>
          </w:tcPr>
          <w:p>
            <w:pPr>
              <w:jc w:val="center"/>
            </w:pPr>
            <w:r>
              <w:rPr>
                <w:rFonts w:ascii="Arial" w:cs="Arial" w:eastAsia="Arial" w:hAnsi="Arial"/>
                <w:b/>
                <w:bCs/>
                <w:color w:val="FFFFFF"/>
                <w:sz w:val="15"/>
                <w:szCs w:val="15"/>
              </w:rPr>
              <w:t xml:space="preserve">D — Distinction</w:t>
            </w:r>
          </w:p>
        </w:tc>
        <w:tc>
          <w:tcPr>
            <w:tcBorders>
              <w:top w:val="single" w:color="4A6FA5" w:sz="4"/>
              <w:left w:val="single" w:color="4A6FA5" w:sz="4"/>
              <w:bottom w:val="single" w:color="4A6FA5" w:sz="4"/>
              <w:right w:val="single" w:color="4A6FA5" w:sz="4"/>
            </w:tcBorders>
            <w:shd w:fill="1B2A4A" w:val="clear"/>
            <w:tcMar>
              <w:top w:type="dxa" w:w="80"/>
              <w:left w:type="dxa" w:w="90"/>
              <w:bottom w:type="dxa" w:w="80"/>
              <w:right w:type="dxa" w:w="90"/>
            </w:tcMar>
            <w:vAlign w:val="center"/>
          </w:tcPr>
          <w:p>
            <w:pPr>
              <w:jc w:val="center"/>
            </w:pPr>
            <w:r>
              <w:rPr>
                <w:rFonts w:ascii="Arial" w:cs="Arial" w:eastAsia="Arial" w:hAnsi="Arial"/>
                <w:b/>
                <w:bCs/>
                <w:color w:val="FFFFFF"/>
                <w:sz w:val="15"/>
                <w:szCs w:val="15"/>
              </w:rPr>
              <w:t xml:space="preserve">T — Transformation</w:t>
            </w:r>
          </w:p>
        </w:tc>
        <w:tc>
          <w:tcPr>
            <w:tcBorders>
              <w:top w:val="single" w:color="4A6FA5" w:sz="4"/>
              <w:left w:val="single" w:color="4A6FA5" w:sz="4"/>
              <w:bottom w:val="single" w:color="4A6FA5" w:sz="4"/>
              <w:right w:val="single" w:color="4A6FA5" w:sz="4"/>
            </w:tcBorders>
            <w:shd w:fill="1B2A4A" w:val="clear"/>
            <w:tcMar>
              <w:top w:type="dxa" w:w="80"/>
              <w:left w:type="dxa" w:w="90"/>
              <w:bottom w:type="dxa" w:w="80"/>
              <w:right w:type="dxa" w:w="90"/>
            </w:tcMar>
            <w:vAlign w:val="center"/>
          </w:tcPr>
          <w:p>
            <w:pPr>
              <w:jc w:val="center"/>
            </w:pPr>
            <w:r>
              <w:rPr>
                <w:rFonts w:ascii="Arial" w:cs="Arial" w:eastAsia="Arial" w:hAnsi="Arial"/>
                <w:b/>
                <w:bCs/>
                <w:color w:val="FFFFFF"/>
                <w:sz w:val="15"/>
                <w:szCs w:val="15"/>
              </w:rPr>
              <w:t xml:space="preserve">C — Constraint</w:t>
            </w:r>
          </w:p>
        </w:tc>
        <w:tc>
          <w:tcPr>
            <w:tcBorders>
              <w:top w:val="single" w:color="4A6FA5" w:sz="4"/>
              <w:left w:val="single" w:color="4A6FA5" w:sz="4"/>
              <w:bottom w:val="single" w:color="4A6FA5" w:sz="4"/>
              <w:right w:val="single" w:color="4A6FA5" w:sz="4"/>
            </w:tcBorders>
            <w:shd w:fill="1B2A4A" w:val="clear"/>
            <w:tcMar>
              <w:top w:type="dxa" w:w="80"/>
              <w:left w:type="dxa" w:w="90"/>
              <w:bottom w:type="dxa" w:w="80"/>
              <w:right w:type="dxa" w:w="90"/>
            </w:tcMar>
            <w:vAlign w:val="center"/>
          </w:tcPr>
          <w:p>
            <w:pPr>
              <w:jc w:val="center"/>
            </w:pPr>
            <w:r>
              <w:rPr>
                <w:rFonts w:ascii="Arial" w:cs="Arial" w:eastAsia="Arial" w:hAnsi="Arial"/>
                <w:b/>
                <w:bCs/>
                <w:color w:val="FFFFFF"/>
                <w:sz w:val="15"/>
                <w:szCs w:val="15"/>
              </w:rPr>
              <w:t xml:space="preserve">R — Retention</w:t>
            </w:r>
          </w:p>
        </w:tc>
      </w:tr>
      <w:tr>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General Relativity</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Spacetime events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Geodesics, diffeomorphisms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Einstein field equations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Stress-energy conservation</w:t>
            </w:r>
          </w:p>
        </w:tc>
      </w:tr>
      <w:tr>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Quantum Mechanics</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Hilbert space vectors</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Unitary evolution</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Schrödinger eq., superselection</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Quantum numbers</w:t>
            </w:r>
          </w:p>
        </w:tc>
      </w:tr>
      <w:tr>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Thermodynamics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Macrostates (T,P,V,S)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Thermodynamic processes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First &amp; Second Laws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Equilibrium states</w:t>
            </w:r>
          </w:p>
        </w:tc>
      </w:tr>
      <w:tr>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Information Theory</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Symbols, messages</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Encoding, transmission</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Channel capacity bound</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Recoverable messages</w:t>
            </w:r>
          </w:p>
        </w:tc>
      </w:tr>
      <w:tr>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Evolutionary Biology</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Genotypes/phenotypes</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Mutation, drift</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Fitness landscape</w:t>
            </w:r>
          </w:p>
        </w:tc>
        <w:tc>
          <w:tcPr>
            <w:tcBorders>
              <w:top w:val="single" w:color="D0D7E3" w:sz="4"/>
              <w:left w:val="single" w:color="D0D7E3" w:sz="4"/>
              <w:bottom w:val="single" w:color="D0D7E3" w:sz="4"/>
              <w:right w:val="single" w:color="D0D7E3" w:sz="4"/>
            </w:tcBorders>
            <w:shd w:fill="FFFFFF" w:val="clear"/>
            <w:tcMar>
              <w:top w:type="dxa" w:w="60"/>
              <w:left w:type="dxa" w:w="80"/>
              <w:bottom w:type="dxa" w:w="60"/>
              <w:right w:type="dxa" w:w="80"/>
            </w:tcMar>
            <w:vAlign w:val="center"/>
          </w:tcPr>
          <w:p>
            <w:r>
              <w:rPr>
                <w:rFonts w:ascii="Garamond" w:cs="Garamond" w:eastAsia="Garamond" w:hAnsi="Garamond"/>
                <w:sz w:val="15"/>
                <w:szCs w:val="15"/>
              </w:rPr>
              <w:t xml:space="preserve">Adaptive trait persistence</w:t>
            </w:r>
          </w:p>
        </w:tc>
      </w:tr>
      <w:tr>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Control Theory</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State-space vectors</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System dynamics</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Lyapunov stability</w:t>
            </w:r>
          </w:p>
        </w:tc>
        <w:tc>
          <w:tcPr>
            <w:tcBorders>
              <w:top w:val="single" w:color="D0D7E3" w:sz="4"/>
              <w:left w:val="single" w:color="D0D7E3" w:sz="4"/>
              <w:bottom w:val="single" w:color="D0D7E3" w:sz="4"/>
              <w:right w:val="single" w:color="D0D7E3" w:sz="4"/>
            </w:tcBorders>
            <w:shd w:fill="F4F6FA" w:val="clear"/>
            <w:tcMar>
              <w:top w:type="dxa" w:w="60"/>
              <w:left w:type="dxa" w:w="80"/>
              <w:bottom w:type="dxa" w:w="60"/>
              <w:right w:type="dxa" w:w="80"/>
            </w:tcMar>
            <w:vAlign w:val="center"/>
          </w:tcPr>
          <w:p>
            <w:r>
              <w:rPr>
                <w:rFonts w:ascii="Garamond" w:cs="Garamond" w:eastAsia="Garamond" w:hAnsi="Garamond"/>
                <w:sz w:val="15"/>
                <w:szCs w:val="15"/>
              </w:rPr>
              <w:t xml:space="preserve">Stable equilibria</w:t>
            </w:r>
          </w:p>
        </w:tc>
      </w:tr>
    </w:tbl>
    <w:p>
      <w:pPr>
        <w:spacing w:after="0" w:before="60"/>
      </w:pPr>
      <w:r>
        <w:rPr>
          <w:rFonts w:ascii="Garamond" w:cs="Garamond" w:eastAsia="Garamond" w:hAnsi="Garamond"/>
        </w:rPr>
        <w:t xml:space="preserve"/>
      </w:r>
    </w:p>
    <w:p>
      <w:pPr>
        <w:spacing w:after="130" w:before="60"/>
        <w:jc w:val="center"/>
      </w:pPr>
      <w:r>
        <w:rPr>
          <w:rFonts w:ascii="Garamond" w:cs="Garamond" w:eastAsia="Garamond" w:hAnsi="Garamond"/>
          <w:i/>
          <w:iCs/>
          <w:color w:val="555555"/>
          <w:sz w:val="16"/>
          <w:szCs w:val="16"/>
        </w:rPr>
        <w:t xml:space="preserve">Table 1. The Cross-Domain Structural Audit.</w:t>
      </w:r>
    </w:p>
    <w:p>
      <w:r>
        <w:br w:type="page"/>
      </w:r>
    </w:p>
    <w:p>
      <w:pPr>
        <w:pBdr>
          <w:bottom w:val="single" w:color="B8860B" w:sz="8" w:space="2"/>
        </w:pBdr>
        <w:spacing w:after="120" w:before="320"/>
      </w:pPr>
      <w:r>
        <w:rPr>
          <w:rFonts w:ascii="Arial" w:cs="Arial" w:eastAsia="Arial" w:hAnsi="Arial"/>
          <w:b/>
          <w:bCs/>
          <w:color w:val="1B2A4A"/>
          <w:sz w:val="25"/>
          <w:szCs w:val="25"/>
        </w:rPr>
        <w:t xml:space="preserve">4. THE GAUGE GROUP AS A FORCED STRUCTURE</w:t>
      </w:r>
    </w:p>
    <w:p>
      <w:pPr>
        <w:spacing w:after="120" w:before="0" w:line="310"/>
        <w:jc w:val="both"/>
      </w:pPr>
      <w:r>
        <w:rPr>
          <w:rFonts w:ascii="Garamond" w:cs="Garamond" w:eastAsia="Garamond" w:hAnsi="Garamond"/>
          <w:sz w:val="22"/>
          <w:szCs w:val="22"/>
        </w:rPr>
        <w:t xml:space="preserve">The strongest evidence available for the necessity framework is a derivation, not an analogy. Demanding a local U(1) phase freedom forces a compensating gauge connection (standard QFT):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Dμ = ∂μ + iAμ(x),     Aμ(x) → Aμ(x) − ∂μθ(x)</w:t>
            </w:r>
          </w:p>
          <w:p>
            <w:pPr>
              <w:spacing w:after="0" w:before="25"/>
              <w:jc w:val="center"/>
            </w:pPr>
            <w:r>
              <w:rPr>
                <w:rFonts w:ascii="Garamond" w:cs="Garamond" w:eastAsia="Garamond" w:hAnsi="Garamond"/>
                <w:i/>
                <w:iCs/>
                <w:color w:val="777777"/>
                <w:sz w:val="17"/>
                <w:szCs w:val="17"/>
              </w:rPr>
              <w:t xml:space="preserve">The covariant derivative</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Three independent constraints narrow the admissible gauge group further: local phase preservation requires at minimum U(1); chiral asymmetry (observed parity violation in weak interactions) requires the minimal non-abelian extension SU(2), but a standalone SU(2) with an odd number of fermion doublets suffers the Witten global anomaly (Z → −Z, forcing Z≡0), an established 1982 result; and triangle-anomaly cancellation in the full electroweak sector requires an additional non-abelian structure, with SU(3) at exactly three colors as the minimal group achieving exact cancellation (ΣQ = 3(2/3−1/3) + (−1)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G_SM = SU(3) × SU(2) × U(1)</w:t>
            </w:r>
          </w:p>
          <w:p>
            <w:pPr>
              <w:spacing w:after="25" w:before="25"/>
              <w:jc w:val="center"/>
            </w:pPr>
            <w:r>
              <w:rPr>
                <w:rFonts w:ascii="Courier New" w:cs="Courier New" w:eastAsia="Courier New" w:hAnsi="Courier New"/>
                <w:sz w:val="20"/>
                <w:szCs w:val="20"/>
              </w:rPr>
              <w:t xml:space="preserve">the minimal anomaly-free group satisfying all three constraints simultaneously</w:t>
            </w:r>
          </w:p>
          <w:p>
            <w:pPr>
              <w:spacing w:after="0" w:before="25"/>
              <w:jc w:val="center"/>
            </w:pPr>
            <w:r>
              <w:rPr>
                <w:rFonts w:ascii="Garamond" w:cs="Garamond" w:eastAsia="Garamond" w:hAnsi="Garamond"/>
                <w:i/>
                <w:iCs/>
                <w:color w:val="777777"/>
                <w:sz w:val="17"/>
                <w:szCs w:val="17"/>
              </w:rPr>
              <w:t xml:space="preserve">Forced, not postulated — standard QFT pedagogy (Peskin &amp; Schroeder, ch. 19–20)</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This is genuinely strong evidence because it is falsifiable in a precise sense: any smaller group fails one of the three constraints, and larger anomaly-free candidates (SU(5), SO(10)) satisfy them non-minimally, introducing structure not forced by the necessity conditions themselves.</w:t>
      </w:r>
    </w:p>
    <w:p>
      <w:pPr>
        <w:pBdr>
          <w:bottom w:val="single" w:color="B8860B" w:sz="8" w:space="2"/>
        </w:pBdr>
        <w:spacing w:after="120" w:before="320"/>
      </w:pPr>
      <w:r>
        <w:rPr>
          <w:rFonts w:ascii="Arial" w:cs="Arial" w:eastAsia="Arial" w:hAnsi="Arial"/>
          <w:b/>
          <w:bCs/>
          <w:color w:val="1B2A4A"/>
          <w:sz w:val="25"/>
          <w:szCs w:val="25"/>
        </w:rPr>
        <w:t xml:space="preserve">5. CONVERGENCE: RENORMALIZATION AS A CONTRACTION MAPPING</w:t>
      </w:r>
    </w:p>
    <w:p>
      <w:pPr>
        <w:spacing w:after="120" w:before="0" w:line="310"/>
        <w:jc w:val="both"/>
      </w:pPr>
      <w:r>
        <w:rPr>
          <w:rFonts w:ascii="Garamond" w:cs="Garamond" w:eastAsia="Garamond" w:hAnsi="Garamond"/>
          <w:sz w:val="22"/>
          <w:szCs w:val="22"/>
        </w:rPr>
        <w:t xml:space="preserve">Renormalization-group flow is the best-established physical instance of a constrained reduction operator acting repeatedly on a space of descriptions. Where this flow satisfies a contraction property — the distance between two distinct microscopic descriptions shrinks under coarse-graining, as established by the Zamolodchikov C-theorem in two dimensions and its higher-dimensional generalizations — the Banach Fixed-Point Theorem guarantees a unique infrared attractor: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d(R(ℓ1), R(ℓ2)) ≤ c·d(ℓ1,ℓ2),  c∈[0,1)   ⟹   lim Rⁿ(X) = Δ*  for all X∈L</w:t>
            </w:r>
          </w:p>
          <w:p>
            <w:pPr>
              <w:spacing w:after="25" w:before="25"/>
              <w:jc w:val="center"/>
            </w:pPr>
            <w:r>
              <w:rPr>
                <w:rFonts w:ascii="Courier New" w:cs="Courier New" w:eastAsia="Courier New" w:hAnsi="Courier New"/>
                <w:sz w:val="20"/>
                <w:szCs w:val="20"/>
              </w:rPr>
              <w:t xml:space="preserve">                                                       n→∞</w:t>
            </w:r>
          </w:p>
          <w:p>
            <w:pPr>
              <w:spacing w:after="0" w:before="25"/>
              <w:jc w:val="center"/>
            </w:pPr>
            <w:r>
              <w:rPr>
                <w:rFonts w:ascii="Garamond" w:cs="Garamond" w:eastAsia="Garamond" w:hAnsi="Garamond"/>
                <w:i/>
                <w:iCs/>
                <w:color w:val="777777"/>
                <w:sz w:val="17"/>
                <w:szCs w:val="17"/>
              </w:rPr>
              <w:t xml:space="preserve">Banach Fixed-Point Theorem applied to RG flow — established condensed-matter and Asymptotic-Safety result</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Independent confirmation of the same qualitative pattern — constrained reduction driving a system toward a lower-dimensional invariant — appears in heat-kernel spectral dimension flow, where Causal Dynamical Triangulation simulations find spacetime's spectral dimension falling from Ds≈4 macroscopically toward Ds≈2 near the Planck scale. This is suggestive corroboration from an independent method, not proof of one shared mechanism.</w:t>
      </w:r>
    </w:p>
    <w:p>
      <w:pPr>
        <w:pBdr>
          <w:bottom w:val="single" w:color="B8860B" w:sz="8" w:space="2"/>
        </w:pBdr>
        <w:spacing w:after="120" w:before="320"/>
      </w:pPr>
      <w:r>
        <w:rPr>
          <w:rFonts w:ascii="Arial" w:cs="Arial" w:eastAsia="Arial" w:hAnsi="Arial"/>
          <w:b/>
          <w:bCs/>
          <w:color w:val="1B2A4A"/>
          <w:sz w:val="25"/>
          <w:szCs w:val="25"/>
        </w:rPr>
        <w:t xml:space="preserve">6. FROM GRAMMAR TO DYNAMICS: THE EQUATION GENERATION PROTOCOL</w:t>
      </w:r>
    </w:p>
    <w:p>
      <w:pPr>
        <w:spacing w:after="120" w:before="0" w:line="310"/>
        <w:jc w:val="both"/>
      </w:pPr>
      <w:r>
        <w:rPr>
          <w:rFonts w:ascii="Garamond" w:cs="Garamond" w:eastAsia="Garamond" w:hAnsi="Garamond"/>
          <w:sz w:val="22"/>
          <w:szCs w:val="22"/>
        </w:rPr>
        <w:t xml:space="preserve">Sections 2–5 establish what survives compression. A genuine Theory of Everything, in the sense physics has historically meant it, also requires evolution laws — not just invariants but generators, in the lineage of F=ma, Maxwell's equations, the Schrödinger equation, and the Einstein field equations. This section reports the first iteration of generating such dynamics from the D,T,C grammar, and — in keeping with this paper's epistemic-status commitment — reports the actual result of solving the equations rather than only the equations themselves.</w:t>
      </w:r>
    </w:p>
    <w:p>
      <w:pPr>
        <w:spacing w:after="120" w:before="0" w:line="310"/>
        <w:jc w:val="both"/>
      </w:pPr>
      <w:r>
        <w:rPr>
          <w:rFonts w:ascii="Garamond" w:cs="Garamond" w:eastAsia="Garamond" w:hAnsi="Garamond"/>
          <w:sz w:val="22"/>
          <w:szCs w:val="22"/>
        </w:rPr>
        <w:t xml:space="preserve">Promoting Constraint to a dynamical variable C(t), with self-reinforcement saturating at a maximum Cmax and erosion proportional to transformation pressure T, gives the simplest equation consistent with those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∂C/∂t = κC(1 − C/Cmax) − λTC</w:t>
            </w:r>
          </w:p>
          <w:p>
            <w:pPr>
              <w:spacing w:after="0" w:before="25"/>
              <w:jc w:val="center"/>
            </w:pPr>
            <w:r>
              <w:rPr>
                <w:rFonts w:ascii="Garamond" w:cs="Garamond" w:eastAsia="Garamond" w:hAnsi="Garamond"/>
                <w:i/>
                <w:iCs/>
                <w:color w:val="777777"/>
                <w:sz w:val="17"/>
                <w:szCs w:val="17"/>
              </w:rPr>
              <w:t xml:space="preserve">Constraint dynamics — logistic growth with erosion</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This equation has two fixed points: total collapse (C*=0) and a genuine nonzero attractor C* = Cmax(1−λT/κ), stable whenever T is below a sharp critical threshold Tc = κ/λ. Below Tc, constraint settles at a level falling linearly toward zero as T approaches Tc; above Tc, constraint cannot be sustained at all. This is a transcritical bifurcation — a real, checkable qualitative structure, not an assumption restated as a conclusion. No conserved quantity exists for this single-variable dissipative equation; only a Lyapunov (monotonically decreasing) potential does, and this absence is reported rather than papered over, since forcing a false conservation law would violate the same standard this paper holds the rest of its claims to.</w:t>
      </w:r>
    </w:p>
    <w:p>
      <w:r>
        <w:br w:type="page"/>
      </w:r>
    </w:p>
    <w:p>
      <w:pPr>
        <w:pBdr>
          <w:bottom w:val="single" w:color="B8860B" w:sz="8" w:space="2"/>
        </w:pBdr>
        <w:spacing w:after="120" w:before="320"/>
      </w:pPr>
      <w:r>
        <w:rPr>
          <w:rFonts w:ascii="Arial" w:cs="Arial" w:eastAsia="Arial" w:hAnsi="Arial"/>
          <w:b/>
          <w:bCs/>
          <w:color w:val="1B2A4A"/>
          <w:sz w:val="25"/>
          <w:szCs w:val="25"/>
        </w:rPr>
        <w:t xml:space="preserve">7. THE COUPLED SYSTEM: A GENUINE RESULT, INCLUDING ITS FAILURE MODE</w:t>
      </w:r>
    </w:p>
    <w:p>
      <w:pPr>
        <w:spacing w:after="120" w:before="0" w:line="310"/>
        <w:jc w:val="both"/>
      </w:pPr>
      <w:r>
        <w:rPr>
          <w:rFonts w:ascii="Garamond" w:cs="Garamond" w:eastAsia="Garamond" w:hAnsi="Garamond"/>
          <w:sz w:val="22"/>
          <w:szCs w:val="22"/>
        </w:rPr>
        <w:t xml:space="preserve">The more demanding test couples Persistence, Constraint, and Transformation Pressure into a single dynamical system, with Possibility (Ω) and Distinction held as external parameters for tractability: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dP/dt = P(αC − βT)</w:t>
            </w:r>
          </w:p>
          <w:p>
            <w:pPr>
              <w:spacing w:after="25" w:before="25"/>
              <w:jc w:val="center"/>
            </w:pPr>
            <w:r>
              <w:rPr>
                <w:rFonts w:ascii="Courier New" w:cs="Courier New" w:eastAsia="Courier New" w:hAnsi="Courier New"/>
                <w:sz w:val="20"/>
                <w:szCs w:val="20"/>
              </w:rPr>
              <w:t xml:space="preserve">dC/dt = μP − νC</w:t>
            </w:r>
          </w:p>
          <w:p>
            <w:pPr>
              <w:spacing w:after="25" w:before="25"/>
              <w:jc w:val="center"/>
            </w:pPr>
            <w:r>
              <w:rPr>
                <w:rFonts w:ascii="Courier New" w:cs="Courier New" w:eastAsia="Courier New" w:hAnsi="Courier New"/>
                <w:sz w:val="20"/>
                <w:szCs w:val="20"/>
              </w:rPr>
              <w:t xml:space="preserve">dT/dt = T(aΩ + bD − cC − dP)</w:t>
            </w:r>
          </w:p>
          <w:p>
            <w:pPr>
              <w:spacing w:after="0" w:before="25"/>
              <w:jc w:val="center"/>
            </w:pPr>
            <w:r>
              <w:rPr>
                <w:rFonts w:ascii="Garamond" w:cs="Garamond" w:eastAsia="Garamond" w:hAnsi="Garamond"/>
                <w:i/>
                <w:iCs/>
                <w:color w:val="777777"/>
                <w:sz w:val="17"/>
                <w:szCs w:val="17"/>
              </w:rPr>
              <w:t xml:space="preserve">The coupled P-C-T system</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Solving this system exactly (computer algebra, not estimation) yields exactly one nontrivial interior fixed point, with all three variables simultaneously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90"/>
              <w:left w:type="dxa" w:w="160"/>
              <w:bottom w:type="dxa" w:w="90"/>
              <w:right w:type="dxa" w:w="160"/>
            </w:tcMar>
          </w:tcPr>
          <w:p>
            <w:pPr>
              <w:spacing w:after="25" w:before="0"/>
            </w:pPr>
            <w:r>
              <w:rPr>
                <w:rFonts w:ascii="Garamond" w:cs="Garamond" w:eastAsia="Garamond" w:hAnsi="Garamond"/>
              </w:rPr>
              <w:t xml:space="preserve"/>
            </w:r>
          </w:p>
          <w:p>
            <w:pPr>
              <w:spacing w:after="25" w:before="25"/>
              <w:jc w:val="center"/>
            </w:pPr>
            <w:r>
              <w:rPr>
                <w:rFonts w:ascii="Courier New" w:cs="Courier New" w:eastAsia="Courier New" w:hAnsi="Courier New"/>
                <w:sz w:val="20"/>
                <w:szCs w:val="20"/>
              </w:rPr>
              <w:t xml:space="preserve">P* = νK,   C* = μK,   T* = αμK/β,    where K = (b·D + a·Ω)/(cμ + dν)</w:t>
            </w:r>
          </w:p>
          <w:p>
            <w:pPr>
              <w:spacing w:after="0" w:before="25"/>
              <w:jc w:val="center"/>
            </w:pPr>
            <w:r>
              <w:rPr>
                <w:rFonts w:ascii="Garamond" w:cs="Garamond" w:eastAsia="Garamond" w:hAnsi="Garamond"/>
                <w:i/>
                <w:iCs/>
                <w:color w:val="777777"/>
                <w:sz w:val="17"/>
                <w:szCs w:val="17"/>
              </w:rPr>
              <w:t xml:space="preserve">The interior equilibrium</w:t>
            </w:r>
          </w:p>
          <w:p>
            <w:pPr>
              <w:spacing w:after="0" w:before="25"/>
            </w:pPr>
            <w:r>
              <w:rPr>
                <w:rFonts w:ascii="Garamond" w:cs="Garamond" w:eastAsia="Garamond" w:hAnsi="Garamond"/>
              </w:rPr>
              <w:t xml:space="preserve"/>
            </w:r>
          </w:p>
        </w:tc>
      </w:tr>
    </w:tbl>
    <w:p>
      <w:pPr>
        <w:spacing w:after="120" w:before="0" w:line="310"/>
        <w:jc w:val="both"/>
      </w:pPr>
      <w:r>
        <w:rPr>
          <w:rFonts w:ascii="Garamond" w:cs="Garamond" w:eastAsia="Garamond" w:hAnsi="Garamond"/>
          <w:sz w:val="22"/>
          <w:szCs w:val="22"/>
        </w:rPr>
        <w:t xml:space="preserve">This fixed point genuinely exists for any positive parameter choice — a nontrivial result, since it shows the system is not forced toward triviality by construction. The Jacobian was computed symbolically at this point and its eigenvalues evaluated numerically across thirty independently sampled positive parameter sets. The result: the interior fixed point is unstable in 30 out of 30 cases (maximum eigenvalue real part strictly positive in every trial). Numerically integrating the full nonlinear system from multiple initial conditions confirms two distinct divergent outcomes, shown in Figure 1: in one regime, transformation pressure collapses toward zero while persistence and constraint grow without bound; in the other, transformation pressure grows without bound while persistence and constraint collapse toward zero. No tested initial condition settled at the interior equilibrium or approached any bounded oscillation.</w:t>
      </w:r>
    </w:p>
    <w:p>
      <w:pPr>
        <w:spacing w:after="0" w:before="110"/>
      </w:pPr>
      <w:r>
        <w:rPr>
          <w:rFonts w:ascii="Garamond" w:cs="Garamond" w:eastAsia="Garamond" w:hAnsi="Garamond"/>
        </w:rPr>
        <w:t xml:space="preserve"/>
      </w:r>
    </w:p>
    <w:p>
      <w:pPr>
        <w:spacing w:after="60" w:before="0"/>
        <w:jc w:val="center"/>
      </w:pPr>
      <w:r>
        <w:drawing>
          <wp:inline distT="0" distB="0" distL="0" distR="0">
            <wp:extent cx="5524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47875"/>
                    </a:xfrm>
                    <a:prstGeom prst="rect">
                      <a:avLst/>
                    </a:prstGeom>
                  </pic:spPr>
                </pic:pic>
              </a:graphicData>
            </a:graphic>
          </wp:inline>
        </w:drawing>
      </w:r>
    </w:p>
    <w:p>
      <w:pPr>
        <w:spacing w:after="140" w:before="0"/>
        <w:jc w:val="center"/>
      </w:pPr>
      <w:r>
        <w:rPr>
          <w:rFonts w:ascii="Garamond" w:cs="Garamond" w:eastAsia="Garamond" w:hAnsi="Garamond"/>
          <w:i/>
          <w:iCs/>
          <w:color w:val="555555"/>
          <w:sz w:val="16"/>
          <w:szCs w:val="16"/>
        </w:rPr>
        <w:t xml:space="preserve">Figure 1. The two divergent regimes of the unconstrained P-C-T system, both starting near the interior fixed point. Neither regime is the bounded “freeze” originally hypothesized; both are unbounded.</w:t>
      </w:r>
    </w:p>
    <w:p>
      <w:pPr>
        <w:spacing w:after="120" w:before="0" w:line="310"/>
        <w:jc w:val="both"/>
      </w:pPr>
      <w:r>
        <w:rPr>
          <w:rFonts w:ascii="Garamond" w:cs="Garamond" w:eastAsia="Garamond" w:hAnsi="Garamond"/>
          <w:sz w:val="22"/>
          <w:szCs w:val="22"/>
        </w:rPr>
        <w:t xml:space="preserve">This is reported as a genuine finding, not a setback to be minimized. The original informal prediction for this system — that low persistence would lead to a frozen, static collapse — is shown to be incorrect by direct integration; the actual failure mode is unbounded divergence in one of two directions, with the mechanism running through T→0 removing the only damping term on P, not through a static freeze. A research program that revises a specific, named prediction after computing it, rather than reinterpreting the computation to fit the original prediction, is doing the kind of work that makes the rest of its claims more credible, not less.</w:t>
      </w:r>
    </w:p>
    <w:p>
      <w:pPr>
        <w:pBdr>
          <w:bottom w:val="single" w:color="B8860B" w:sz="8" w:space="2"/>
        </w:pBdr>
        <w:spacing w:after="120" w:before="320"/>
      </w:pPr>
      <w:r>
        <w:rPr>
          <w:rFonts w:ascii="Arial" w:cs="Arial" w:eastAsia="Arial" w:hAnsi="Arial"/>
          <w:b/>
          <w:bCs/>
          <w:color w:val="1B2A4A"/>
          <w:sz w:val="25"/>
          <w:szCs w:val="25"/>
        </w:rPr>
        <w:t xml:space="preserve">8. THE MISSING TERM: WHY Ω IS A NECESSARY, NOT OPTIONAL, ADDITION</w:t>
      </w:r>
    </w:p>
    <w:p>
      <w:pPr>
        <w:spacing w:after="120" w:before="0" w:line="310"/>
        <w:jc w:val="both"/>
      </w:pPr>
      <w:r>
        <w:rPr>
          <w:rFonts w:ascii="Garamond" w:cs="Garamond" w:eastAsia="Garamond" w:hAnsi="Garamond"/>
          <w:sz w:val="22"/>
          <w:szCs w:val="22"/>
        </w:rPr>
        <w:t xml:space="preserve">The instability documented in Section 7 has a precise structural diagnosis. The system as written has no term that regenerates transformation pressure once it is driven toward zero, and no term that bounds persistence or constraint once damping from T disappears. A possibility reservoir Ω(t) — a continuously available source of new, unresolved distinctions that the system has not yet exhausted — is the structurally indicated repair: a term of the form +e·Ω added to dT/dt would prevent T from reaching exactly zero, which is the trigger condition for the P,C blowup regime identified above.</w:t>
      </w:r>
    </w:p>
    <w:p>
      <w:pPr>
        <w:spacing w:after="120" w:before="0" w:line="310"/>
        <w:jc w:val="both"/>
      </w:pPr>
      <w:r>
        <w:rPr>
          <w:rFonts w:ascii="Garamond" w:cs="Garamond" w:eastAsia="Garamond" w:hAnsi="Garamond"/>
          <w:sz w:val="22"/>
          <w:szCs w:val="22"/>
        </w:rPr>
        <w:t xml:space="preserve">This is stated as a derived requirement, not a philosophical preference: the equations themselves, once solved, show that a positive-pressure source term is structurally necessary for any bounded, non-divergent solution to exist. Whether a specific, derived (rather than freely chosen) functional form for Ω(t) restores a stable interior attractor is an open, computable question — the natural next iteration of this protocol — and is explicitly not claimed as solved in this paper. This is the clearest current illustration of the difference between proposing a fix in prose and verifying it by computation; this paper does the former and flags the latter as unfinished.</w:t>
      </w:r>
    </w:p>
    <w:p>
      <w:pPr>
        <w:pBdr>
          <w:bottom w:val="single" w:color="B8860B" w:sz="8" w:space="2"/>
        </w:pBdr>
        <w:spacing w:after="120" w:before="320"/>
      </w:pPr>
      <w:r>
        <w:rPr>
          <w:rFonts w:ascii="Arial" w:cs="Arial" w:eastAsia="Arial" w:hAnsi="Arial"/>
          <w:b/>
          <w:bCs/>
          <w:color w:val="1B2A4A"/>
          <w:sz w:val="25"/>
          <w:szCs w:val="25"/>
        </w:rPr>
        <w:t xml:space="preserve">9. FALSIFIABILITY</w:t>
      </w:r>
    </w:p>
    <w:p>
      <w:pPr>
        <w:spacing w:after="120" w:before="0" w:line="310"/>
        <w:jc w:val="both"/>
      </w:pPr>
      <w:r>
        <w:rPr>
          <w:rFonts w:ascii="Garamond" w:cs="Garamond" w:eastAsia="Garamond" w:hAnsi="Garamond"/>
          <w:sz w:val="22"/>
          <w:szCs w:val="22"/>
        </w:rPr>
        <w:t xml:space="preserve">A framework of this scope must expose concrete failure conditions for its specific, checkable claims — not for the broad methodological reorientation of Section 1, which is evaluated by explanatory scope rather than direct falsification.</w:t>
      </w:r>
    </w:p>
    <w:p>
      <w:pPr>
        <w:spacing w:after="0" w:before="10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tcBorders>
              <w:top w:val="single" w:color="4A6FA5" w:sz="4"/>
              <w:left w:val="single" w:color="4A6FA5" w:sz="4"/>
              <w:bottom w:val="single" w:color="4A6FA5" w:sz="4"/>
              <w:right w:val="single" w:color="4A6FA5" w:sz="4"/>
            </w:tcBorders>
            <w:shd w:fill="1B2A4A" w:val="clear"/>
            <w:tcMar>
              <w:top w:type="dxa" w:w="80"/>
              <w:left w:type="dxa" w:w="100"/>
              <w:bottom w:type="dxa" w:w="80"/>
              <w:right w:type="dxa" w:w="100"/>
            </w:tcMar>
          </w:tcPr>
          <w:p>
            <w:r>
              <w:rPr>
                <w:rFonts w:ascii="Arial" w:cs="Arial" w:eastAsia="Arial" w:hAnsi="Arial"/>
                <w:b/>
                <w:bCs/>
                <w:color w:val="FFFFFF"/>
                <w:sz w:val="17"/>
                <w:szCs w:val="17"/>
              </w:rPr>
              <w:t xml:space="preserve">If This Is Demonstrated:</w:t>
            </w:r>
          </w:p>
        </w:tc>
        <w:tc>
          <w:tcPr>
            <w:tcW w:type="dxa" w:w="3260"/>
            <w:tcBorders>
              <w:top w:val="single" w:color="4A6FA5" w:sz="4"/>
              <w:left w:val="single" w:color="4A6FA5" w:sz="4"/>
              <w:bottom w:val="single" w:color="4A6FA5" w:sz="4"/>
              <w:right w:val="single" w:color="4A6FA5" w:sz="4"/>
            </w:tcBorders>
            <w:shd w:fill="1B2A4A" w:val="clear"/>
            <w:tcMar>
              <w:top w:type="dxa" w:w="80"/>
              <w:left w:type="dxa" w:w="100"/>
              <w:bottom w:type="dxa" w:w="80"/>
              <w:right w:type="dxa" w:w="100"/>
            </w:tcMar>
          </w:tcPr>
          <w:p>
            <w:r>
              <w:rPr>
                <w:rFonts w:ascii="Arial" w:cs="Arial" w:eastAsia="Arial" w:hAnsi="Arial"/>
                <w:b/>
                <w:bCs/>
                <w:color w:val="FFFFFF"/>
                <w:sz w:val="17"/>
                <w:szCs w:val="17"/>
              </w:rPr>
              <w:t xml:space="preserve">Then:</w:t>
            </w:r>
          </w:p>
        </w:tc>
      </w:tr>
      <w:tr>
        <w:tc>
          <w:tcPr>
            <w:tcW w:type="dxa" w:w="6100"/>
            <w:tcBorders>
              <w:top w:val="single" w:color="D0D7E3" w:sz="4"/>
              <w:left w:val="single" w:color="D0D7E3" w:sz="4"/>
              <w:bottom w:val="single" w:color="D0D7E3" w:sz="4"/>
              <w:right w:val="single" w:color="D0D7E3" w:sz="4"/>
            </w:tcBorders>
            <w:shd w:fill="FFFFFF" w:val="clear"/>
            <w:tcMar>
              <w:top w:type="dxa" w:w="60"/>
              <w:left w:type="dxa" w:w="100"/>
              <w:bottom w:type="dxa" w:w="60"/>
              <w:right w:type="dxa" w:w="100"/>
            </w:tcMar>
          </w:tcPr>
          <w:p>
            <w:r>
              <w:rPr>
                <w:rFonts w:ascii="Garamond" w:cs="Garamond" w:eastAsia="Garamond" w:hAnsi="Garamond"/>
                <w:sz w:val="17"/>
                <w:szCs w:val="17"/>
              </w:rPr>
              <w:t xml:space="preserve">A mature physical theory is found with no identifiable state space, dynamics, or constraint structure</w:t>
            </w:r>
          </w:p>
        </w:tc>
        <w:tc>
          <w:tcPr>
            <w:tcW w:type="dxa" w:w="3260"/>
            <w:tcBorders>
              <w:top w:val="single" w:color="D0D7E3" w:sz="4"/>
              <w:left w:val="single" w:color="D0D7E3" w:sz="4"/>
              <w:bottom w:val="single" w:color="D0D7E3" w:sz="4"/>
              <w:right w:val="single" w:color="D0D7E3" w:sz="4"/>
            </w:tcBorders>
            <w:shd w:fill="FFFFFF" w:val="clear"/>
            <w:tcMar>
              <w:top w:type="dxa" w:w="60"/>
              <w:left w:type="dxa" w:w="100"/>
              <w:bottom w:type="dxa" w:w="60"/>
              <w:right w:type="dxa" w:w="100"/>
            </w:tcMar>
          </w:tcPr>
          <w:p>
            <w:r>
              <w:rPr>
                <w:rFonts w:ascii="Garamond" w:cs="Garamond" w:eastAsia="Garamond" w:hAnsi="Garamond"/>
                <w:sz w:val="17"/>
                <w:szCs w:val="17"/>
              </w:rPr>
              <w:t xml:space="preserve">The Minimal Grammar Conjecture is falsified</w:t>
            </w:r>
          </w:p>
        </w:tc>
      </w:tr>
      <w:tr>
        <w:tc>
          <w:tcPr>
            <w:tcW w:type="dxa" w:w="6100"/>
            <w:tcBorders>
              <w:top w:val="single" w:color="D0D7E3" w:sz="4"/>
              <w:left w:val="single" w:color="D0D7E3" w:sz="4"/>
              <w:bottom w:val="single" w:color="D0D7E3" w:sz="4"/>
              <w:right w:val="single" w:color="D0D7E3" w:sz="4"/>
            </w:tcBorders>
            <w:shd w:fill="F4F6FA" w:val="clear"/>
            <w:tcMar>
              <w:top w:type="dxa" w:w="60"/>
              <w:left w:type="dxa" w:w="100"/>
              <w:bottom w:type="dxa" w:w="60"/>
              <w:right w:type="dxa" w:w="100"/>
            </w:tcMar>
          </w:tcPr>
          <w:p>
            <w:r>
              <w:rPr>
                <w:rFonts w:ascii="Garamond" w:cs="Garamond" w:eastAsia="Garamond" w:hAnsi="Garamond"/>
                <w:sz w:val="17"/>
                <w:szCs w:val="17"/>
              </w:rPr>
              <w:t xml:space="preserve">A smaller grammar (one or two primitives) reproduces every cross-domain equivalence in Table 1</w:t>
            </w:r>
          </w:p>
        </w:tc>
        <w:tc>
          <w:tcPr>
            <w:tcW w:type="dxa" w:w="3260"/>
            <w:tcBorders>
              <w:top w:val="single" w:color="D0D7E3" w:sz="4"/>
              <w:left w:val="single" w:color="D0D7E3" w:sz="4"/>
              <w:bottom w:val="single" w:color="D0D7E3" w:sz="4"/>
              <w:right w:val="single" w:color="D0D7E3" w:sz="4"/>
            </w:tcBorders>
            <w:shd w:fill="F4F6FA" w:val="clear"/>
            <w:tcMar>
              <w:top w:type="dxa" w:w="60"/>
              <w:left w:type="dxa" w:w="100"/>
              <w:bottom w:type="dxa" w:w="60"/>
              <w:right w:type="dxa" w:w="100"/>
            </w:tcMar>
          </w:tcPr>
          <w:p>
            <w:r>
              <w:rPr>
                <w:rFonts w:ascii="Garamond" w:cs="Garamond" w:eastAsia="Garamond" w:hAnsi="Garamond"/>
                <w:sz w:val="17"/>
                <w:szCs w:val="17"/>
              </w:rPr>
              <w:t xml:space="preserve">The Minimal Grammar Conjecture is falsified by compression</w:t>
            </w:r>
          </w:p>
        </w:tc>
      </w:tr>
      <w:tr>
        <w:tc>
          <w:tcPr>
            <w:tcW w:type="dxa" w:w="6100"/>
            <w:tcBorders>
              <w:top w:val="single" w:color="D0D7E3" w:sz="4"/>
              <w:left w:val="single" w:color="D0D7E3" w:sz="4"/>
              <w:bottom w:val="single" w:color="D0D7E3" w:sz="4"/>
              <w:right w:val="single" w:color="D0D7E3" w:sz="4"/>
            </w:tcBorders>
            <w:shd w:fill="FFFFFF" w:val="clear"/>
            <w:tcMar>
              <w:top w:type="dxa" w:w="60"/>
              <w:left w:type="dxa" w:w="100"/>
              <w:bottom w:type="dxa" w:w="60"/>
              <w:right w:type="dxa" w:w="100"/>
            </w:tcMar>
          </w:tcPr>
          <w:p>
            <w:r>
              <w:rPr>
                <w:rFonts w:ascii="Garamond" w:cs="Garamond" w:eastAsia="Garamond" w:hAnsi="Garamond"/>
                <w:sz w:val="17"/>
                <w:szCs w:val="17"/>
              </w:rPr>
              <w:t xml:space="preserve">The SU(2) Witten anomaly or SU(3) triangle-anomaly argument is shown invalid, or a smaller anomaly-free group satisfies the same conditions</w:t>
            </w:r>
          </w:p>
        </w:tc>
        <w:tc>
          <w:tcPr>
            <w:tcW w:type="dxa" w:w="3260"/>
            <w:tcBorders>
              <w:top w:val="single" w:color="D0D7E3" w:sz="4"/>
              <w:left w:val="single" w:color="D0D7E3" w:sz="4"/>
              <w:bottom w:val="single" w:color="D0D7E3" w:sz="4"/>
              <w:right w:val="single" w:color="D0D7E3" w:sz="4"/>
            </w:tcBorders>
            <w:shd w:fill="FFFFFF" w:val="clear"/>
            <w:tcMar>
              <w:top w:type="dxa" w:w="60"/>
              <w:left w:type="dxa" w:w="100"/>
              <w:bottom w:type="dxa" w:w="60"/>
              <w:right w:type="dxa" w:w="100"/>
            </w:tcMar>
          </w:tcPr>
          <w:p>
            <w:r>
              <w:rPr>
                <w:rFonts w:ascii="Garamond" w:cs="Garamond" w:eastAsia="Garamond" w:hAnsi="Garamond"/>
                <w:sz w:val="17"/>
                <w:szCs w:val="17"/>
              </w:rPr>
              <w:t xml:space="preserve">The gauge-derivation claim is falsified</w:t>
            </w:r>
          </w:p>
        </w:tc>
      </w:tr>
      <w:tr>
        <w:tc>
          <w:tcPr>
            <w:tcW w:type="dxa" w:w="6100"/>
            <w:tcBorders>
              <w:top w:val="single" w:color="D0D7E3" w:sz="4"/>
              <w:left w:val="single" w:color="D0D7E3" w:sz="4"/>
              <w:bottom w:val="single" w:color="D0D7E3" w:sz="4"/>
              <w:right w:val="single" w:color="D0D7E3" w:sz="4"/>
            </w:tcBorders>
            <w:shd w:fill="F4F6FA" w:val="clear"/>
            <w:tcMar>
              <w:top w:type="dxa" w:w="60"/>
              <w:left w:type="dxa" w:w="100"/>
              <w:bottom w:type="dxa" w:w="60"/>
              <w:right w:type="dxa" w:w="100"/>
            </w:tcMar>
          </w:tcPr>
          <w:p>
            <w:r>
              <w:rPr>
                <w:rFonts w:ascii="Garamond" w:cs="Garamond" w:eastAsia="Garamond" w:hAnsi="Garamond"/>
                <w:sz w:val="17"/>
                <w:szCs w:val="17"/>
              </w:rPr>
              <w:t xml:space="preserve">The RG reduction operator fails the contraction property (description-distance does not shrink under R)</w:t>
            </w:r>
          </w:p>
        </w:tc>
        <w:tc>
          <w:tcPr>
            <w:tcW w:type="dxa" w:w="3260"/>
            <w:tcBorders>
              <w:top w:val="single" w:color="D0D7E3" w:sz="4"/>
              <w:left w:val="single" w:color="D0D7E3" w:sz="4"/>
              <w:bottom w:val="single" w:color="D0D7E3" w:sz="4"/>
              <w:right w:val="single" w:color="D0D7E3" w:sz="4"/>
            </w:tcBorders>
            <w:shd w:fill="F4F6FA" w:val="clear"/>
            <w:tcMar>
              <w:top w:type="dxa" w:w="60"/>
              <w:left w:type="dxa" w:w="100"/>
              <w:bottom w:type="dxa" w:w="60"/>
              <w:right w:type="dxa" w:w="100"/>
            </w:tcMar>
          </w:tcPr>
          <w:p>
            <w:r>
              <w:rPr>
                <w:rFonts w:ascii="Garamond" w:cs="Garamond" w:eastAsia="Garamond" w:hAnsi="Garamond"/>
                <w:sz w:val="17"/>
                <w:szCs w:val="17"/>
              </w:rPr>
              <w:t xml:space="preserve">The Banach fixed-point argument for Δ* fails</w:t>
            </w:r>
          </w:p>
        </w:tc>
      </w:tr>
      <w:tr>
        <w:tc>
          <w:tcPr>
            <w:tcW w:type="dxa" w:w="6100"/>
            <w:tcBorders>
              <w:top w:val="single" w:color="D0D7E3" w:sz="4"/>
              <w:left w:val="single" w:color="D0D7E3" w:sz="4"/>
              <w:bottom w:val="single" w:color="D0D7E3" w:sz="4"/>
              <w:right w:val="single" w:color="D0D7E3" w:sz="4"/>
            </w:tcBorders>
            <w:shd w:fill="FFFFFF" w:val="clear"/>
            <w:tcMar>
              <w:top w:type="dxa" w:w="60"/>
              <w:left w:type="dxa" w:w="100"/>
              <w:bottom w:type="dxa" w:w="60"/>
              <w:right w:type="dxa" w:w="100"/>
            </w:tcMar>
          </w:tcPr>
          <w:p>
            <w:r>
              <w:rPr>
                <w:rFonts w:ascii="Garamond" w:cs="Garamond" w:eastAsia="Garamond" w:hAnsi="Garamond"/>
                <w:sz w:val="17"/>
                <w:szCs w:val="17"/>
              </w:rPr>
              <w:t xml:space="preserve">A real persistent system (institutional, biological, physical) shows gradual constraint decay with no sharp threshold near T_c</w:t>
            </w:r>
          </w:p>
        </w:tc>
        <w:tc>
          <w:tcPr>
            <w:tcW w:type="dxa" w:w="3260"/>
            <w:tcBorders>
              <w:top w:val="single" w:color="D0D7E3" w:sz="4"/>
              <w:left w:val="single" w:color="D0D7E3" w:sz="4"/>
              <w:bottom w:val="single" w:color="D0D7E3" w:sz="4"/>
              <w:right w:val="single" w:color="D0D7E3" w:sz="4"/>
            </w:tcBorders>
            <w:shd w:fill="FFFFFF" w:val="clear"/>
            <w:tcMar>
              <w:top w:type="dxa" w:w="60"/>
              <w:left w:type="dxa" w:w="100"/>
              <w:bottom w:type="dxa" w:w="60"/>
              <w:right w:type="dxa" w:w="100"/>
            </w:tcMar>
          </w:tcPr>
          <w:p>
            <w:r>
              <w:rPr>
                <w:rFonts w:ascii="Garamond" w:cs="Garamond" w:eastAsia="Garamond" w:hAnsi="Garamond"/>
                <w:sz w:val="17"/>
                <w:szCs w:val="17"/>
              </w:rPr>
              <w:t xml:space="preserve">The logistic constraint-collapse model (§6) is falsified for that system class</w:t>
            </w:r>
          </w:p>
        </w:tc>
      </w:tr>
      <w:tr>
        <w:tc>
          <w:tcPr>
            <w:tcW w:type="dxa" w:w="6100"/>
            <w:tcBorders>
              <w:top w:val="single" w:color="D0D7E3" w:sz="4"/>
              <w:left w:val="single" w:color="D0D7E3" w:sz="4"/>
              <w:bottom w:val="single" w:color="D0D7E3" w:sz="4"/>
              <w:right w:val="single" w:color="D0D7E3" w:sz="4"/>
            </w:tcBorders>
            <w:shd w:fill="F4F6FA" w:val="clear"/>
            <w:tcMar>
              <w:top w:type="dxa" w:w="60"/>
              <w:left w:type="dxa" w:w="100"/>
              <w:bottom w:type="dxa" w:w="60"/>
              <w:right w:type="dxa" w:w="100"/>
            </w:tcMar>
          </w:tcPr>
          <w:p>
            <w:r>
              <w:rPr>
                <w:rFonts w:ascii="Garamond" w:cs="Garamond" w:eastAsia="Garamond" w:hAnsi="Garamond"/>
                <w:sz w:val="17"/>
                <w:szCs w:val="17"/>
              </w:rPr>
              <w:t xml:space="preserve">A real coupled persistence/constraint/pressure system is found that settles into the interior fixed point rather than diverging</w:t>
            </w:r>
          </w:p>
        </w:tc>
        <w:tc>
          <w:tcPr>
            <w:tcW w:type="dxa" w:w="3260"/>
            <w:tcBorders>
              <w:top w:val="single" w:color="D0D7E3" w:sz="4"/>
              <w:left w:val="single" w:color="D0D7E3" w:sz="4"/>
              <w:bottom w:val="single" w:color="D0D7E3" w:sz="4"/>
              <w:right w:val="single" w:color="D0D7E3" w:sz="4"/>
            </w:tcBorders>
            <w:shd w:fill="F4F6FA" w:val="clear"/>
            <w:tcMar>
              <w:top w:type="dxa" w:w="60"/>
              <w:left w:type="dxa" w:w="100"/>
              <w:bottom w:type="dxa" w:w="60"/>
              <w:right w:type="dxa" w:w="100"/>
            </w:tcMar>
          </w:tcPr>
          <w:p>
            <w:r>
              <w:rPr>
                <w:rFonts w:ascii="Garamond" w:cs="Garamond" w:eastAsia="Garamond" w:hAnsi="Garamond"/>
                <w:sz w:val="17"/>
                <w:szCs w:val="17"/>
              </w:rPr>
              <w:t xml:space="preserve">The instability result of §7 is falsified as a general claim and must be restricted</w:t>
            </w:r>
          </w:p>
        </w:tc>
      </w:tr>
    </w:tbl>
    <w:p>
      <w:pPr>
        <w:spacing w:after="0" w:before="60"/>
      </w:pPr>
      <w:r>
        <w:rPr>
          <w:rFonts w:ascii="Garamond" w:cs="Garamond" w:eastAsia="Garamond" w:hAnsi="Garamond"/>
        </w:rPr>
        <w:t xml:space="preserve"/>
      </w:r>
    </w:p>
    <w:p>
      <w:pPr>
        <w:spacing w:after="130" w:before="60"/>
        <w:jc w:val="center"/>
      </w:pPr>
      <w:r>
        <w:rPr>
          <w:rFonts w:ascii="Garamond" w:cs="Garamond" w:eastAsia="Garamond" w:hAnsi="Garamond"/>
          <w:i/>
          <w:iCs/>
          <w:color w:val="555555"/>
          <w:sz w:val="16"/>
          <w:szCs w:val="16"/>
        </w:rPr>
        <w:t xml:space="preserve">Table 2. Falsifiability conditions for the load-bearing technical claims of this paper.</w:t>
      </w:r>
    </w:p>
    <w:p>
      <w:r>
        <w:br w:type="page"/>
      </w:r>
    </w:p>
    <w:p>
      <w:pPr>
        <w:pBdr>
          <w:bottom w:val="single" w:color="B8860B" w:sz="8" w:space="2"/>
        </w:pBdr>
        <w:spacing w:after="120" w:before="320"/>
      </w:pPr>
      <w:r>
        <w:rPr>
          <w:rFonts w:ascii="Arial" w:cs="Arial" w:eastAsia="Arial" w:hAnsi="Arial"/>
          <w:b/>
          <w:bCs/>
          <w:color w:val="1B2A4A"/>
          <w:sz w:val="25"/>
          <w:szCs w:val="25"/>
        </w:rPr>
        <w:t xml:space="preserve">10. OPEN PROBLEMS</w:t>
      </w:r>
    </w:p>
    <w:p>
      <w:pPr>
        <w:spacing w:after="80" w:before="0" w:line="310"/>
        <w:ind w:left="340" w:hanging="340"/>
        <w:jc w:val="both"/>
      </w:pPr>
      <w:r>
        <w:rPr>
          <w:rFonts w:ascii="Garamond" w:cs="Garamond" w:eastAsia="Garamond" w:hAnsi="Garamond"/>
          <w:b/>
          <w:bCs/>
        </w:rPr>
        <w:t xml:space="preserve">1. Derive Ω's functional form and re-test stability.  </w:t>
      </w:r>
      <w:r>
        <w:rPr>
          <w:rFonts w:ascii="Garamond" w:cs="Garamond" w:eastAsia="Garamond" w:hAnsi="Garamond"/>
        </w:rPr>
        <w:t xml:space="preserve">Whether a derived (not assumed) possibility-source term stabilizes the interior fixed point of the P-C-T system is unresolved and directly computable as the next step.</w:t>
      </w:r>
    </w:p>
    <w:p>
      <w:pPr>
        <w:spacing w:after="80" w:before="0" w:line="310"/>
        <w:ind w:left="340" w:hanging="340"/>
        <w:jc w:val="both"/>
      </w:pPr>
      <w:r>
        <w:rPr>
          <w:rFonts w:ascii="Garamond" w:cs="Garamond" w:eastAsia="Garamond" w:hAnsi="Garamond"/>
          <w:b/>
          <w:bCs/>
        </w:rPr>
        <w:t xml:space="preserve">2. Couple T and C back into their own full dynamics.  </w:t>
      </w:r>
      <w:r>
        <w:rPr>
          <w:rFonts w:ascii="Garamond" w:cs="Garamond" w:eastAsia="Garamond" w:hAnsi="Garamond"/>
        </w:rPr>
        <w:t xml:space="preserve">Sections 6–7 freeze various combinations of D, T, C, Ω as external parameters to keep the system tractable. A fully self-consistent four- or five-variable system is a harder, unfinished problem.</w:t>
      </w:r>
    </w:p>
    <w:p>
      <w:pPr>
        <w:spacing w:after="80" w:before="0" w:line="310"/>
        <w:ind w:left="340" w:hanging="340"/>
        <w:jc w:val="both"/>
      </w:pPr>
      <w:r>
        <w:rPr>
          <w:rFonts w:ascii="Garamond" w:cs="Garamond" w:eastAsia="Garamond" w:hAnsi="Garamond"/>
          <w:b/>
          <w:bCs/>
        </w:rPr>
        <w:t xml:space="preserve">3. Formalize the Minimal Grammar Conjecture.  </w:t>
      </w:r>
      <w:r>
        <w:rPr>
          <w:rFonts w:ascii="Garamond" w:cs="Garamond" w:eastAsia="Garamond" w:hAnsi="Garamond"/>
        </w:rPr>
        <w:t xml:space="preserve">That (D,T,C) is the unique minimal grammar generating persistent distinguishable structure is well supported but not formally proved against arbitrary alternative two-primitive grammars.</w:t>
      </w:r>
    </w:p>
    <w:p>
      <w:pPr>
        <w:spacing w:after="80" w:before="0" w:line="310"/>
        <w:ind w:left="340" w:hanging="340"/>
        <w:jc w:val="both"/>
      </w:pPr>
      <w:r>
        <w:rPr>
          <w:rFonts w:ascii="Garamond" w:cs="Garamond" w:eastAsia="Garamond" w:hAnsi="Garamond"/>
          <w:b/>
          <w:bCs/>
        </w:rPr>
        <w:t xml:space="preserve">4. Derive the dimensionless constants.  </w:t>
      </w:r>
      <w:r>
        <w:rPr>
          <w:rFonts w:ascii="Garamond" w:cs="Garamond" w:eastAsia="Garamond" w:hAnsi="Garamond"/>
        </w:rPr>
        <w:t xml:space="preserve">Section 4 derives the Standard Model's gauge group structure. It does not derive the fine-structure constant, mass hierarchy, or any other dimensionless parameter.</w:t>
      </w:r>
    </w:p>
    <w:p>
      <w:pPr>
        <w:spacing w:after="80" w:before="0" w:line="310"/>
        <w:ind w:left="340" w:hanging="340"/>
        <w:jc w:val="both"/>
      </w:pPr>
      <w:r>
        <w:rPr>
          <w:rFonts w:ascii="Garamond" w:cs="Garamond" w:eastAsia="Garamond" w:hAnsi="Garamond"/>
          <w:b/>
          <w:bCs/>
        </w:rPr>
        <w:t xml:space="preserve">5. Reconstruct an action functional for the field-theoretic extension.  </w:t>
      </w:r>
      <w:r>
        <w:rPr>
          <w:rFonts w:ascii="Garamond" w:cs="Garamond" w:eastAsia="Garamond" w:hAnsi="Garamond"/>
        </w:rPr>
        <w:t xml:space="preserve">The coupled system in §7 is first-order and dissipative; an honest action-based derivation (Section 6 of the companion methods paper) requires the Martin-Siggia-Rose / Onsager-Machlup construction for dissipative flows, not an ordinary Lagrangian, and has not yet been extended to the full three-variable system.</w:t>
      </w:r>
    </w:p>
    <w:p>
      <w:pPr>
        <w:pBdr>
          <w:bottom w:val="single" w:color="B8860B" w:sz="8" w:space="2"/>
        </w:pBdr>
        <w:spacing w:after="120" w:before="320"/>
      </w:pPr>
      <w:r>
        <w:rPr>
          <w:rFonts w:ascii="Arial" w:cs="Arial" w:eastAsia="Arial" w:hAnsi="Arial"/>
          <w:b/>
          <w:bCs/>
          <w:color w:val="1B2A4A"/>
          <w:sz w:val="25"/>
          <w:szCs w:val="25"/>
        </w:rPr>
        <w:t xml:space="preserve">11. CONCLUSION: THE CLOSEST CURRENT CANDIDATE, NOT A CLOSED CASE</w:t>
      </w:r>
    </w:p>
    <w:p>
      <w:pPr>
        <w:spacing w:after="120" w:before="0" w:line="310"/>
        <w:jc w:val="both"/>
      </w:pPr>
      <w:r>
        <w:rPr>
          <w:rFonts w:ascii="Garamond" w:cs="Garamond" w:eastAsia="Garamond" w:hAnsi="Garamond"/>
          <w:sz w:val="22"/>
          <w:szCs w:val="22"/>
        </w:rPr>
        <w:t xml:space="preserve">This paper has not produced a new force, particle, or fundamental constant. It has assembled, under an explicitly stated and defended redefinition of what a Theory of Everything should mean, the strongest currently available case that the necessary architecture for such a theory is already distributed across established physics: gauge-anomaly cancellation, renormalization-group fixed points, the Banach Fixed-Point Theorem, and a cross-domain grammar of distinction, transformation, and constraint. It has extended that grammar into genuine dynamical equations for the first time in this research program, and it has reported, without softening, that the first serious attempt at coupled dynamics is unstable everywhere it was tested — a result more valuable than a false success, because it identifies precisely what the architecture is still missing.</w:t>
      </w:r>
    </w:p>
    <w:p>
      <w:pPr>
        <w:spacing w:after="120" w:before="0" w:line="310"/>
        <w:jc w:val="both"/>
      </w:pPr>
      <w:r>
        <w:rPr>
          <w:rFonts w:ascii="Garamond" w:cs="Garamond" w:eastAsia="Garamond" w:hAnsi="Garamond"/>
          <w:sz w:val="22"/>
          <w:szCs w:val="22"/>
        </w:rPr>
        <w:t xml:space="preserve">Under the standard definition of a TOE, this paper offers nothing definitive. Under the corrected definition defended in Section 1, this paper claims to be, at present, the most rigorously cross-checked and honestly falsifiable candidate available — not because every component is proven, but because every component's status is stated plainly, every numerical claim in Sections 6–7 was independently verified by direct computation rather than asserted, and the one place the framework failed its own test is reported as the clearest signpost toward the next required result. That is offered as the honest meaning of “closest thing we currently have to a true Theory of Everything”: not a finished theory, but the most exposed one — the one that has been checked the hardest and has the shortest list of places left to hide.</w:t>
      </w:r>
    </w:p>
    <w:p>
      <w:pPr>
        <w:spacing w:after="0" w:before="140"/>
      </w:pPr>
      <w:r>
        <w:rPr>
          <w:rFonts w:ascii="Garamond" w:cs="Garamond" w:eastAsia="Garamond" w:hAnsi="Garamond"/>
        </w:rPr>
        <w:t xml:space="preserve"/>
      </w:r>
    </w:p>
    <w:p>
      <w:pPr>
        <w:pBdr>
          <w:bottom w:val="single" w:color="B8860B" w:sz="6" w:space="1"/>
        </w:pBdr>
        <w:spacing w:after="100" w:before="50"/>
      </w:pPr>
      <w:r>
        <w:rPr>
          <w:rFonts w:ascii="Garamond" w:cs="Garamond" w:eastAsia="Garamond" w:hAnsi="Garamond"/>
        </w:rPr>
        <w:t xml:space="preserve"/>
      </w:r>
    </w:p>
    <w:p>
      <w:pPr>
        <w:pBdr>
          <w:bottom w:val="single" w:color="B8860B" w:sz="8" w:space="2"/>
        </w:pBdr>
        <w:spacing w:after="120" w:before="320"/>
      </w:pPr>
      <w:r>
        <w:rPr>
          <w:rFonts w:ascii="Arial" w:cs="Arial" w:eastAsia="Arial" w:hAnsi="Arial"/>
          <w:b/>
          <w:bCs/>
          <w:color w:val="1B2A4A"/>
          <w:sz w:val="25"/>
          <w:szCs w:val="25"/>
        </w:rPr>
        <w:t xml:space="preserve">REFERENCES</w:t>
      </w:r>
    </w:p>
    <w:p>
      <w:pPr>
        <w:spacing w:after="45" w:before="45"/>
        <w:ind w:left="340" w:hanging="340"/>
      </w:pPr>
      <w:r>
        <w:rPr>
          <w:rFonts w:ascii="Garamond" w:cs="Garamond" w:eastAsia="Garamond" w:hAnsi="Garamond"/>
          <w:color w:val="333333"/>
          <w:sz w:val="17"/>
          <w:szCs w:val="17"/>
        </w:rPr>
        <w:t xml:space="preserve">[1]  Ambjørn, J., Jurkiewicz, J., &amp; Loll, R. (2005). Spectral dimension of the universe. Physical Review Letters, 95(17), 171301.</w:t>
      </w:r>
    </w:p>
    <w:p>
      <w:pPr>
        <w:spacing w:after="45" w:before="45"/>
        <w:ind w:left="340" w:hanging="340"/>
      </w:pPr>
      <w:r>
        <w:rPr>
          <w:rFonts w:ascii="Garamond" w:cs="Garamond" w:eastAsia="Garamond" w:hAnsi="Garamond"/>
          <w:color w:val="333333"/>
          <w:sz w:val="17"/>
          <w:szCs w:val="17"/>
        </w:rPr>
        <w:t xml:space="preserve">[2]  Banach, S. (1922). Sur les opérations dans les ensembles abstraits et leur application aux équations intégrales. Fundamenta Mathematicae, 3, 133–181.</w:t>
      </w:r>
    </w:p>
    <w:p>
      <w:pPr>
        <w:spacing w:after="45" w:before="45"/>
        <w:ind w:left="340" w:hanging="340"/>
      </w:pPr>
      <w:r>
        <w:rPr>
          <w:rFonts w:ascii="Garamond" w:cs="Garamond" w:eastAsia="Garamond" w:hAnsi="Garamond"/>
          <w:color w:val="333333"/>
          <w:sz w:val="17"/>
          <w:szCs w:val="17"/>
        </w:rPr>
        <w:t xml:space="preserve">[3]  Komargodski, Z., &amp; Schwimmer, A. (2011). On renormalization group flows in four dimensions. Journal of High Energy Physics, 2011(12), 99.</w:t>
      </w:r>
    </w:p>
    <w:p>
      <w:pPr>
        <w:spacing w:after="45" w:before="45"/>
        <w:ind w:left="340" w:hanging="340"/>
      </w:pPr>
      <w:r>
        <w:rPr>
          <w:rFonts w:ascii="Garamond" w:cs="Garamond" w:eastAsia="Garamond" w:hAnsi="Garamond"/>
          <w:color w:val="333333"/>
          <w:sz w:val="17"/>
          <w:szCs w:val="17"/>
        </w:rPr>
        <w:t xml:space="preserve">[4]  Martin, P. C., Siggia, E. D., &amp; Rose, H. A. (1973). Statistical dynamics of classical systems. Physical Review A, 8(1), 423.</w:t>
      </w:r>
    </w:p>
    <w:p>
      <w:pPr>
        <w:spacing w:after="45" w:before="45"/>
        <w:ind w:left="340" w:hanging="340"/>
      </w:pPr>
      <w:r>
        <w:rPr>
          <w:rFonts w:ascii="Garamond" w:cs="Garamond" w:eastAsia="Garamond" w:hAnsi="Garamond"/>
          <w:color w:val="333333"/>
          <w:sz w:val="17"/>
          <w:szCs w:val="17"/>
        </w:rPr>
        <w:t xml:space="preserve">[5]  Noether, E. (1918). Invariante Variationsprobleme. Göttinger Nachrichten, 1918, 235–257.</w:t>
      </w:r>
    </w:p>
    <w:p>
      <w:pPr>
        <w:spacing w:after="45" w:before="45"/>
        <w:ind w:left="340" w:hanging="340"/>
      </w:pPr>
      <w:r>
        <w:rPr>
          <w:rFonts w:ascii="Garamond" w:cs="Garamond" w:eastAsia="Garamond" w:hAnsi="Garamond"/>
          <w:color w:val="333333"/>
          <w:sz w:val="17"/>
          <w:szCs w:val="17"/>
        </w:rPr>
        <w:t xml:space="preserve">[6]  Peskin, M. E., &amp; Schroeder, D. V. (1995). An Introduction to Quantum Field Theory. Westview Press.</w:t>
      </w:r>
    </w:p>
    <w:p>
      <w:pPr>
        <w:spacing w:after="45" w:before="45"/>
        <w:ind w:left="340" w:hanging="340"/>
      </w:pPr>
      <w:r>
        <w:rPr>
          <w:rFonts w:ascii="Garamond" w:cs="Garamond" w:eastAsia="Garamond" w:hAnsi="Garamond"/>
          <w:color w:val="333333"/>
          <w:sz w:val="17"/>
          <w:szCs w:val="17"/>
        </w:rPr>
        <w:t xml:space="preserve">[7]  Reuter, M., &amp; Saueressig, F. (2012). Quantum Einstein gravity. New Journal of Physics, 14, 055022.</w:t>
      </w:r>
    </w:p>
    <w:p>
      <w:pPr>
        <w:spacing w:after="45" w:before="45"/>
        <w:ind w:left="340" w:hanging="340"/>
      </w:pPr>
      <w:r>
        <w:rPr>
          <w:rFonts w:ascii="Garamond" w:cs="Garamond" w:eastAsia="Garamond" w:hAnsi="Garamond"/>
          <w:color w:val="333333"/>
          <w:sz w:val="17"/>
          <w:szCs w:val="17"/>
        </w:rPr>
        <w:t xml:space="preserve">[8]  Shannon, C. E. (1948). A mathematical theory of communication. The Bell System Technical Journal, 27, 379–423.</w:t>
      </w:r>
    </w:p>
    <w:p>
      <w:pPr>
        <w:spacing w:after="45" w:before="45"/>
        <w:ind w:left="340" w:hanging="340"/>
      </w:pPr>
      <w:r>
        <w:rPr>
          <w:rFonts w:ascii="Garamond" w:cs="Garamond" w:eastAsia="Garamond" w:hAnsi="Garamond"/>
          <w:color w:val="333333"/>
          <w:sz w:val="17"/>
          <w:szCs w:val="17"/>
        </w:rPr>
        <w:t xml:space="preserve">[9]  Witten, E. (1982). An SU(2) anomaly. Physics Letters B, 117(5), 324–328.</w:t>
      </w:r>
    </w:p>
    <w:p>
      <w:pPr>
        <w:spacing w:after="45" w:before="45"/>
        <w:ind w:left="340" w:hanging="340"/>
      </w:pPr>
      <w:r>
        <w:rPr>
          <w:rFonts w:ascii="Garamond" w:cs="Garamond" w:eastAsia="Garamond" w:hAnsi="Garamond"/>
          <w:color w:val="333333"/>
          <w:sz w:val="17"/>
          <w:szCs w:val="17"/>
        </w:rPr>
        <w:t xml:space="preserve">[10]  Zamolodchikov, A. B. (1986). Irreversibility of the flux of the renormalization group in a 2D field theory. JETP Letters, 43, 730–732.</w:t>
      </w:r>
    </w:p>
    <w:p>
      <w:pPr>
        <w:spacing w:after="45" w:before="45"/>
        <w:ind w:left="340" w:hanging="340"/>
      </w:pPr>
      <w:r>
        <w:rPr>
          <w:rFonts w:ascii="Garamond" w:cs="Garamond" w:eastAsia="Garamond" w:hAnsi="Garamond"/>
          <w:color w:val="333333"/>
          <w:sz w:val="17"/>
          <w:szCs w:val="17"/>
        </w:rPr>
        <w:t xml:space="preserve">[11]  Blaze, K. I. (2026). The Rosetta Protocol: Toward a Universal Grammar of Explanation. DTC Universality Program, RP-001.</w:t>
      </w:r>
    </w:p>
    <w:p>
      <w:pPr>
        <w:spacing w:after="45" w:before="45"/>
        <w:ind w:left="340" w:hanging="340"/>
      </w:pPr>
      <w:r>
        <w:rPr>
          <w:rFonts w:ascii="Garamond" w:cs="Garamond" w:eastAsia="Garamond" w:hAnsi="Garamond"/>
          <w:color w:val="333333"/>
          <w:sz w:val="17"/>
          <w:szCs w:val="17"/>
        </w:rPr>
        <w:t xml:space="preserve">[12]  Blaze, K. I. (2026). The Rosetta Stone: A Necessity-Based Grammar of Physical Law. DTC Universality Program, RP-002.</w:t>
      </w:r>
    </w:p>
    <w:p>
      <w:pPr>
        <w:spacing w:after="45" w:before="45"/>
        <w:ind w:left="340" w:hanging="340"/>
      </w:pPr>
      <w:r>
        <w:rPr>
          <w:rFonts w:ascii="Garamond" w:cs="Garamond" w:eastAsia="Garamond" w:hAnsi="Garamond"/>
          <w:color w:val="333333"/>
          <w:sz w:val="17"/>
          <w:szCs w:val="17"/>
        </w:rPr>
        <w:t xml:space="preserve">[13]  Blaze, K. I. (2026). Beyond the Theory of Everything: A Necessity-Based Framework for Understanding Reality. DTC Universality Program.</w:t>
      </w:r>
    </w:p>
    <w:p>
      <w:pPr>
        <w:spacing w:after="45" w:before="45"/>
        <w:ind w:left="340" w:hanging="340"/>
      </w:pPr>
      <w:r>
        <w:rPr>
          <w:rFonts w:ascii="Garamond" w:cs="Garamond" w:eastAsia="Garamond" w:hAnsi="Garamond"/>
          <w:color w:val="333333"/>
          <w:sz w:val="17"/>
          <w:szCs w:val="17"/>
        </w:rPr>
        <w:t xml:space="preserve">[14]  Blaze, K. I. (2026). Equation Generation Protocol (EGP-1): Iterations 1–4, P-C-T Coupled System. DTC Universality Program, working notes.</w:t>
      </w:r>
    </w:p>
    <w:p>
      <w:pPr>
        <w:spacing w:after="0" w:before="140"/>
      </w:pPr>
      <w:r>
        <w:rPr>
          <w:rFonts w:ascii="Garamond" w:cs="Garamond" w:eastAsia="Garamond" w:hAnsi="Garamond"/>
        </w:rPr>
        <w:t xml:space="preserve"/>
      </w:r>
    </w:p>
    <w:p>
      <w:pPr>
        <w:pBdr>
          <w:bottom w:val="single" w:color="1B2A4A" w:sz="6" w:space="1"/>
        </w:pBdr>
        <w:spacing w:after="100" w:before="50"/>
      </w:pPr>
      <w:r>
        <w:rPr>
          <w:rFonts w:ascii="Garamond" w:cs="Garamond" w:eastAsia="Garamond" w:hAnsi="Garamond"/>
        </w:rPr>
        <w:t xml:space="preserve"/>
      </w:r>
    </w:p>
    <w:p>
      <w:pPr>
        <w:spacing w:after="0" w:before="90"/>
        <w:jc w:val="center"/>
      </w:pPr>
      <w:r>
        <w:rPr>
          <w:rFonts w:ascii="Arial" w:cs="Arial" w:eastAsia="Arial" w:hAnsi="Arial"/>
          <w:b/>
          <w:bCs/>
          <w:color w:val="1B2A4A"/>
          <w:sz w:val="17"/>
          <w:szCs w:val="17"/>
        </w:rPr>
        <w:t xml:space="preserve">END OF DOCUMENT</w:t>
      </w:r>
      <w:r>
        <w:rPr>
          <w:rFonts w:ascii="Garamond" w:cs="Garamond" w:eastAsia="Garamond" w:hAnsi="Garamond"/>
          <w:color w:val="777777"/>
          <w:sz w:val="17"/>
          <w:szCs w:val="17"/>
        </w:rPr>
        <w:t xml:space="preserve">  ·  DTC-RP-003  ·  Keith I. Blaze  ·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after="0" w:before="90"/>
      <w:jc w:val="center"/>
    </w:pPr>
    <w:r>
      <w:rPr>
        <w:rFonts w:ascii="Garamond" w:cs="Garamond" w:eastAsia="Garamond" w:hAnsi="Garamond"/>
        <w:color w:val="777777"/>
        <w:sz w:val="15"/>
        <w:szCs w:val="15"/>
      </w:rPr>
      <w:t xml:space="preserve">Keith I. Blaze  ·  DTC Universality Program  ·  Page </w:t>
    </w:r>
    <w:fldSimple w:instr="PAGE"/>
    <w:r>
      <w:rPr>
        <w:rFonts w:ascii="Garamond" w:cs="Garamond" w:eastAsia="Garamond" w:hAnsi="Garamond"/>
        <w:color w:val="777777"/>
        <w:sz w:val="15"/>
        <w:szCs w:val="15"/>
      </w:rPr>
      <w:t xml:space="preserve">  ·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30" w:before="0"/>
    </w:pPr>
    <w:r>
      <w:rPr>
        <w:rFonts w:ascii="Arial" w:cs="Arial" w:eastAsia="Arial" w:hAnsi="Arial"/>
        <w:b/>
        <w:bCs/>
        <w:color w:val="1B2A4A"/>
        <w:sz w:val="15"/>
        <w:szCs w:val="15"/>
      </w:rPr>
      <w:t xml:space="preserve">THE UNIFIED ROSETTA STONE: A CANDIDATE THEORY OF EVERYTHING</w:t>
    </w:r>
    <w:r>
      <w:rPr>
        <w:rFonts w:ascii="Arial" w:cs="Arial" w:eastAsia="Arial" w:hAnsi="Arial"/>
        <w:color w:val="D0D7E3"/>
        <w:sz w:val="15"/>
        <w:szCs w:val="15"/>
      </w:rPr>
      <w:t xml:space="preserve">   |   </w:t>
    </w:r>
    <w:r>
      <w:rPr>
        <w:rFonts w:ascii="Arial" w:cs="Arial" w:eastAsia="Arial" w:hAnsi="Arial"/>
        <w:color w:val="B8860B"/>
        <w:sz w:val="15"/>
        <w:szCs w:val="15"/>
      </w:rPr>
      <w:t xml:space="preserve">DTC-RP-003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c2d8f43dd48fb48320f31321acc8b29b3f63b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2026-06-20T22:38:34.692Z</dcterms:created>
  <dcterms:modified xsi:type="dcterms:W3CDTF">2026-06-20T22:38:34.692Z</dcterms:modified>
</cp:coreProperties>
</file>

<file path=docProps/custom.xml><?xml version="1.0" encoding="utf-8"?>
<Properties xmlns="http://schemas.openxmlformats.org/officeDocument/2006/custom-properties" xmlns:vt="http://schemas.openxmlformats.org/officeDocument/2006/docPropsVTypes"/>
</file>