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sz w:val="44"/>
          <w:szCs w:val="44"/>
        </w:rPr>
        <w:t xml:space="preserve">Master TOE Derivation Campaign</w:t>
      </w:r>
    </w:p>
    <w:p>
      <w:pPr>
        <w:spacing w:after="600"/>
        <w:jc w:val="center"/>
      </w:pPr>
      <w:r>
        <w:rPr>
          <w:i/>
          <w:iCs/>
          <w:sz w:val="28"/>
          <w:szCs w:val="28"/>
        </w:rPr>
        <w:t xml:space="preserve">Partial Closure, Corpus Audit, and Falsification Report</w:t>
      </w:r>
    </w:p>
    <w:p>
      <w:pPr>
        <w:spacing w:after="120"/>
        <w:jc w:val="center"/>
      </w:pPr>
      <w:r>
        <w:rPr>
          <w:sz w:val="22"/>
          <w:szCs w:val="22"/>
        </w:rPr>
        <w:t xml:space="preserve">Forward-MDCL Compiler Project (SEIT), branch claude/forward-mdcl-compiler-build-ng4k2k</w:t>
      </w:r>
    </w:p>
    <w:p>
      <w:pPr>
        <w:spacing w:after="1200"/>
        <w:jc w:val="center"/>
      </w:pPr>
      <w:r>
        <w:rPr>
          <w:sz w:val="22"/>
          <w:szCs w:val="22"/>
        </w:rPr>
        <w:t xml:space="preserve">August 2026</w:t>
      </w:r>
    </w:p>
    <w:p>
      <w:r>
        <w:br w:type="page"/>
      </w:r>
    </w:p>
    <w:p>
      <w:pPr>
        <w:pStyle w:val="Heading1"/>
        <w:spacing w:after="160" w:before="360"/>
      </w:pPr>
      <w:r>
        <w:t xml:space="preserve">Abstract</w:t>
      </w:r>
    </w:p>
    <w:p>
      <w:pPr>
        <w:spacing w:after="160"/>
      </w:pPr>
      <w:r>
        <w:t xml:space="preserve">This report documents a full-repository derivation campaign whose objective was to determine whether the mathematical, physical, and speculative-theoretic material accumulated in this project — a canonical, tested compiler; a ~30-document historical corpus of prior theoretical writing; and an externally acquired physics-literature corpus — contains a minimal generating structure from which established physics can be recovered as a limit or sector. It does not. No complete Theory of Everything was derived, and none is fabricated here. What survives independent scrutiny is narrow: a graph-Laplacian spectral cascade, already built and verified in this project's own executable code prior to this campaign; and a category-theoretic reformulation of ordinary Noether's theorem, recovered exactly and without distortion from a single document in the historical corpus. Beyond that point, every attempted extension checked — emergent spacetime geometry, gauge-group emergence, an exact first-principles fine-structure constant, an exact electron-mass eigenvalue, a claimed quantum–gravity functorial isomorphism — either fails on direct mathematical inspection or is honestly left open by its own author. Two of these failures (the fine-structure constant and electron-mass "derivations") are shown by direct recomputation to be, respectively, an arithmetic non-sequitur and a value numerically indistinguishable from having been reverse-computed from the already-measured answer — the same reverse-fitting pattern this project previously identified and rejected in an unrelated, externally-supplied pseudoscience document. One genuinely novel, structurally legitimate, and as-yet-untested prediction triplet (an ultralight axion mass, a monochromatic gravitational-wave frequency, and a dwarf-spheroidal dark-matter soliton core radius) is identified and flagged for future observational comparison. This report's purpose, per its own governing instruction, is maximum genuine physical closure, not maximum claimed closure.</w:t>
      </w:r>
    </w:p>
    <w:p>
      <w:pPr>
        <w:pStyle w:val="Heading1"/>
        <w:spacing w:after="160" w:before="360"/>
      </w:pPr>
      <w:r>
        <w:t xml:space="preserve">1. Introduction</w:t>
      </w:r>
    </w:p>
    <w:p>
      <w:pPr>
        <w:spacing w:after="160"/>
      </w:pPr>
      <w:r>
        <w:t xml:space="preserve">This project (repository SEIT, branch claude/forward-mdcl-compiler-build-ng4k2k) has, across many prior campaigns, built a genuine, tested "forward-MDCL" compiler: an executable system that constructs, validates, and self-audits a dependency graph of physics results, distinguishing throughout between canonical executable state, historical research-record documents, and external literature. This campaign's mandate was explicit and unusual: attempt, in full good faith and with full repository authority, to derive a complete Theory of Everything from everything the repository contains — while being equally explicit that fabricating a completion claim, or converting an open/proposed/failed result into a derived/verified one merely to obtain a closed theory, is prohibited. This report is the honest result of that attempt.</w:t>
      </w:r>
    </w:p>
    <w:p>
      <w:pPr>
        <w:pStyle w:val="Heading1"/>
        <w:spacing w:after="160" w:before="360"/>
      </w:pPr>
      <w:r>
        <w:t xml:space="preserve">2. The Physical Problem</w:t>
      </w:r>
    </w:p>
    <w:p>
      <w:pPr>
        <w:spacing w:after="160"/>
      </w:pPr>
      <w:r>
        <w:t xml:space="preserve">A genuine Theory of Everything would unify quantum mechanics, quantum field theory, general relativity, and the Standard Model of particle physics into a single mathematical structure from which each is recoverable as a limit or sector, while explaining or constraining the otherwise-free parameters of the Standard Model (particle masses, coupling constants, the gauge group itself) and making falsifiable predictions beyond those inputs. This is one of the deepest open problems in theoretical physics, unresolved despite decades of effort across multiple serious research programs (string/M-theory, loop quantum gravity, noncommutative-geometry spectral actions, causal set theory, and others), each incomplete in known, well-documented ways. This campaign inherited that same problem, applied to a specific, self-contained repository rather than to the physics literature at large.</w:t>
      </w:r>
    </w:p>
    <w:p>
      <w:pPr>
        <w:pStyle w:val="Heading1"/>
        <w:spacing w:after="160" w:before="360"/>
      </w:pPr>
      <w:r>
        <w:t xml:space="preserve">3. Foundational Structure of the Investigation</w:t>
      </w:r>
    </w:p>
    <w:p>
      <w:pPr>
        <w:spacing w:after="160"/>
      </w:pPr>
      <w:r>
        <w:t xml:space="preserve">The repository separates three evidence layers, a distinction preserved throughout this campaign rather than collapsed for convenience:</w:t>
      </w:r>
    </w:p>
    <w:p>
      <w:pPr>
        <w:pStyle w:val="ListParagraph"/>
        <w:numPr>
          <w:ilvl w:val="0"/>
          <w:numId w:val="1"/>
        </w:numPr>
        <w:spacing w:after="80"/>
      </w:pPr>
      <w:r>
        <w:t xml:space="preserve">Layer A — canonical executable state: the compiler, its registries, its test suite, and its self-audits. This is the only layer whose contents this project treats as independently verified.</w:t>
      </w:r>
    </w:p>
    <w:p>
      <w:pPr>
        <w:pStyle w:val="ListParagraph"/>
        <w:numPr>
          <w:ilvl w:val="0"/>
          <w:numId w:val="1"/>
        </w:numPr>
        <w:spacing w:after="80"/>
      </w:pPr>
      <w:r>
        <w:t xml:space="preserve">Layer B — derivation/research record: roughly thirty PDF/DOCX documents of prior theoretical writing (Master Equation Codex, the DTC/Rosetta Stone series, the Spectral Codex volumes, SEIT derivations, Functorial Gauge Unification, and related material), all authored by the same individual under several research-program names.</w:t>
      </w:r>
    </w:p>
    <w:p>
      <w:pPr>
        <w:pStyle w:val="ListParagraph"/>
        <w:numPr>
          <w:ilvl w:val="0"/>
          <w:numId w:val="1"/>
        </w:numPr>
        <w:spacing w:after="80"/>
      </w:pPr>
      <w:r>
        <w:t xml:space="preserve">Layer C — external literature: physics reference material acquired in prior campaign phases (David Tong's and Elias Kiritsis's string-theory lecture notes; the Ellis/Gaillard/Nanopoulos Higgs-boson history; noncommutative-geometry spectral-action literature summaries).</w:t>
      </w:r>
    </w:p>
    <w:p>
      <w:pPr>
        <w:spacing w:after="160"/>
      </w:pPr>
      <w:r>
        <w:t xml:space="preserve">This campaign's central operation was mining Layers B and C for genuine mathematical content promotable into Layer A — never assuming a document's own label ("derived", "exact", "proved") without independent reconstruction, and never silently discarding a document merely because it originated outside the canonical compiler.</w:t>
      </w:r>
    </w:p>
    <w:p>
      <w:pPr>
        <w:pStyle w:val="Heading1"/>
        <w:spacing w:after="160" w:before="360"/>
      </w:pPr>
      <w:r>
        <w:t xml:space="preserve">4. Methodology</w:t>
      </w:r>
    </w:p>
    <w:p>
      <w:pPr>
        <w:spacing w:after="160"/>
      </w:pPr>
      <w:r>
        <w:t xml:space="preserve">Every document in the repository root was full-text-extracted (pdftotext -layout for PDFs, python-docx for Word files). A representative, high-value subset was read in full equation-level depth: Master Equation Codex, DTC_Formal_Structure.docx, DTC-RP-004_Forced_vs_Free.docx, the numerology sections of DTC COMPILER.docx, SEIT v2's gauge-derivation and prediction sections, and Functorial Gauge Unification v1.docx in full. The remaining documents were grep-scanned for the same red-flag numerical-coincidence pattern that this campaign's deep reads identified, but not read in equation-level depth — a scope limitation reported honestly in MASTER_THEORY_CORPUS_INDEX.csv rather than concealed. Every numerical claim encountered in a deeply-read document was independently recomputed by hand or by direct arithmetic, rather than trusted at face value. The compiler and its full test suite were executed before and after the corpus-mining pass to confirm the canonical baseline was undisturbed.</w:t>
      </w:r>
    </w:p>
    <w:p>
      <w:pPr>
        <w:pStyle w:val="Heading1"/>
        <w:spacing w:after="160" w:before="360"/>
      </w:pPr>
      <w:r>
        <w:t xml:space="preserve">5. Dependency Architecture</w:t>
      </w:r>
    </w:p>
    <w:p>
      <w:pPr>
        <w:spacing w:after="160"/>
      </w:pPr>
      <w:r>
        <w:t xml:space="preserve">The canonical dependency graph (master_mdcl.json, 66 nodes prior to this campaign) already distinguishes a fully executed “Test 1” pipeline (a postulated graph, its Laplacian, its spectrum, its heat flow — all VERIFIED or CALCULATED) from a template “forward chain” (Foundation through Observables, all OPEN, gated behind an unconstructed Selection-Sigma functional) and from a frozen, partially-converged DESI/FC-005 branch (FAIL/RETRIABLE). This campaign extends that graph with twelve new, comparison-only historical nodes (MASTER_TOE_DEPENDENCY_GRAPH.json) documenting where the historical corpus's own claims land relative to this existing structure. None of the twelve is wired as an upstream dependency of any canonical forward-chain node, preserving this project's standing target-independence discipline.</w:t>
      </w:r>
    </w:p>
    <w:p>
      <w:pPr>
        <w:pStyle w:val="Heading1"/>
        <w:spacing w:after="160" w:before="360"/>
      </w:pPr>
      <w:r>
        <w:t xml:space="preserve">6. Master Principle Search</w:t>
      </w:r>
    </w:p>
    <w:p>
      <w:pPr>
        <w:spacing w:after="160"/>
      </w:pPr>
      <w:r>
        <w:t xml:space="preserve">Six candidate generating structures were located in the corpus and evaluated against the same criterion: does fixing this structure's data determine downstream physical content without further, unstated free choices?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D9D9" w:val="clear"/>
          </w:tcPr>
          <w:p>
            <w:r>
              <w:rPr>
                <w:b/>
                <w:bCs/>
              </w:rPr>
              <w:t xml:space="preserve">Candidate</w:t>
            </w:r>
          </w:p>
        </w:tc>
        <w:tc>
          <w:tcPr>
            <w:tcW w:type="dxa" w:w="3200"/>
            <w:shd w:fill="D9D9D9" w:val="clear"/>
          </w:tcPr>
          <w:p>
            <w:r>
              <w:rPr>
                <w:b/>
                <w:bCs/>
              </w:rPr>
              <w:t xml:space="preserve">Source</w:t>
            </w:r>
          </w:p>
        </w:tc>
        <w:tc>
          <w:tcPr>
            <w:tcW w:type="dxa" w:w="3200"/>
            <w:shd w:fill="D9D9D9" w:val="clear"/>
          </w:tcPr>
          <w:p>
            <w:r>
              <w:rPr>
                <w:b/>
                <w:bCs/>
              </w:rPr>
              <w:t xml:space="preserve">Verdict</w:t>
            </w:r>
          </w:p>
        </w:tc>
      </w:tr>
      <w:tr>
        <w:tc>
          <w:tcPr>
            <w:tcW w:type="dxa" w:w="3200"/>
          </w:tcPr>
          <w:p>
            <w:r>
              <w:t xml:space="preserve">Distinction graph → Laplacian → spectrum</w:t>
            </w:r>
          </w:p>
        </w:tc>
        <w:tc>
          <w:tcPr>
            <w:tcW w:type="dxa" w:w="3200"/>
          </w:tcPr>
          <w:p>
            <w:r>
              <w:t xml:space="preserve">Master Equation Codex §0–1; project's own Test 1 pipeline</w:t>
            </w:r>
          </w:p>
        </w:tc>
        <w:tc>
          <w:tcPr>
            <w:tcW w:type="dxa" w:w="3200"/>
          </w:tcPr>
          <w:p>
            <w:r>
              <w:t xml:space="preserve">Sound, but already fully executed and closed prior to this campaign — not a new TOE candidate, a confirmed existing result</w:t>
            </w:r>
          </w:p>
        </w:tc>
      </w:tr>
      <w:tr>
        <w:tc>
          <w:tcPr>
            <w:tcW w:type="dxa" w:w="3200"/>
          </w:tcPr>
          <w:p>
            <w:r>
              <w:t xml:space="preserve">(D,T,C) category-theoretic grammar</w:t>
            </w:r>
          </w:p>
        </w:tc>
        <w:tc>
          <w:tcPr>
            <w:tcW w:type="dxa" w:w="3200"/>
          </w:tcPr>
          <w:p>
            <w:r>
              <w:t xml:space="preserve">DTC_Formal_Structure.docx</w:t>
            </w:r>
          </w:p>
        </w:tc>
        <w:tc>
          <w:tcPr>
            <w:tcW w:type="dxa" w:w="3200"/>
          </w:tcPr>
          <w:p>
            <w:r>
              <w:t xml:space="preserve">Sound only in the conservative (continuous-symmetry, variational) regime, where it exactly reproduces Noether's theorem and nothing beyond it; its own author proves the generalization does not go through</w:t>
            </w:r>
          </w:p>
        </w:tc>
      </w:tr>
      <w:tr>
        <w:tc>
          <w:tcPr>
            <w:tcW w:type="dxa" w:w="3200"/>
          </w:tcPr>
          <w:p>
            <w:r>
              <w:t xml:space="preserve">Recursive Distinction Omega / hypergraph twists</w:t>
            </w:r>
          </w:p>
        </w:tc>
        <w:tc>
          <w:tcPr>
            <w:tcW w:type="dxa" w:w="3200"/>
          </w:tcPr>
          <w:p>
            <w:r>
              <w:t xml:space="preserve">DTC COMPILER.docx, geometric unification paper.docx</w:t>
            </w:r>
          </w:p>
        </w:tc>
        <w:tc>
          <w:tcPr>
            <w:tcW w:type="dxa" w:w="3200"/>
          </w:tcPr>
          <w:p>
            <w:r>
              <w:t xml:space="preserve">Unsound: the one place this structure is used to produce a specific numerical claim (α, m_e) fails direct arithmetic verification</w:t>
            </w:r>
          </w:p>
        </w:tc>
      </w:tr>
      <w:tr>
        <w:tc>
          <w:tcPr>
            <w:tcW w:type="dxa" w:w="3200"/>
          </w:tcPr>
          <w:p>
            <w:r>
              <w:t xml:space="preserve">Functorial topos T unifying string/LQG/AdS-CFT</w:t>
            </w:r>
          </w:p>
        </w:tc>
        <w:tc>
          <w:tcPr>
            <w:tcW w:type="dxa" w:w="3200"/>
          </w:tcPr>
          <w:p>
            <w:r>
              <w:t xml:space="preserve">Functorial Gauge Unification v1.docx</w:t>
            </w:r>
          </w:p>
        </w:tc>
        <w:tc>
          <w:tcPr>
            <w:tcW w:type="dxa" w:w="3200"/>
          </w:tcPr>
          <w:p>
            <w:r>
              <w:t xml:space="preserve">No isomorphism constructed; formulas from four distinct established frameworks are juxtaposed, not unified</w:t>
            </w:r>
          </w:p>
        </w:tc>
      </w:tr>
      <w:tr>
        <w:tc>
          <w:tcPr>
            <w:tcW w:type="dxa" w:w="3200"/>
          </w:tcPr>
          <w:p>
            <w:r>
              <w:t xml:space="preserve">Noncommutative-geometry spectral action</w:t>
            </w:r>
          </w:p>
        </w:tc>
        <w:tc>
          <w:tcPr>
            <w:tcW w:type="dxa" w:w="3200"/>
          </w:tcPr>
          <w:p>
            <w:r>
              <w:t xml:space="preserve">external literature (Chamseddine-Connes); DTC-RP-004's own test</w:t>
            </w:r>
          </w:p>
        </w:tc>
        <w:tc>
          <w:tcPr>
            <w:tcW w:type="dxa" w:w="3200"/>
          </w:tcPr>
          <w:p>
            <w:r>
              <w:t xml:space="preserve">Real, published, external physics; the corpus's own attempt to map its coefficients onto this project's grammar is honestly shown, by its own author, to be non-forced</w:t>
            </w:r>
          </w:p>
        </w:tc>
      </w:tr>
      <w:tr>
        <w:tc>
          <w:tcPr>
            <w:tcW w:type="dxa" w:w="3200"/>
          </w:tcPr>
          <w:p>
            <w:r>
              <w:t xml:space="preserve">String/superstring worldsheet action</w:t>
            </w:r>
          </w:p>
        </w:tc>
        <w:tc>
          <w:tcPr>
            <w:tcW w:type="dxa" w:w="3200"/>
          </w:tcPr>
          <w:p>
            <w:r>
              <w:t xml:space="preserve">prior L0-ST campaign phase (Tong, Kiritsis)</w:t>
            </w:r>
          </w:p>
        </w:tc>
        <w:tc>
          <w:tcPr>
            <w:tcW w:type="dxa" w:w="3200"/>
          </w:tcPr>
          <w:p>
            <w:r>
              <w:t xml:space="preserve">Real, published, external physics; supplies a genuine implementation template for the Variational and Symmetry branches, still blocked on the same Selection-Sigma obstruction as every other candidate</w:t>
            </w:r>
          </w:p>
        </w:tc>
      </w:tr>
    </w:tbl>
    <w:p>
      <w:pPr>
        <w:pStyle w:val="Heading1"/>
        <w:spacing w:after="160" w:before="360"/>
      </w:pPr>
      <w:r>
        <w:t xml:space="preserve">7. The Surviving Partial Theorem</w:t>
      </w:r>
    </w:p>
    <w:p>
      <w:pPr>
        <w:pStyle w:val="Heading2"/>
        <w:spacing w:after="120" w:before="260"/>
      </w:pPr>
      <w:r>
        <w:t xml:space="preserve">7.1 Theorem 1 — the graph-Laplacian spectral cascade</w:t>
      </w:r>
    </w:p>
    <w:p>
      <w:pPr>
        <w:spacing w:after="160"/>
      </w:pPr>
      <w:r>
        <w:t xml:space="preserve">For a finite graph with combinatorial Laplacian L = D − W, the eigendecomposition Lψ_n = λ_nψ_n exists (symmetric, positive semidefinite), the heat-flow operator R(t) = exp(−tL) and its trace K(t) = Σ_n exp(−tλ_n) are well defined, and for a discrete sampling of the round 3-sphere, K(t) converges to the known analytic heat-kernel coefficients as fit degree increases (residual |E_κ| shrinking from ~10⁻³ at degree 2 to ~10⁻⁸–10⁻⁹ at degree 4–5). This is VERIFIED, independently executed twice in this project's own code, and unchanged by this campaign.</w:t>
      </w:r>
    </w:p>
    <w:p>
      <w:pPr>
        <w:pStyle w:val="Heading2"/>
        <w:spacing w:after="120" w:before="260"/>
      </w:pPr>
      <w:r>
        <w:t xml:space="preserve">7.2 Theorem 2 — Noether's theorem via category theory</w:t>
      </w:r>
    </w:p>
    <w:p>
      <w:pPr>
        <w:spacing w:after="160"/>
      </w:pPr>
      <w:r>
        <w:t xml:space="preserve">For a category 𝒟 of physical states and time-evolutions, and a realized subcategory 𝒞 ⊆ 𝒟 carrying a continuous Lie symmetry group commuting with time-evolution and a variational (Lagrangian) structure, that symmetry forces a conserved quantity — exactly, and only, the ordinary 1918 Noether theorem, correctly re-expressed. Its value is that it demonstrates the category-theoretic reformulation is not vacuous: it reproduces a known nontrivial result exactly in the one regime where the machinery applies, and its own author proves, honestly, that no generalization beyond this regime currently exists.</w:t>
      </w:r>
    </w:p>
    <w:p>
      <w:pPr>
        <w:pStyle w:val="Heading1"/>
        <w:spacing w:after="160" w:before="360"/>
      </w:pPr>
      <w:r>
        <w:t xml:space="preserve">8. Variational / Action Structure</w:t>
      </w:r>
    </w:p>
    <w:p>
      <w:pPr>
        <w:spacing w:after="160"/>
      </w:pPr>
      <w:r>
        <w:t xml:space="preserve">No document anywhere in the corpus, nor this project's own compiler, supplies a UOC-specific field content and Lagrangian density attached to the canonical SPECTRUM-NODE. The prior L0-ST campaign phase's string-theory literature (the Polyakov and Nambu-Goto actions, independently confirmed present in two authoritative sources) remains the only genuine external implementation template located for this branch across two full campaigns of searching. It remains blocked on the requirement to independently choose a field content without inventing unsupported physics.</w:t>
      </w:r>
    </w:p>
    <w:p>
      <w:pPr>
        <w:pStyle w:val="Heading1"/>
        <w:spacing w:after="160" w:before="360"/>
      </w:pPr>
      <w:r>
        <w:t xml:space="preserve">9. Symmetry and Conservation</w:t>
      </w:r>
    </w:p>
    <w:p>
      <w:pPr>
        <w:spacing w:after="160"/>
      </w:pPr>
      <w:r>
        <w:t xml:space="preserve">The Constraint Necessity Theorem (§7.2 above) is a genuine, checkable category-theory result: a freely generated category with every morphism — including collapsing/identifying ones — admissible has no non-trivial invariant distinguishing any two objects. This is real mathematics, independently re-derived by this campaign, though narrower in scope than its author's own predecessor document had informally claimed — the author says so explicitly. The Generalized Noether Conjecture (that any constraint structure, not only a continuous/variational one, forces a retained quantity) remains open, with the precise obstruction on record: a discrete constraint subcategory has no infinitesimal generator for the variational machinery to act on, and no alternative mechanism was found anywhere in the corpus.</w:t>
      </w:r>
    </w:p>
    <w:p>
      <w:pPr>
        <w:pStyle w:val="Heading1"/>
        <w:spacing w:after="160" w:before="360"/>
      </w:pPr>
      <w:r>
        <w:t xml:space="preserve">10. Operator and Spectral Structure</w:t>
      </w:r>
    </w:p>
    <w:p>
      <w:pPr>
        <w:spacing w:after="160"/>
      </w:pPr>
      <w:r>
        <w:t xml:space="preserve">The graph Laplacian, its spectrum, and its heat-flow/heat-trace structure (§7.1) remain this project's one fully closed branch. The historical corpus's claim (Master Equation Codex §1.3) that the operator square root of this Laplacian is "the Dirac operator" is an unsubstantiated naming choice: a positive operator's functional square root is standard mathematics, but nothing shown establishes the Clifford-algebra / spinor representation structure that would justify calling it a physical Dirac operator. No relationship, forced or otherwise, was found between this spectral structure and the classical Virasoro algebra encountered in the string-theory literature during the prior campaign phase — the two are different mathematical objects (a finite matrix eigendecomposition versus an infinite-dimensional Lie algebra of worldsheet-reparametrization generators) despite shared “spectral” vocabulary.</w:t>
      </w:r>
    </w:p>
    <w:p>
      <w:pPr>
        <w:pStyle w:val="Heading1"/>
        <w:spacing w:after="160" w:before="360"/>
      </w:pPr>
      <w:r>
        <w:t xml:space="preserve">11. Geometry and Gravity</w:t>
      </w:r>
    </w:p>
    <w:p>
      <w:pPr>
        <w:spacing w:after="160"/>
      </w:pPr>
      <w:r>
        <w:t xml:space="preserve">The one attempted construction of an emergent spacetime metric from the spectral cascade (Master Equation Codex §3.2, g_ij as a second derivative of the graph diffusion distance) is mathematically ill-posed as written: it differentiates a discrete node-pairwise distance with respect to continuous coordinates that are never defined, presupposing exactly the graph-to-manifold embedding this project's own Test 2 pipeline independently found to be non-unique (METRIC-CANDIDATE, CONDITIONAL). No document derives the Einstein field equations from a more primitive structure; every corpus occurrence of G_μν + Λg_μν = (8πG/c⁴)T_μν restates the known equation rather than deriving it. This remains the single largest confirmed gap in the entire corpus and this project's own compiler alike.</w:t>
      </w:r>
    </w:p>
    <w:p>
      <w:pPr>
        <w:pStyle w:val="Heading1"/>
        <w:spacing w:after="160" w:before="360"/>
      </w:pPr>
      <w:r>
        <w:t xml:space="preserve">12. Quantum Mechanics and Quantum Field Theory</w:t>
      </w:r>
    </w:p>
    <w:p>
      <w:pPr>
        <w:spacing w:after="160"/>
      </w:pPr>
      <w:r>
        <w:t xml:space="preserve">The corpus's claim that the Schrödinger equation is the general continuum limit of the graph eigenvalue problem is directly contradicted by this project's own FC-005 execution on real DESI survey data, which found genuine convergence for only the lowest four of fifteen tested spectral modes even under the best-behaved synthetic control. Canonical quantization of any field content — whether this project's own or the string-theoretic template encountered in the prior campaign phase — remains unbuilt; only a single guardrail counterexample (spectrum does not uniquely determine an operator) and a Klein-Gordon quantization of a free relativistic point particle exist as executed content.</w:t>
      </w:r>
    </w:p>
    <w:p>
      <w:pPr>
        <w:pStyle w:val="Heading1"/>
        <w:spacing w:after="160" w:before="360"/>
      </w:pPr>
      <w:r>
        <w:t xml:space="preserve">13. Gauge Theory and the Standard Model</w:t>
      </w:r>
    </w:p>
    <w:p>
      <w:pPr>
        <w:spacing w:after="160"/>
      </w:pPr>
      <w:r>
        <w:t xml:space="preserve">SU(3)×SU(2)×U(1) is preserved, per this campaign's explicit governing instruction, as an established external physics result — not reopened as an unresolved target, and not credited to any document in this corpus, since none survives scrutiny as its derivation from this project's own primitives. Two corpus attempts were checked: Master Equation Codex §5.3's bare assertion (“G = Aut(𝕆)×Spin(8) ⊃ SU(3)×SU(2)×U(1)”) has zero backing anywhere in the repository — a finding this project's own code had already established before this campaign and which this campaign independently reconfirmed by full-text search. SEIT v2 §V's anomaly-cancellation-plus-minimal-generator-count argument is more substantive in form (it names a real selection technique used in genuine beyond-Standard-Model model comparison) but was not verified this campaign to derive its own candidate-group list from primitives rather than curating it.</w:t>
      </w:r>
    </w:p>
    <w:p>
      <w:pPr>
        <w:pStyle w:val="Heading1"/>
        <w:spacing w:after="160" w:before="360"/>
      </w:pPr>
      <w:r>
        <w:t xml:space="preserve">14. Matter and Particle Spectrum</w:t>
      </w:r>
    </w:p>
    <w:p>
      <w:pPr>
        <w:spacing w:after="160"/>
      </w:pPr>
      <w:r>
        <w:t xml:space="preserve">No document in the corpus derives a particle spectrum, mass hierarchy, or generation structure from first principles. Full detail, particle by particle, is tabulated in MASTER_TOE_PARTICLES.csv; every entry reads NOT DERIVED except for one proposed, not-yet-tested novel scalar (the SEIT “Persistence Axion,” discussed in §20 below).</w:t>
      </w:r>
    </w:p>
    <w:p>
      <w:pPr>
        <w:pStyle w:val="Heading1"/>
        <w:spacing w:after="160" w:before="360"/>
      </w:pPr>
      <w:r>
        <w:t xml:space="preserve">15. Thermodynamics and Statistical Mechanics</w:t>
      </w:r>
    </w:p>
    <w:p>
      <w:pPr>
        <w:spacing w:after="160"/>
      </w:pPr>
      <w:r>
        <w:t xml:space="preserve">The one corpus correspondence found (the graph heat-flow parameter β in R = exp(−βL) treated as an inverse temperature, “mirroring” Boltzmann statistics) is explicitly hedged by its own author as an analogy, not a derivation, and this campaign found no equation connecting the graph's own β to any independently measurable physical temperature. The canonical thermodynamic recovery core remains entirely unbuilt.</w:t>
      </w:r>
    </w:p>
    <w:p>
      <w:pPr>
        <w:pStyle w:val="Heading1"/>
        <w:spacing w:after="160" w:before="360"/>
      </w:pPr>
      <w:r>
        <w:t xml:space="preserve">16. Information Structure</w:t>
      </w:r>
    </w:p>
    <w:p>
      <w:pPr>
        <w:spacing w:after="160"/>
      </w:pPr>
      <w:r>
        <w:t xml:space="preserve">This project's own Fisher-Rao statistical branch remains its one other fully closed calculation (positive-semidefiniteness of the Fisher information metric, together with the permanent, already-established falsification that this PSD metric cannot carry a Lorentzian signature under any basis change). No corpus document was found this campaign that legitimately extends this result toward spacetime geometry; where such an extension is attempted, it repeats the same representation-to-ontology collapse this project's own invariant-audit discipline already prohibits.</w:t>
      </w:r>
    </w:p>
    <w:p>
      <w:pPr>
        <w:pStyle w:val="Heading1"/>
        <w:spacing w:after="160" w:before="360"/>
      </w:pPr>
      <w:r>
        <w:t xml:space="preserve">17. Cosmology</w:t>
      </w:r>
    </w:p>
    <w:p>
      <w:pPr>
        <w:spacing w:after="160"/>
      </w:pPr>
      <w:r>
        <w:t xml:space="preserve">Early-universe and late-universe evolution equations remain unbuilt in both this project's compiler and the historical corpus (only DESI's own published fiducial ΛCDM parameters are consumed as pipeline input, never derived). The one genuinely interesting cosmological content found is SEIT v2's prediction triplet, discussed in full in §20.</w:t>
      </w:r>
    </w:p>
    <w:p>
      <w:pPr>
        <w:pStyle w:val="Heading1"/>
        <w:spacing w:after="160" w:before="360"/>
      </w:pPr>
      <w:r>
        <w:t xml:space="preserve">18. Discrete → Continuum (FC-005)</w:t>
      </w:r>
    </w:p>
    <w:p>
      <w:pPr>
        <w:spacing w:after="160"/>
      </w:pPr>
      <w:r>
        <w:t xml:space="preserve">Not rerun this campaign, per standing instruction. FC-005 remains frozen exactly as recorded in FC005_CHECKPOINT.md: MATHEMATICAL-CONVERGENCE-DESI and CONTINUUM-LIMIT-L-DESI at FAIL/RETRIABLE; CURVATURE-CLOSURE-DESI and PHYSICAL-VALIDATION-DESI at OPEN. This campaign's only new contribution regarding FC-005 is negative: it establishes that at least one corpus document's general continuum-limit claim (§12) is inconsistent with FC-005's own carefully-documented partial-convergence finding, reinforcing rather than resolving the existing obstruction.</w:t>
      </w:r>
    </w:p>
    <w:p>
      <w:pPr>
        <w:pStyle w:val="Heading1"/>
        <w:spacing w:after="160" w:before="360"/>
      </w:pPr>
      <w:r>
        <w:t xml:space="preserve">19. Quantum ↔ Gravity Interface</w:t>
      </w:r>
    </w:p>
    <w:p>
      <w:pPr>
        <w:spacing w:after="160"/>
      </w:pPr>
      <w:r>
        <w:t xml:space="preserve">Every corpus attempt at this interface fails under its own or this campaign's scrutiny. DTC-RP-004's own honest self-test finds the proposed correspondence between its (D,T,C) grammar coefficient and the real Chamseddine-Connes-Marcolli noncommutative-geometry Higgs-quartic coupling is not forced by the underlying spectral data — a negative result, reported honestly, using a real historical episode (the 2007 spectral-action Higgs-mass prediction, its 2012 falsification, and its same-year published correction) as the calibration standard. Functorial Gauge Unification v1.docx's claim that string theory, loop quantum gravity, and AdS/CFT are isomorphic constructs no isomorphism anywhere in its text. This campaign's own assessment concurs with this project's prior assessment: this interface is closer to a genuinely open research problem than an implementation gap this repository can close.</w:t>
      </w:r>
    </w:p>
    <w:p>
      <w:pPr>
        <w:pStyle w:val="Heading1"/>
        <w:spacing w:after="160" w:before="360"/>
      </w:pPr>
      <w:r>
        <w:t xml:space="preserve">20. Constants, Couplings, and Predictions</w:t>
      </w:r>
    </w:p>
    <w:p>
      <w:pPr>
        <w:spacing w:after="160"/>
      </w:pPr>
      <w:r>
        <w:t xml:space="preserve">Two specific claimed exact derivations were tested and fail:</w:t>
      </w:r>
    </w:p>
    <w:p>
      <w:pPr>
        <w:pStyle w:val="ListParagraph"/>
        <w:numPr>
          <w:ilvl w:val="0"/>
          <w:numId w:val="1"/>
        </w:numPr>
        <w:spacing w:after="80"/>
      </w:pPr>
      <w:r>
        <w:t xml:space="preserve">The fine-structure constant (DTC COMPILER.docx §5.1): the stated geometric ratio 2π/(π²/2) = 4/π ≈ 1.2732 is directly recomputed by this campaign and does not equal, nor is it the reciprocal of, the asserted 137.035999 — no connecting derivation is shown.</w:t>
      </w:r>
    </w:p>
    <w:p>
      <w:pPr>
        <w:pStyle w:val="ListParagraph"/>
        <w:numPr>
          <w:ilvl w:val="0"/>
          <w:numId w:val="1"/>
        </w:numPr>
        <w:spacing w:after="80"/>
      </w:pPr>
      <w:r>
        <w:t xml:space="preserve">The electron mass (DTC COMPILER.docx §5.2): the stated eigenvalue λ₁ = 4.18575×10⁻²³, multiplied by the stated Planck mass, reproduces the known electron mass to four significant figures with no independent operator construction shown — numerically indistinguishable from a reverse computation.</w:t>
      </w:r>
    </w:p>
    <w:p>
      <w:pPr>
        <w:spacing w:after="160"/>
      </w:pPr>
      <w:r>
        <w:t xml:space="preserve">One prediction triplet passes the format test for a genuine, falsifiable, not-input-recycled claim: SEIT v2 §VI's persistence-axion mass (6.885×10⁻¹³ eV, via the real, standard QCD-axion mass relation), a monochromatic gravitational-wave background (166.48 Hz), and a dwarf-spheroidal dark-matter soliton core radius (120–150 parsecs). This campaign independently reconfirmed the internal arithmetic of the axion-mass chain. Two checks remain outstanding: the formula connecting the document's own N_sub parameter to the measured CMB spectral index was not located in the text read this campaign, and none of the three predictions was checked against current observational exclusion limits. This is flagged, not promoted, and identified as this campaign's single highest-value follow-up target.</w:t>
      </w:r>
    </w:p>
    <w:p>
      <w:pPr>
        <w:pStyle w:val="Heading1"/>
        <w:spacing w:after="160" w:before="360"/>
      </w:pPr>
      <w:r>
        <w:t xml:space="preserve">21. Falsification Results</w:t>
      </w:r>
    </w:p>
    <w:p>
      <w:pPr>
        <w:spacing w:after="160"/>
      </w:pPr>
      <w:r>
        <w:t xml:space="preserve">Full detail in MASTER_TOE_FALSIFICATION_REPORT.md. Summary: two numerical “derivations” falsified by direct recomputation (fine-structure constant, electron mass); one geometric construction rejected as ill-posed (emergent metric); one general claim contradicted by this project's own prior experimental execution (quantum continuum limit); one unification claim rejected for constructing no actual isomorphism (Functorial Gauge Unification); and the prior, already-standing falsifications (Fisher-Rao ≠ Lorentzian metric; spectrum does not uniquely determine an operator) confirmed still in force and unaffected by this campaign.</w:t>
      </w:r>
    </w:p>
    <w:p>
      <w:pPr>
        <w:pStyle w:val="Heading1"/>
        <w:spacing w:after="160" w:before="360"/>
      </w:pPr>
      <w:r>
        <w:t xml:space="preserve">22. Comparison with Established Physics</w:t>
      </w:r>
    </w:p>
    <w:p>
      <w:pPr>
        <w:spacing w:after="160"/>
      </w:pPr>
      <w:r>
        <w:t xml:space="preserve">Every individual formula this campaign encountered that is drawn from established physics — the Einstein field equations, the Dirac equation, the Yang-Mills field strength tensor, the electroweak mixing relation, the Ryu-Takayanagi formula, the LQG area operator, the Polyakov action, the real Chamseddine-Connes-Marcolli spectral-action Higgs relation — was quoted correctly wherever checked. The corpus's departures from established physics occur exclusively at the seams between these correctly-quoted pieces, where unproven claims of equivalence, emergence, or exact numerical derivation are asserted without construction.</w:t>
      </w:r>
    </w:p>
    <w:p>
      <w:pPr>
        <w:pStyle w:val="Heading1"/>
        <w:spacing w:after="160" w:before="360"/>
      </w:pPr>
      <w:r>
        <w:t xml:space="preserve">23. Discussion and Limitations</w:t>
      </w:r>
    </w:p>
    <w:p>
      <w:pPr>
        <w:spacing w:after="160"/>
      </w:pPr>
      <w:r>
        <w:t xml:space="preserve">This report's scope is itself limited and says so throughout: roughly twenty of the corpus's thirty documents were full-text-extracted and grep-scanned for red-flag patterns but not read in equation-level depth, given the scale of the material relative to the time available (MASTER_THEORY_CORPUS_INDEX.csv marks every such document explicitly). The SEIT v2 prediction triplet's most important verification step — checking against current observational data — was not performed. Nothing in this report should be read as a final, exhaustive verdict on every claim in every document; it is an honest, evidence-based account of what was actually checked and what was found.</w:t>
      </w:r>
    </w:p>
    <w:p>
      <w:pPr>
        <w:pStyle w:val="Heading1"/>
        <w:spacing w:after="160" w:before="360"/>
      </w:pPr>
      <w:r>
        <w:t xml:space="preserve">24. Conclusion</w:t>
      </w:r>
    </w:p>
    <w:p>
      <w:pPr>
        <w:spacing w:after="160"/>
      </w:pPr>
      <w:r>
        <w:t xml:space="preserve">No complete Theory of Everything exists in this repository, and this report does not manufacture one. The repository's genuine contribution to physics is narrow and already established: a correctly executed graph-Laplacian spectral cascade, verified against an analytic control. Its historical corpus adds one small, genuine piece of external mathematics (a category-theoretic reformulation that exactly recovers Noether's theorem, with its own author honestly proving the sought generalization does not follow), one honest self-falsification of a proposed noncommutative-geometry correspondence, and one structurally legitimate but unverified triplet of falsifiable cosmological predictions. It also contains at least two specific numerical claims (an exact fine-structure constant, an exact electron mass) that this campaign's own direct recomputation shows do not hold up. The obstruction blocking every further extension is the same one this project's own canonical code has carried honestly since before this campaign began: no non-circular, non-arbitrary selection principle for the theory's own starting structure has been found anywhere — not in the compiler, not in the historical corpus, not in the acquired external literature. Maximum genuine physical closure, per this campaign's own governing standard, is exactly this: real, checked, and modest.</w:t>
      </w:r>
    </w:p>
    <w:p>
      <w:r>
        <w:br w:type="page"/>
      </w:r>
    </w:p>
    <w:p>
      <w:pPr>
        <w:pStyle w:val="Heading1"/>
        <w:spacing w:after="160" w:before="360"/>
      </w:pPr>
      <w:r>
        <w:t xml:space="preserve">Appendix: Machine-Readable Artifacts</w:t>
      </w:r>
    </w:p>
    <w:p>
      <w:pPr>
        <w:spacing w:after="160"/>
      </w:pPr>
      <w:r>
        <w:t xml:space="preserve">The following files, produced during this campaign, contain the complete underlying data this report summarizes:</w:t>
      </w:r>
    </w:p>
    <w:p>
      <w:pPr>
        <w:pStyle w:val="ListParagraph"/>
        <w:numPr>
          <w:ilvl w:val="0"/>
          <w:numId w:val="1"/>
        </w:numPr>
        <w:spacing w:after="80"/>
      </w:pPr>
      <w:r>
        <w:t xml:space="preserve">MASTER_THEORY_CORPUS_INDEX.csv — 37-row per-claim index of every document inspected</w:t>
      </w:r>
    </w:p>
    <w:p>
      <w:pPr>
        <w:pStyle w:val="ListParagraph"/>
        <w:numPr>
          <w:ilvl w:val="0"/>
          <w:numId w:val="1"/>
        </w:numPr>
        <w:spacing w:after="80"/>
      </w:pPr>
      <w:r>
        <w:t xml:space="preserve">MASTER_TOE_DEPENDENCY_GRAPH.json / .csv — 78-node extended dependency graph (66 canonical + 12 historical comparison nodes)</w:t>
      </w:r>
    </w:p>
    <w:p>
      <w:pPr>
        <w:pStyle w:val="ListParagraph"/>
        <w:numPr>
          <w:ilvl w:val="0"/>
          <w:numId w:val="1"/>
        </w:numPr>
        <w:spacing w:after="80"/>
      </w:pPr>
      <w:r>
        <w:t xml:space="preserve">MASTER_TOE_CLOSURE_MATRIX.csv / .md — 17-branch closure status, with per-branch campaign impact</w:t>
      </w:r>
    </w:p>
    <w:p>
      <w:pPr>
        <w:pStyle w:val="ListParagraph"/>
        <w:numPr>
          <w:ilvl w:val="0"/>
          <w:numId w:val="1"/>
        </w:numPr>
        <w:spacing w:after="80"/>
      </w:pPr>
      <w:r>
        <w:t xml:space="preserve">MASTER_TOE_FALSIFICATION_REPORT.md — full detail on all falsification attempts</w:t>
      </w:r>
    </w:p>
    <w:p>
      <w:pPr>
        <w:pStyle w:val="ListParagraph"/>
        <w:numPr>
          <w:ilvl w:val="0"/>
          <w:numId w:val="1"/>
        </w:numPr>
        <w:spacing w:after="80"/>
      </w:pPr>
      <w:r>
        <w:t xml:space="preserve">MASTER_TOE_THEOREM.md / MASTER_TOE_THEOREM_PROOF.md / MASTER_TOE_THEOREM_VALIDATION.csv — the two surviving results, in full derivation detail</w:t>
      </w:r>
    </w:p>
    <w:p>
      <w:pPr>
        <w:pStyle w:val="ListParagraph"/>
        <w:numPr>
          <w:ilvl w:val="0"/>
          <w:numId w:val="1"/>
        </w:numPr>
        <w:spacing w:after="80"/>
      </w:pPr>
      <w:r>
        <w:t xml:space="preserve">MASTER_TOE_PREDICTIONS.md — the SEIT v2 prediction triplet, in full</w:t>
      </w:r>
    </w:p>
    <w:p>
      <w:pPr>
        <w:pStyle w:val="ListParagraph"/>
        <w:numPr>
          <w:ilvl w:val="0"/>
          <w:numId w:val="1"/>
        </w:numPr>
        <w:spacing w:after="80"/>
      </w:pPr>
      <w:r>
        <w:t xml:space="preserve">MASTER_TOE_CONSTANTS.csv / MASTER_TOE_PARTICLES.csv / MASTER_TOE_COUPLINGS.csv / MASTER_TOE_COSMOLOGY.csv — per-item status tables</w:t>
      </w:r>
    </w:p>
    <w:p>
      <w:pPr>
        <w:pStyle w:val="ListParagraph"/>
        <w:numPr>
          <w:ilvl w:val="0"/>
          <w:numId w:val="1"/>
        </w:numPr>
        <w:spacing w:after="80"/>
      </w:pPr>
      <w:r>
        <w:t xml:space="preserve">MASTER_TOE_LITERATURE_CROSSWALK.csv — external-literature correspondences</w:t>
      </w:r>
    </w:p>
    <w:p>
      <w:pPr>
        <w:pStyle w:val="ListParagraph"/>
        <w:numPr>
          <w:ilvl w:val="0"/>
          <w:numId w:val="1"/>
        </w:numPr>
        <w:spacing w:after="80"/>
      </w:pPr>
      <w:r>
        <w:t xml:space="preserve">MASTER_TOE_COMPILER_EXECUTION_TRACE.json / MASTER_TOE_COMPILER_EXECUTION_REPORT.md — compiler/test execution record</w:t>
      </w:r>
    </w:p>
    <w:p>
      <w:pPr>
        <w:pStyle w:val="ListParagraph"/>
        <w:numPr>
          <w:ilvl w:val="0"/>
          <w:numId w:val="1"/>
        </w:numPr>
        <w:spacing w:after="80"/>
      </w:pPr>
      <w:r>
        <w:t xml:space="preserve">MASTER_TOE_STATUS.json — machine-readable final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1A1A2E"/>
      <w:sz w:val="30"/>
      <w:szCs w:val="30"/>
    </w:rPr>
  </w:style>
  <w:style w:type="paragraph" w:styleId="Heading2">
    <w:name w:val="Heading 2"/>
    <w:basedOn w:val="Normal"/>
    <w:next w:val="Normal"/>
    <w:qFormat/>
    <w:rPr>
      <w:rFonts w:ascii="Georgia" w:cs="Georgia" w:eastAsia="Georgia" w:hAnsi="Georgia"/>
      <w:b/>
      <w:bCs/>
      <w:color w:val="2C3E5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2026-08-19T19:10:41.053Z</dcterms:created>
  <dcterms:modified xsi:type="dcterms:W3CDTF">2026-08-19T19:10:41.053Z</dcterms:modified>
</cp:coreProperties>
</file>

<file path=docProps/custom.xml><?xml version="1.0" encoding="utf-8"?>
<Properties xmlns="http://schemas.openxmlformats.org/officeDocument/2006/custom-properties" xmlns:vt="http://schemas.openxmlformats.org/officeDocument/2006/docPropsVTypes"/>
</file>