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44"/>
          <w:szCs w:val="44"/>
        </w:rPr>
        <w:t xml:space="preserve">Documentation Conformance Audit</w:t>
      </w:r>
    </w:p>
    <w:p>
      <w:pPr>
        <w:spacing w:after="400"/>
        <w:jc w:val="center"/>
      </w:pPr>
      <w:r>
        <w:rPr>
          <w:i/>
          <w:iCs/>
          <w:sz w:val="28"/>
          <w:szCs w:val="28"/>
        </w:rPr>
        <w:t xml:space="preserve">Closing the Protocol-Matrix Gap Against the Universal Rosetta Stone / SEIT-TOEv Canon</w:t>
      </w:r>
    </w:p>
    <w:p>
      <w:pPr>
        <w:spacing w:after="800"/>
        <w:jc w:val="center"/>
      </w:pPr>
      <w:r>
        <w:rPr>
          <w:sz w:val="22"/>
          <w:szCs w:val="22"/>
        </w:rPr>
        <w:t xml:space="preserve">An audit of the Forward-MDCL Compiler (BLZIX989/seit) against the canonical documentation: UCG Specification v5, DER Registry v1/v2, CMRP Volume IX, UPG Canonical Reference, Unified Rosetta Stone TOE v3, and the Combined Compiler Theories Whitepaper.</w:t>
      </w:r>
    </w:p>
    <w:p>
      <w:pPr>
        <w:jc w:val="center"/>
      </w:pPr>
      <w:r>
        <w:rPr>
          <w:i/>
          <w:iCs/>
          <w:sz w:val="20"/>
          <w:szCs w:val="20"/>
        </w:rPr>
        <w:t xml:space="preserve">Prepared by Claude Code, working session audit</w:t>
      </w:r>
    </w:p>
    <w:p>
      <w:r>
        <w:br w:type="page"/>
      </w:r>
    </w:p>
    <w:p>
      <w:pPr>
        <w:pStyle w:val="Heading1"/>
        <w:spacing w:after="120" w:before="240"/>
      </w:pPr>
      <w:r>
        <w:t xml:space="preserve">Executive Summary</w:t>
      </w:r>
    </w:p>
    <w:p>
      <w:pPr>
        <w:spacing w:after="160"/>
      </w:pPr>
      <w:r>
        <w:t xml:space="preserve">The current compiler architecture is not "off target" relative to the supplied documentation in the sense of having drifted from it by accident. It is on target with respect to its own governing discipline, which is stricter than the documentation's own certification vocabulary. The documentation (UCG Specification v5 and the DER Registry it supersedes) marks 47 of 57 DER entries, all 19 CMRC string-theory entries, and all 5 MDCL validation entries CERTIFIED. The compiler's own Status system (compiler/core/status.py) explicitly refuses to accept a bare document claim of "CERTIFIED," "PROVEN," "DERIVED," or "VERIFIED" at face value — its LEGACY_STATUS_MAP maps every one of those words, unaccompanied by an executed artifact, to PROPOSED. Measured against that discipline, the actual gap is large and this document quantifies it exactly: of the roughly 90 DER/CMRC/VAL/ARBS entries transcribed from the documentation into the crosswalk below, the great majority have no corresponding executed compiler artifact at all.</w:t>
      </w:r>
    </w:p>
    <w:p>
      <w:pPr>
        <w:spacing w:after="160"/>
      </w:pPr>
      <w:r>
        <w:t xml:space="preserve">Three findings are more consequential than a simple missing/present count:</w:t>
      </w:r>
    </w:p>
    <w:p>
      <w:pPr>
        <w:pStyle w:val="ListParagraph"/>
        <w:numPr>
          <w:ilvl w:val="0"/>
          <w:numId w:val="1"/>
        </w:numPr>
        <w:spacing w:after="80"/>
      </w:pPr>
      <w:r>
        <w:t xml:space="preserve">A direct contradiction. DER-GEO-001 ("spectral metric g_{μν} from Spec(L)") is marked CERTIFIED, citing positive-definiteness from "non-degenerate spectral embedding." This compiler's own independently executed work — an eigenvalue-uniqueness counterexample and the Fisher-Rao rejection (EQ-FC005-FISHER-LORENTZIAN-OBSTRUCTION, FALSIFIED) — found the identical diffusion-distance metric construction to be non-unique and representation-dependent. The compiler's own registry status for this object is CONDITIONAL, not CERTIFIED, and the downstream connection recovery is OPEN, not CERTIFIED. This is not a gap in coverage; it is the compiler's own numerics disagreeing with the documentation's claim.</w:t>
      </w:r>
    </w:p>
    <w:p>
      <w:pPr>
        <w:pStyle w:val="ListParagraph"/>
        <w:numPr>
          <w:ilvl w:val="0"/>
          <w:numId w:val="1"/>
        </w:numPr>
        <w:spacing w:after="80"/>
      </w:pPr>
      <w:r>
        <w:t xml:space="preserve">A second direct contradiction. THM-ANOM ("G_SM = SU(3)×SU(2)×U(1) is the unique minimal anomaly-free group") is marked CERTIFIED in UCG v5, and is used repeatedly as a load-bearing result (it is cited against the string-theory landscape problem, in CMRP Volume IX, and in the falsifiability-asymmetry argument of UCG v5 §17.4). This compiler's own independently executed check of the closest available route — the G2/Spin(8) triality-intersection construction — returned FALSIFIED (rank obstruction), and the direct-product alternative remains UNCONSTRUCTED. One of this corpus's own other documents (Combined Compiler Theories Whitepaper, Part III §6) independently flags the same claim as resting on an added, undischarged "minimal order" postulate. Two independent lines of scrutiny — this compiler's executed falsification test, and the documentation's own self-critical Part III — agree that THM-ANOM's CERTIFIED status is not supported to the standard the rest of the corpus claims to hold itself to.</w:t>
      </w:r>
    </w:p>
    <w:p>
      <w:pPr>
        <w:pStyle w:val="ListParagraph"/>
        <w:numPr>
          <w:ilvl w:val="0"/>
          <w:numId w:val="1"/>
        </w:numPr>
        <w:spacing w:after="80"/>
      </w:pPr>
      <w:r>
        <w:t xml:space="preserve">An unreconciled foundation. The documentation itself states, in UCG v5's own open-obligation ledger (PRF-PRIM), that reconciling its (at least) four mutually distinct primitive-grammar formulations is "the central open problem across all five compiler lines." The compiler has implemented a template for exactly one of those four ({Δ,τ,κ,Π}, via compiler/ir/forward_chain.py) and leaves it entirely OPEN, which is the correct response to an acknowledged unreconciled foundation — but it means the compiler cannot, and should not, treat any downstream DER entry built on that grammar as more than OPEN either.</w:t>
      </w:r>
    </w:p>
    <w:p>
      <w:pPr>
        <w:spacing w:after="160"/>
      </w:pPr>
      <w:r>
        <w:t xml:space="preserve">The remainder of this document is organized as: method and sources (§1); the full DER/CMRC/VAL/ARBS-to-compiler crosswalk, branch by branch, with every entry's documentation status and actual compiler status stated side by side (§2); the flagship falsifiable predictions the framework stakes its strongest claims on, none of which the compiler has ever computed (§3); the cross-document consistency findings — places where the user's own source documents disagree with each other, transcribed rather than adjudicated (§4); and a prioritized, concrete set of recommendations for closing the gap, ordered from immediate low-cost wins to genuine multi-module engineering efforts (§5).</w:t>
      </w:r>
    </w:p>
    <w:p>
      <w:pPr>
        <w:pStyle w:val="Heading1"/>
        <w:spacing w:after="120" w:before="240"/>
      </w:pPr>
      <w:r>
        <w:t xml:space="preserve">1. Method and Sources</w:t>
      </w:r>
    </w:p>
    <w:p>
      <w:pPr>
        <w:spacing w:after="160"/>
      </w:pPr>
      <w:r>
        <w:t xml:space="preserve">Every "Doc status" cell in this document is transcribed verbatim from the named source document — never reworded, upgraded, or downgraded. Every "Compiler status" cell is read from one of: this repository's real, currently-committed status_matrix.json / chainlink_registry.json / self_audit_report.json / protocol_matrix.json (all regenerated by an actual `python3 -m compiler.run_compiler` execution during this session), or a direct grep of the compiler/ source tree confirming a corresponding module does or does not exist. No compiler status in this document is asserted from memory or from what "should" exist.</w:t>
      </w:r>
    </w:p>
    <w:p>
      <w:pPr>
        <w:spacing w:after="160"/>
      </w:pPr>
      <w:r>
        <w:t xml:space="preserve">Source documents consulted for this audit:</w:t>
      </w:r>
    </w:p>
    <w:p>
      <w:pPr>
        <w:pStyle w:val="ListParagraph"/>
        <w:numPr>
          <w:ilvl w:val="0"/>
          <w:numId w:val="1"/>
        </w:numPr>
        <w:spacing w:after="80"/>
      </w:pPr>
      <w:r>
        <w:t xml:space="preserve">UCG Specification v5 — Universal Compiler Governance Specification, Phase XVI Integration Architecture (the canonical reference document; supersedes DER Registry v2 per its own preamble).</w:t>
      </w:r>
    </w:p>
    <w:p>
      <w:pPr>
        <w:pStyle w:val="ListParagraph"/>
        <w:numPr>
          <w:ilvl w:val="0"/>
          <w:numId w:val="1"/>
        </w:numPr>
        <w:spacing w:after="80"/>
      </w:pPr>
      <w:r>
        <w:t xml:space="preserve">DER Registry v2 — the 57-entry, 8-branch Derivation Entry Registry (SDR, ORG, SPC, VAR, GEO, GAU, QR, TRC).</w:t>
      </w:r>
    </w:p>
    <w:p>
      <w:pPr>
        <w:pStyle w:val="ListParagraph"/>
        <w:numPr>
          <w:ilvl w:val="0"/>
          <w:numId w:val="1"/>
        </w:numPr>
        <w:spacing w:after="80"/>
      </w:pPr>
      <w:r>
        <w:t xml:space="preserve">CMRP Volume IX — Canonical Millennium Recovery Program, applying the (Δ,τ,κ,Π) compiler tetrad to the seven Clay Millennium Prize Problems.</w:t>
      </w:r>
    </w:p>
    <w:p>
      <w:pPr>
        <w:pStyle w:val="ListParagraph"/>
        <w:numPr>
          <w:ilvl w:val="0"/>
          <w:numId w:val="1"/>
        </w:numPr>
        <w:spacing w:after="80"/>
      </w:pPr>
      <w:r>
        <w:t xml:space="preserve">UPG Canonical Reference — The Universal Persistence Graph, the ARBS hypergraph architecture, and the Ω→Δ→G→L→Spec(L)→H(t)→g_{μν}→Π₀ spine.</w:t>
      </w:r>
    </w:p>
    <w:p>
      <w:pPr>
        <w:pStyle w:val="ListParagraph"/>
        <w:numPr>
          <w:ilvl w:val="0"/>
          <w:numId w:val="1"/>
        </w:numPr>
        <w:spacing w:after="80"/>
      </w:pPr>
      <w:r>
        <w:t xml:space="preserve">Unified Rosetta Stone TOE v3 — the (D,T,C) grammar paper reporting a genuine, honestly-failed coupled dynamical-system test (30/30 unstable parameter samples).</w:t>
      </w:r>
    </w:p>
    <w:p>
      <w:pPr>
        <w:pStyle w:val="ListParagraph"/>
        <w:numPr>
          <w:ilvl w:val="0"/>
          <w:numId w:val="1"/>
        </w:numPr>
        <w:spacing w:after="80"/>
      </w:pPr>
      <w:r>
        <w:t xml:space="preserve">Combined Compiler Theories Whitepaper — five research parts (TOEv "This from That", UDP v2.0, the gradient-based Organizational Hierarchy, MDCL cross-domain validation including CMRC string-theory recovery and the Lorentzian metric program, and the UGAS–MDCL-0001 algebraic foundation), plus Part 0's Certified/Candidate/Open/Retired/Research-Objective certification registry.</w:t>
      </w:r>
    </w:p>
    <w:p>
      <w:pPr>
        <w:spacing w:after="160"/>
      </w:pPr>
      <w:r>
        <w:t xml:space="preserve">Not separately re-transcribed here (UCG v5 already reproduces their content in summary form, per its own preamble stating it supersedes them): DER_Registry.docx (v1), UOCP_Formal_Registry.docx.</w:t>
      </w:r>
    </w:p>
    <w:p>
      <w:r>
        <w:br w:type="page"/>
      </w:r>
    </w:p>
    <w:p>
      <w:pPr>
        <w:pStyle w:val="Heading1"/>
        <w:spacing w:after="120" w:before="240"/>
      </w:pPr>
      <w:r>
        <w:t xml:space="preserve">2. DER / CMRC / VAL / ARBS → Compiler Crosswalk</w:t>
      </w:r>
    </w:p>
    <w:p>
      <w:pPr>
        <w:spacing w:after="160"/>
      </w:pPr>
      <w:r>
        <w:t xml:space="preserve">Organized by branch, in the same order as DER Registry v2 and UCG Specification v5 §11. Each branch opens with a note on the overall pattern found, then a table with every individual entry.</w:t>
      </w:r>
    </w:p>
    <w:p>
      <w:pPr>
        <w:pStyle w:val="Heading2"/>
        <w:spacing w:after="120" w:before="240"/>
      </w:pPr>
      <w:r>
        <w:t xml:space="preserve">SDR — Strict Dependency Relation</w:t>
      </w:r>
    </w:p>
    <w:p>
      <w:pPr>
        <w:spacing w:after="200"/>
      </w:pPr>
      <w:r>
        <w:t xml:space="preserve">Definitional axioms governing the dependency partial order itself. Direct compiler analogue: the dependency_audit self-audit (topological-order confirmation) and the duplicate-ID guard in compiler/ir/registry.py enforce the same acyclicity/no-redefinition discipline structurally, without using the DER-SDR numbering.</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DER-SDR-001</w:t>
            </w:r>
          </w:p>
        </w:tc>
        <w:tc>
          <w:tcPr>
            <w:tcW w:type="dxa" w:w="3600"/>
            <w:tcMar>
              <w:top w:type="dxa" w:w="60"/>
              <w:left w:type="dxa" w:w="100"/>
              <w:bottom w:type="dxa" w:w="60"/>
              <w:right w:type="dxa" w:w="100"/>
            </w:tcMar>
          </w:tcPr>
          <w:p>
            <w:r>
              <w:rPr>
                <w:b w:val="false"/>
                <w:bCs w:val="false"/>
                <w:sz w:val="18"/>
                <w:szCs w:val="18"/>
              </w:rPr>
              <w:t xml:space="preserve">Strict dependency relation, definitional</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Structurally enforced (no DER-ID field)</w:t>
            </w:r>
          </w:p>
        </w:tc>
        <w:tc>
          <w:tcPr>
            <w:tcW w:type="dxa" w:w="2160"/>
            <w:tcMar>
              <w:top w:type="dxa" w:w="60"/>
              <w:left w:type="dxa" w:w="100"/>
              <w:bottom w:type="dxa" w:w="60"/>
              <w:right w:type="dxa" w:w="100"/>
            </w:tcMar>
          </w:tcPr>
          <w:p>
            <w:r>
              <w:rPr>
                <w:b w:val="false"/>
                <w:bCs w:val="false"/>
                <w:sz w:val="18"/>
                <w:szCs w:val="18"/>
              </w:rPr>
              <w:t xml:space="preserve">Compiler's Registry.add() duplicate-guard + dependency DAG are the working equivalent; never labeled DER-SDR-001.</w:t>
            </w:r>
          </w:p>
        </w:tc>
      </w:tr>
      <w:tr>
        <w:tc>
          <w:tcPr>
            <w:tcW w:type="dxa" w:w="1400"/>
            <w:tcMar>
              <w:top w:type="dxa" w:w="60"/>
              <w:left w:type="dxa" w:w="100"/>
              <w:bottom w:type="dxa" w:w="60"/>
              <w:right w:type="dxa" w:w="100"/>
            </w:tcMar>
          </w:tcPr>
          <w:p>
            <w:r>
              <w:rPr>
                <w:b w:val="false"/>
                <w:bCs w:val="false"/>
                <w:sz w:val="18"/>
                <w:szCs w:val="18"/>
              </w:rPr>
              <w:t xml:space="preserve">DER-SDR-002</w:t>
            </w:r>
          </w:p>
        </w:tc>
        <w:tc>
          <w:tcPr>
            <w:tcW w:type="dxa" w:w="3600"/>
            <w:tcMar>
              <w:top w:type="dxa" w:w="60"/>
              <w:left w:type="dxa" w:w="100"/>
              <w:bottom w:type="dxa" w:w="60"/>
              <w:right w:type="dxa" w:w="100"/>
            </w:tcMar>
          </w:tcPr>
          <w:p>
            <w:r>
              <w:rPr>
                <w:b w:val="false"/>
                <w:bCs w:val="false"/>
                <w:sz w:val="18"/>
                <w:szCs w:val="18"/>
              </w:rPr>
              <w:t xml:space="preserve">Irreflexivity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Structurally enforced</w:t>
            </w:r>
          </w:p>
        </w:tc>
        <w:tc>
          <w:tcPr>
            <w:tcW w:type="dxa" w:w="2160"/>
            <w:tcMar>
              <w:top w:type="dxa" w:w="60"/>
              <w:left w:type="dxa" w:w="100"/>
              <w:bottom w:type="dxa" w:w="60"/>
              <w:right w:type="dxa" w:w="100"/>
            </w:tcMar>
          </w:tcPr>
          <w:p>
            <w:r>
              <w:rPr>
                <w:b w:val="false"/>
                <w:bCs w:val="false"/>
                <w:sz w:val="18"/>
                <w:szCs w:val="18"/>
              </w:rPr>
              <w:t xml:space="preserve">No object ever lists itself as its own dependency; unverified as a standalone check.</w:t>
            </w:r>
          </w:p>
        </w:tc>
      </w:tr>
      <w:tr>
        <w:tc>
          <w:tcPr>
            <w:tcW w:type="dxa" w:w="1400"/>
            <w:tcMar>
              <w:top w:type="dxa" w:w="60"/>
              <w:left w:type="dxa" w:w="100"/>
              <w:bottom w:type="dxa" w:w="60"/>
              <w:right w:type="dxa" w:w="100"/>
            </w:tcMar>
          </w:tcPr>
          <w:p>
            <w:r>
              <w:rPr>
                <w:b w:val="false"/>
                <w:bCs w:val="false"/>
                <w:sz w:val="18"/>
                <w:szCs w:val="18"/>
              </w:rPr>
              <w:t xml:space="preserve">DER-SDR-003</w:t>
            </w:r>
          </w:p>
        </w:tc>
        <w:tc>
          <w:tcPr>
            <w:tcW w:type="dxa" w:w="3600"/>
            <w:tcMar>
              <w:top w:type="dxa" w:w="60"/>
              <w:left w:type="dxa" w:w="100"/>
              <w:bottom w:type="dxa" w:w="60"/>
              <w:right w:type="dxa" w:w="100"/>
            </w:tcMar>
          </w:tcPr>
          <w:p>
            <w:r>
              <w:rPr>
                <w:b w:val="false"/>
                <w:bCs w:val="false"/>
                <w:sz w:val="18"/>
                <w:szCs w:val="18"/>
              </w:rPr>
              <w:t xml:space="preserve">Transitivity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Structurally enforced</w:t>
            </w:r>
          </w:p>
        </w:tc>
        <w:tc>
          <w:tcPr>
            <w:tcW w:type="dxa" w:w="2160"/>
            <w:tcMar>
              <w:top w:type="dxa" w:w="60"/>
              <w:left w:type="dxa" w:w="100"/>
              <w:bottom w:type="dxa" w:w="60"/>
              <w:right w:type="dxa" w:w="100"/>
            </w:tcMar>
          </w:tcPr>
          <w:p>
            <w:r>
              <w:rPr>
                <w:b w:val="false"/>
                <w:bCs w:val="false"/>
                <w:sz w:val="18"/>
                <w:szCs w:val="18"/>
              </w:rPr>
              <w:t xml:space="preserve">Not independently checked as a named theorem.</w:t>
            </w:r>
          </w:p>
        </w:tc>
      </w:tr>
      <w:tr>
        <w:tc>
          <w:tcPr>
            <w:tcW w:type="dxa" w:w="1400"/>
            <w:tcMar>
              <w:top w:type="dxa" w:w="60"/>
              <w:left w:type="dxa" w:w="100"/>
              <w:bottom w:type="dxa" w:w="60"/>
              <w:right w:type="dxa" w:w="100"/>
            </w:tcMar>
          </w:tcPr>
          <w:p>
            <w:r>
              <w:rPr>
                <w:b w:val="false"/>
                <w:bCs w:val="false"/>
                <w:sz w:val="18"/>
                <w:szCs w:val="18"/>
              </w:rPr>
              <w:t xml:space="preserve">DER-SDR-004</w:t>
            </w:r>
          </w:p>
        </w:tc>
        <w:tc>
          <w:tcPr>
            <w:tcW w:type="dxa" w:w="3600"/>
            <w:tcMar>
              <w:top w:type="dxa" w:w="60"/>
              <w:left w:type="dxa" w:w="100"/>
              <w:bottom w:type="dxa" w:w="60"/>
              <w:right w:type="dxa" w:w="100"/>
            </w:tcMar>
          </w:tcPr>
          <w:p>
            <w:r>
              <w:rPr>
                <w:b w:val="false"/>
                <w:bCs w:val="false"/>
                <w:sz w:val="18"/>
                <w:szCs w:val="18"/>
              </w:rPr>
              <w:t xml:space="preserve">Acyclicity (DAG)</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PASS (dependency_audit)</w:t>
            </w:r>
          </w:p>
        </w:tc>
        <w:tc>
          <w:tcPr>
            <w:tcW w:type="dxa" w:w="2160"/>
            <w:tcMar>
              <w:top w:type="dxa" w:w="60"/>
              <w:left w:type="dxa" w:w="100"/>
              <w:bottom w:type="dxa" w:w="60"/>
              <w:right w:type="dxa" w:w="100"/>
            </w:tcMar>
          </w:tcPr>
          <w:p>
            <w:r>
              <w:rPr>
                <w:b w:val="false"/>
                <w:bCs w:val="false"/>
                <w:sz w:val="18"/>
                <w:szCs w:val="18"/>
              </w:rPr>
              <w:t xml:space="preserve">Directly verified every real compiler run via topological-order computation over registries.objects/transformations.</w:t>
            </w:r>
          </w:p>
        </w:tc>
      </w:tr>
      <w:tr>
        <w:tc>
          <w:tcPr>
            <w:tcW w:type="dxa" w:w="1400"/>
            <w:tcMar>
              <w:top w:type="dxa" w:w="60"/>
              <w:left w:type="dxa" w:w="100"/>
              <w:bottom w:type="dxa" w:w="60"/>
              <w:right w:type="dxa" w:w="100"/>
            </w:tcMar>
          </w:tcPr>
          <w:p>
            <w:r>
              <w:rPr>
                <w:b w:val="false"/>
                <w:bCs w:val="false"/>
                <w:sz w:val="18"/>
                <w:szCs w:val="18"/>
              </w:rPr>
              <w:t xml:space="preserve">DER-SDR-005</w:t>
            </w:r>
          </w:p>
        </w:tc>
        <w:tc>
          <w:tcPr>
            <w:tcW w:type="dxa" w:w="3600"/>
            <w:tcMar>
              <w:top w:type="dxa" w:w="60"/>
              <w:left w:type="dxa" w:w="100"/>
              <w:bottom w:type="dxa" w:w="60"/>
              <w:right w:type="dxa" w:w="100"/>
            </w:tcMar>
          </w:tcPr>
          <w:p>
            <w:r>
              <w:rPr>
                <w:b w:val="false"/>
                <w:bCs w:val="false"/>
                <w:sz w:val="18"/>
                <w:szCs w:val="18"/>
              </w:rPr>
              <w:t xml:space="preserve">Recovery admissibility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Structurally enforced</w:t>
            </w:r>
          </w:p>
        </w:tc>
        <w:tc>
          <w:tcPr>
            <w:tcW w:type="dxa" w:w="2160"/>
            <w:tcMar>
              <w:top w:type="dxa" w:w="60"/>
              <w:left w:type="dxa" w:w="100"/>
              <w:bottom w:type="dxa" w:w="60"/>
              <w:right w:type="dxa" w:w="100"/>
            </w:tcMar>
          </w:tcPr>
          <w:p>
            <w:r>
              <w:rPr>
                <w:b w:val="false"/>
                <w:bCs w:val="false"/>
                <w:sz w:val="18"/>
                <w:szCs w:val="18"/>
              </w:rPr>
              <w:t xml:space="preserve">Every compiler Object/Transformation declares its own dependencies field; not cross-checked against a DER-numbered predecessor list.</w:t>
            </w:r>
          </w:p>
        </w:tc>
      </w:tr>
    </w:tbl>
    <w:p>
      <w:pPr>
        <w:spacing w:after="200"/>
      </w:pPr>
    </w:p>
    <w:p>
      <w:pPr>
        <w:pStyle w:val="Heading2"/>
        <w:spacing w:after="120" w:before="240"/>
      </w:pPr>
      <w:r>
        <w:t xml:space="preserve">ORG — Organizational Recovery</w:t>
      </w:r>
    </w:p>
    <w:p>
      <w:pPr>
        <w:spacing w:after="200"/>
      </w:pPr>
      <w:r>
        <w:t xml:space="preserve">This is the D-T-C-Π "organizational grammar" branch. The compiler's own forward_chain.py registers exactly this chain as a dependency TEMPLATE (spec section 6) -- but explicitly OPEN, not CERTIFIED: "Dependency template only... not a proof." This is the single largest status disagreement in the whole crosswalk: 5 of 10 ORG entries are marked CERTIFIED in the source documentation while the compiler's own registered object for the identical content is OPEN.</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DER-ORG-001</w:t>
            </w:r>
          </w:p>
        </w:tc>
        <w:tc>
          <w:tcPr>
            <w:tcW w:type="dxa" w:w="3600"/>
            <w:tcMar>
              <w:top w:type="dxa" w:w="60"/>
              <w:left w:type="dxa" w:w="100"/>
              <w:bottom w:type="dxa" w:w="60"/>
              <w:right w:type="dxa" w:w="100"/>
            </w:tcMar>
          </w:tcPr>
          <w:p>
            <w:r>
              <w:rPr>
                <w:b w:val="false"/>
                <w:bCs w:val="false"/>
                <w:sz w:val="18"/>
                <w:szCs w:val="18"/>
              </w:rPr>
              <w:t xml:space="preserve">Grammar G={Δ,τ,κ} is the minimal organizational alphabet</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OPEN (DISTINCTION/TRANSFORMATION-NODE/CONSTRAINT objects)</w:t>
            </w:r>
          </w:p>
        </w:tc>
        <w:tc>
          <w:tcPr>
            <w:tcW w:type="dxa" w:w="2160"/>
            <w:tcMar>
              <w:top w:type="dxa" w:w="60"/>
              <w:left w:type="dxa" w:w="100"/>
              <w:bottom w:type="dxa" w:w="60"/>
              <w:right w:type="dxa" w:w="100"/>
            </w:tcMar>
          </w:tcPr>
          <w:p>
            <w:r>
              <w:rPr>
                <w:b w:val="false"/>
                <w:bCs w:val="false"/>
                <w:sz w:val="18"/>
                <w:szCs w:val="18"/>
              </w:rPr>
              <w:t xml:space="preserve">Compiler registers the identical D/T/C nodes as an explicit dependency TEMPLATE, OPEN by the compiler's own stated policy, not proved minimal by any executed check.</w:t>
            </w:r>
          </w:p>
        </w:tc>
      </w:tr>
      <w:tr>
        <w:tc>
          <w:tcPr>
            <w:tcW w:type="dxa" w:w="1400"/>
            <w:tcMar>
              <w:top w:type="dxa" w:w="60"/>
              <w:left w:type="dxa" w:w="100"/>
              <w:bottom w:type="dxa" w:w="60"/>
              <w:right w:type="dxa" w:w="100"/>
            </w:tcMar>
          </w:tcPr>
          <w:p>
            <w:r>
              <w:rPr>
                <w:b w:val="false"/>
                <w:bCs w:val="false"/>
                <w:sz w:val="18"/>
                <w:szCs w:val="18"/>
              </w:rPr>
              <w:t xml:space="preserve">DER-ORG-002</w:t>
            </w:r>
          </w:p>
        </w:tc>
        <w:tc>
          <w:tcPr>
            <w:tcW w:type="dxa" w:w="3600"/>
            <w:tcMar>
              <w:top w:type="dxa" w:w="60"/>
              <w:left w:type="dxa" w:w="100"/>
              <w:bottom w:type="dxa" w:w="60"/>
              <w:right w:type="dxa" w:w="100"/>
            </w:tcMar>
          </w:tcPr>
          <w:p>
            <w:r>
              <w:rPr>
                <w:b w:val="false"/>
                <w:bCs w:val="false"/>
                <w:sz w:val="18"/>
                <w:szCs w:val="18"/>
              </w:rPr>
              <w:t xml:space="preserve">State evolution Ψ_{t+1}=C(T(D(Ψ_t)))</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OPEN (TRANSFORMATION-NODE)</w:t>
            </w:r>
          </w:p>
        </w:tc>
        <w:tc>
          <w:tcPr>
            <w:tcW w:type="dxa" w:w="2160"/>
            <w:tcMar>
              <w:top w:type="dxa" w:w="60"/>
              <w:left w:type="dxa" w:w="100"/>
              <w:bottom w:type="dxa" w:w="60"/>
              <w:right w:type="dxa" w:w="100"/>
            </w:tcMar>
          </w:tcPr>
          <w:p>
            <w:r>
              <w:rPr>
                <w:b w:val="false"/>
                <w:bCs w:val="false"/>
                <w:sz w:val="18"/>
                <w:szCs w:val="18"/>
              </w:rPr>
              <w:t xml:space="preserve">No compiler code computes an actual Ψ_t sequence anywhere.</w:t>
            </w:r>
          </w:p>
        </w:tc>
      </w:tr>
      <w:tr>
        <w:tc>
          <w:tcPr>
            <w:tcW w:type="dxa" w:w="1400"/>
            <w:tcMar>
              <w:top w:type="dxa" w:w="60"/>
              <w:left w:type="dxa" w:w="100"/>
              <w:bottom w:type="dxa" w:w="60"/>
              <w:right w:type="dxa" w:w="100"/>
            </w:tcMar>
          </w:tcPr>
          <w:p>
            <w:r>
              <w:rPr>
                <w:b w:val="false"/>
                <w:bCs w:val="false"/>
                <w:sz w:val="18"/>
                <w:szCs w:val="18"/>
              </w:rPr>
              <w:t xml:space="preserve">DER-ORG-003</w:t>
            </w:r>
          </w:p>
        </w:tc>
        <w:tc>
          <w:tcPr>
            <w:tcW w:type="dxa" w:w="3600"/>
            <w:tcMar>
              <w:top w:type="dxa" w:w="60"/>
              <w:left w:type="dxa" w:w="100"/>
              <w:bottom w:type="dxa" w:w="60"/>
              <w:right w:type="dxa" w:w="100"/>
            </w:tcMar>
          </w:tcPr>
          <w:p>
            <w:r>
              <w:rPr>
                <w:b w:val="false"/>
                <w:bCs w:val="false"/>
                <w:sz w:val="18"/>
                <w:szCs w:val="18"/>
              </w:rPr>
              <w:t xml:space="preserve">Persistence fixed point Π=lim Γ^nΨ_0</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OPEN (PERSISTENCE-NODE)</w:t>
            </w:r>
          </w:p>
        </w:tc>
        <w:tc>
          <w:tcPr>
            <w:tcW w:type="dxa" w:w="2160"/>
            <w:tcMar>
              <w:top w:type="dxa" w:w="60"/>
              <w:left w:type="dxa" w:w="100"/>
              <w:bottom w:type="dxa" w:w="60"/>
              <w:right w:type="dxa" w:w="100"/>
            </w:tcMar>
          </w:tcPr>
          <w:p>
            <w:r>
              <w:rPr>
                <w:b w:val="false"/>
                <w:bCs w:val="false"/>
                <w:sz w:val="18"/>
                <w:szCs w:val="18"/>
              </w:rPr>
              <w:t xml:space="preserve">No fixed-point iteration is executed in the compiler; the persistence sector concept that IS executed (CL-HEATFLOW-TO-KERNEL, the t→∞ heat-kernel projector) is a different, narrower, VERIFIED construction not cross-referenced to DER-ORG-003.</w:t>
            </w:r>
          </w:p>
        </w:tc>
      </w:tr>
      <w:tr>
        <w:tc>
          <w:tcPr>
            <w:tcW w:type="dxa" w:w="1400"/>
            <w:tcMar>
              <w:top w:type="dxa" w:w="60"/>
              <w:left w:type="dxa" w:w="100"/>
              <w:bottom w:type="dxa" w:w="60"/>
              <w:right w:type="dxa" w:w="100"/>
            </w:tcMar>
          </w:tcPr>
          <w:p>
            <w:r>
              <w:rPr>
                <w:b w:val="false"/>
                <w:bCs w:val="false"/>
                <w:sz w:val="18"/>
                <w:szCs w:val="18"/>
              </w:rPr>
              <w:t xml:space="preserve">DER-ORG-004</w:t>
            </w:r>
          </w:p>
        </w:tc>
        <w:tc>
          <w:tcPr>
            <w:tcW w:type="dxa" w:w="3600"/>
            <w:tcMar>
              <w:top w:type="dxa" w:w="60"/>
              <w:left w:type="dxa" w:w="100"/>
              <w:bottom w:type="dxa" w:w="60"/>
              <w:right w:type="dxa" w:w="100"/>
            </w:tcMar>
          </w:tcPr>
          <w:p>
            <w:r>
              <w:rPr>
                <w:b w:val="false"/>
                <w:bCs w:val="false"/>
                <w:sz w:val="18"/>
                <w:szCs w:val="18"/>
              </w:rPr>
              <w:t xml:space="preserve">Recursive generativity Π⇒Δ'</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No compiler object represents a persistence state generating a new distinction.</w:t>
            </w:r>
          </w:p>
        </w:tc>
      </w:tr>
      <w:tr>
        <w:tc>
          <w:tcPr>
            <w:tcW w:type="dxa" w:w="1400"/>
            <w:tcMar>
              <w:top w:type="dxa" w:w="60"/>
              <w:left w:type="dxa" w:w="100"/>
              <w:bottom w:type="dxa" w:w="60"/>
              <w:right w:type="dxa" w:w="100"/>
            </w:tcMar>
          </w:tcPr>
          <w:p>
            <w:r>
              <w:rPr>
                <w:b w:val="false"/>
                <w:bCs w:val="false"/>
                <w:sz w:val="18"/>
                <w:szCs w:val="18"/>
              </w:rPr>
              <w:t xml:space="preserve">DER-ORG-005</w:t>
            </w:r>
          </w:p>
        </w:tc>
        <w:tc>
          <w:tcPr>
            <w:tcW w:type="dxa" w:w="3600"/>
            <w:tcMar>
              <w:top w:type="dxa" w:w="60"/>
              <w:left w:type="dxa" w:w="100"/>
              <w:bottom w:type="dxa" w:w="60"/>
              <w:right w:type="dxa" w:w="100"/>
            </w:tcMar>
          </w:tcPr>
          <w:p>
            <w:r>
              <w:rPr>
                <w:b w:val="false"/>
                <w:bCs w:val="false"/>
                <w:sz w:val="18"/>
                <w:szCs w:val="18"/>
              </w:rPr>
              <w:t xml:space="preserve">Organizational compiler interface</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No compiler object.</w:t>
            </w:r>
          </w:p>
        </w:tc>
      </w:tr>
      <w:tr>
        <w:tc>
          <w:tcPr>
            <w:tcW w:type="dxa" w:w="1400"/>
            <w:tcMar>
              <w:top w:type="dxa" w:w="60"/>
              <w:left w:type="dxa" w:w="100"/>
              <w:bottom w:type="dxa" w:w="60"/>
              <w:right w:type="dxa" w:w="100"/>
            </w:tcMar>
          </w:tcPr>
          <w:p>
            <w:r>
              <w:rPr>
                <w:b w:val="false"/>
                <w:bCs w:val="false"/>
                <w:sz w:val="18"/>
                <w:szCs w:val="18"/>
              </w:rPr>
              <w:t xml:space="preserve">DER-ORG-006</w:t>
            </w:r>
          </w:p>
        </w:tc>
        <w:tc>
          <w:tcPr>
            <w:tcW w:type="dxa" w:w="3600"/>
            <w:tcMar>
              <w:top w:type="dxa" w:w="60"/>
              <w:left w:type="dxa" w:w="100"/>
              <w:bottom w:type="dxa" w:w="60"/>
              <w:right w:type="dxa" w:w="100"/>
            </w:tcMar>
          </w:tcPr>
          <w:p>
            <w:r>
              <w:rPr>
                <w:b w:val="false"/>
                <w:bCs w:val="false"/>
                <w:sz w:val="18"/>
                <w:szCs w:val="18"/>
              </w:rPr>
              <w:t xml:space="preserve">Fixed-point equivalence theorem</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both source and compiler treat this as unresolved.</w:t>
            </w:r>
          </w:p>
        </w:tc>
      </w:tr>
      <w:tr>
        <w:tc>
          <w:tcPr>
            <w:tcW w:type="dxa" w:w="1400"/>
            <w:tcMar>
              <w:top w:type="dxa" w:w="60"/>
              <w:left w:type="dxa" w:w="100"/>
              <w:bottom w:type="dxa" w:w="60"/>
              <w:right w:type="dxa" w:w="100"/>
            </w:tcMar>
          </w:tcPr>
          <w:p>
            <w:r>
              <w:rPr>
                <w:b w:val="false"/>
                <w:bCs w:val="false"/>
                <w:sz w:val="18"/>
                <w:szCs w:val="18"/>
              </w:rPr>
              <w:t xml:space="preserve">DER-ORG-007</w:t>
            </w:r>
          </w:p>
        </w:tc>
        <w:tc>
          <w:tcPr>
            <w:tcW w:type="dxa" w:w="3600"/>
            <w:tcMar>
              <w:top w:type="dxa" w:w="60"/>
              <w:left w:type="dxa" w:w="100"/>
              <w:bottom w:type="dxa" w:w="60"/>
              <w:right w:type="dxa" w:w="100"/>
            </w:tcMar>
          </w:tcPr>
          <w:p>
            <w:r>
              <w:rPr>
                <w:b w:val="false"/>
                <w:bCs w:val="false"/>
                <w:sz w:val="18"/>
                <w:szCs w:val="18"/>
              </w:rPr>
              <w:t xml:space="preserve">Organizational Persistence Functional Π_O recovery</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open status -- see Π₀ discussion below; a real, partial implementation is newly recommended in §7.</w:t>
            </w:r>
          </w:p>
        </w:tc>
      </w:tr>
      <w:tr>
        <w:tc>
          <w:tcPr>
            <w:tcW w:type="dxa" w:w="1400"/>
            <w:tcMar>
              <w:top w:type="dxa" w:w="60"/>
              <w:left w:type="dxa" w:w="100"/>
              <w:bottom w:type="dxa" w:w="60"/>
              <w:right w:type="dxa" w:w="100"/>
            </w:tcMar>
          </w:tcPr>
          <w:p>
            <w:r>
              <w:rPr>
                <w:b w:val="false"/>
                <w:bCs w:val="false"/>
                <w:sz w:val="18"/>
                <w:szCs w:val="18"/>
              </w:rPr>
              <w:t xml:space="preserve">DER-ORG-008</w:t>
            </w:r>
          </w:p>
        </w:tc>
        <w:tc>
          <w:tcPr>
            <w:tcW w:type="dxa" w:w="3600"/>
            <w:tcMar>
              <w:top w:type="dxa" w:w="60"/>
              <w:left w:type="dxa" w:w="100"/>
              <w:bottom w:type="dxa" w:w="60"/>
              <w:right w:type="dxa" w:w="100"/>
            </w:tcMar>
          </w:tcPr>
          <w:p>
            <w:r>
              <w:rPr>
                <w:b w:val="false"/>
                <w:bCs w:val="false"/>
                <w:sz w:val="18"/>
                <w:szCs w:val="18"/>
              </w:rPr>
              <w:t xml:space="preserve">Organizational attractor uniqueness</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open status.</w:t>
            </w:r>
          </w:p>
        </w:tc>
      </w:tr>
      <w:tr>
        <w:tc>
          <w:tcPr>
            <w:tcW w:type="dxa" w:w="1400"/>
            <w:tcMar>
              <w:top w:type="dxa" w:w="60"/>
              <w:left w:type="dxa" w:w="100"/>
              <w:bottom w:type="dxa" w:w="60"/>
              <w:right w:type="dxa" w:w="100"/>
            </w:tcMar>
          </w:tcPr>
          <w:p>
            <w:r>
              <w:rPr>
                <w:b w:val="false"/>
                <w:bCs w:val="false"/>
                <w:sz w:val="18"/>
                <w:szCs w:val="18"/>
              </w:rPr>
              <w:t xml:space="preserve">DER-ORG-009</w:t>
            </w:r>
          </w:p>
        </w:tc>
        <w:tc>
          <w:tcPr>
            <w:tcW w:type="dxa" w:w="3600"/>
            <w:tcMar>
              <w:top w:type="dxa" w:w="60"/>
              <w:left w:type="dxa" w:w="100"/>
              <w:bottom w:type="dxa" w:w="60"/>
              <w:right w:type="dxa" w:w="100"/>
            </w:tcMar>
          </w:tcPr>
          <w:p>
            <w:r>
              <w:rPr>
                <w:b w:val="false"/>
                <w:bCs w:val="false"/>
                <w:sz w:val="18"/>
                <w:szCs w:val="18"/>
              </w:rPr>
              <w:t xml:space="preserve">Compiler completeness theorem (= AX-ROG-3)</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open status; flagged by CMRP Volume IX as the shared blocking obligation for P vs NP (MPB-004) and Navier-Stokes (MPB-003).</w:t>
            </w:r>
          </w:p>
        </w:tc>
      </w:tr>
      <w:tr>
        <w:tc>
          <w:tcPr>
            <w:tcW w:type="dxa" w:w="1400"/>
            <w:tcMar>
              <w:top w:type="dxa" w:w="60"/>
              <w:left w:type="dxa" w:w="100"/>
              <w:bottom w:type="dxa" w:w="60"/>
              <w:right w:type="dxa" w:w="100"/>
            </w:tcMar>
          </w:tcPr>
          <w:p>
            <w:r>
              <w:rPr>
                <w:b w:val="false"/>
                <w:bCs w:val="false"/>
                <w:sz w:val="18"/>
                <w:szCs w:val="18"/>
              </w:rPr>
              <w:t xml:space="preserve">DER-ORG-010</w:t>
            </w:r>
          </w:p>
        </w:tc>
        <w:tc>
          <w:tcPr>
            <w:tcW w:type="dxa" w:w="3600"/>
            <w:tcMar>
              <w:top w:type="dxa" w:w="60"/>
              <w:left w:type="dxa" w:w="100"/>
              <w:bottom w:type="dxa" w:w="60"/>
              <w:right w:type="dxa" w:w="100"/>
            </w:tcMar>
          </w:tcPr>
          <w:p>
            <w:r>
              <w:rPr>
                <w:b w:val="false"/>
                <w:bCs w:val="false"/>
                <w:sz w:val="18"/>
                <w:szCs w:val="18"/>
              </w:rPr>
              <w:t xml:space="preserve">Dependency completeness theorem</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open status.</w:t>
            </w:r>
          </w:p>
        </w:tc>
      </w:tr>
    </w:tbl>
    <w:p>
      <w:pPr>
        <w:spacing w:after="200"/>
      </w:pPr>
    </w:p>
    <w:p>
      <w:pPr>
        <w:pStyle w:val="Heading2"/>
        <w:spacing w:after="120" w:before="240"/>
      </w:pPr>
      <w:r>
        <w:t xml:space="preserve">SPC — Spectral Recovery</w:t>
      </w:r>
    </w:p>
    <w:p>
      <w:pPr>
        <w:spacing w:after="200"/>
      </w:pPr>
      <w:r>
        <w:t xml:space="preserve">The branch with the closest genuine alignment between documentation and executed compiler code — the graph → Laplacian → spectrum → heat-kernel chain is exactly what compiler/backends/graph_laplacian.py, spectral.py, and the CL-G-TO-L / CL-L-TO-SPECL / CL-SPECL-TO-HEATFLOW / CL-HEATFLOW-TO-KERNEL chainlinks actually compute.</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DER-SPC-001</w:t>
            </w:r>
          </w:p>
        </w:tc>
        <w:tc>
          <w:tcPr>
            <w:tcW w:type="dxa" w:w="3600"/>
            <w:tcMar>
              <w:top w:type="dxa" w:w="60"/>
              <w:left w:type="dxa" w:w="100"/>
              <w:bottom w:type="dxa" w:w="60"/>
              <w:right w:type="dxa" w:w="100"/>
            </w:tcMar>
          </w:tcPr>
          <w:p>
            <w:r>
              <w:rPr>
                <w:b w:val="false"/>
                <w:bCs w:val="false"/>
                <w:sz w:val="18"/>
                <w:szCs w:val="18"/>
              </w:rPr>
              <w:t xml:space="preserve">Graph G=(V,E)</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PROPOSED (GRAPH-G-SEED)</w:t>
            </w:r>
          </w:p>
        </w:tc>
        <w:tc>
          <w:tcPr>
            <w:tcW w:type="dxa" w:w="2160"/>
            <w:tcMar>
              <w:top w:type="dxa" w:w="60"/>
              <w:left w:type="dxa" w:w="100"/>
              <w:bottom w:type="dxa" w:w="60"/>
              <w:right w:type="dxa" w:w="100"/>
            </w:tcMar>
          </w:tcPr>
          <w:p>
            <w:r>
              <w:rPr>
                <w:b w:val="false"/>
                <w:bCs w:val="false"/>
                <w:sz w:val="18"/>
                <w:szCs w:val="18"/>
              </w:rPr>
              <w:t xml:space="preserve">Compiler: directly postulated per spec section 31, honestly PROPOSED rather than derived from a primitive-extraction process.</w:t>
            </w:r>
          </w:p>
        </w:tc>
      </w:tr>
      <w:tr>
        <w:tc>
          <w:tcPr>
            <w:tcW w:type="dxa" w:w="1400"/>
            <w:tcMar>
              <w:top w:type="dxa" w:w="60"/>
              <w:left w:type="dxa" w:w="100"/>
              <w:bottom w:type="dxa" w:w="60"/>
              <w:right w:type="dxa" w:w="100"/>
            </w:tcMar>
          </w:tcPr>
          <w:p>
            <w:r>
              <w:rPr>
                <w:b w:val="false"/>
                <w:bCs w:val="false"/>
                <w:sz w:val="18"/>
                <w:szCs w:val="18"/>
              </w:rPr>
              <w:t xml:space="preserve">DER-SPC-002</w:t>
            </w:r>
          </w:p>
        </w:tc>
        <w:tc>
          <w:tcPr>
            <w:tcW w:type="dxa" w:w="3600"/>
            <w:tcMar>
              <w:top w:type="dxa" w:w="60"/>
              <w:left w:type="dxa" w:w="100"/>
              <w:bottom w:type="dxa" w:w="60"/>
              <w:right w:type="dxa" w:w="100"/>
            </w:tcMar>
          </w:tcPr>
          <w:p>
            <w:r>
              <w:rPr>
                <w:b w:val="false"/>
                <w:bCs w:val="false"/>
                <w:sz w:val="18"/>
                <w:szCs w:val="18"/>
              </w:rPr>
              <w:t xml:space="preserve">Laplacian L=D-A</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CALCULATED (CL-G-TO-L)</w:t>
            </w:r>
          </w:p>
        </w:tc>
        <w:tc>
          <w:tcPr>
            <w:tcW w:type="dxa" w:w="2160"/>
            <w:tcMar>
              <w:top w:type="dxa" w:w="60"/>
              <w:left w:type="dxa" w:w="100"/>
              <w:bottom w:type="dxa" w:w="60"/>
              <w:right w:type="dxa" w:w="100"/>
            </w:tcMar>
          </w:tcPr>
          <w:p>
            <w:r>
              <w:rPr>
                <w:b w:val="false"/>
                <w:bCs w:val="false"/>
                <w:sz w:val="18"/>
                <w:szCs w:val="18"/>
              </w:rPr>
              <w:t xml:space="preserve">Elementary linear algebra (symmetric, PSD) — the proof is genuinely trivial; recommend upgrading compiler status to VERIFIED/DERIVED since the proof obligation is essentially free (see §7, quick win).</w:t>
            </w:r>
          </w:p>
        </w:tc>
      </w:tr>
      <w:tr>
        <w:tc>
          <w:tcPr>
            <w:tcW w:type="dxa" w:w="1400"/>
            <w:tcMar>
              <w:top w:type="dxa" w:w="60"/>
              <w:left w:type="dxa" w:w="100"/>
              <w:bottom w:type="dxa" w:w="60"/>
              <w:right w:type="dxa" w:w="100"/>
            </w:tcMar>
          </w:tcPr>
          <w:p>
            <w:r>
              <w:rPr>
                <w:b w:val="false"/>
                <w:bCs w:val="false"/>
                <w:sz w:val="18"/>
                <w:szCs w:val="18"/>
              </w:rPr>
              <w:t xml:space="preserve">DER-SPC-003</w:t>
            </w:r>
          </w:p>
        </w:tc>
        <w:tc>
          <w:tcPr>
            <w:tcW w:type="dxa" w:w="3600"/>
            <w:tcMar>
              <w:top w:type="dxa" w:w="60"/>
              <w:left w:type="dxa" w:w="100"/>
              <w:bottom w:type="dxa" w:w="60"/>
              <w:right w:type="dxa" w:w="100"/>
            </w:tcMar>
          </w:tcPr>
          <w:p>
            <w:r>
              <w:rPr>
                <w:b w:val="false"/>
                <w:bCs w:val="false"/>
                <w:sz w:val="18"/>
                <w:szCs w:val="18"/>
              </w:rPr>
              <w:t xml:space="preserve">Spectrum Spec(L)</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VERIFIED (CL-L-TO-SPECL)</w:t>
            </w:r>
          </w:p>
        </w:tc>
        <w:tc>
          <w:tcPr>
            <w:tcW w:type="dxa" w:w="2160"/>
            <w:tcMar>
              <w:top w:type="dxa" w:w="60"/>
              <w:left w:type="dxa" w:w="100"/>
              <w:bottom w:type="dxa" w:w="60"/>
              <w:right w:type="dxa" w:w="100"/>
            </w:tcMar>
          </w:tcPr>
          <w:p>
            <w:r>
              <w:rPr>
                <w:b w:val="false"/>
                <w:bCs w:val="false"/>
                <w:sz w:val="18"/>
                <w:szCs w:val="18"/>
              </w:rPr>
              <w:t xml:space="preserve">Genuine agreement — real eigendecomposition, cross-checked exactly for n≤8.</w:t>
            </w:r>
          </w:p>
        </w:tc>
      </w:tr>
      <w:tr>
        <w:tc>
          <w:tcPr>
            <w:tcW w:type="dxa" w:w="1400"/>
            <w:tcMar>
              <w:top w:type="dxa" w:w="60"/>
              <w:left w:type="dxa" w:w="100"/>
              <w:bottom w:type="dxa" w:w="60"/>
              <w:right w:type="dxa" w:w="100"/>
            </w:tcMar>
          </w:tcPr>
          <w:p>
            <w:r>
              <w:rPr>
                <w:b w:val="false"/>
                <w:bCs w:val="false"/>
                <w:sz w:val="18"/>
                <w:szCs w:val="18"/>
              </w:rPr>
              <w:t xml:space="preserve">DER-SPC-004</w:t>
            </w:r>
          </w:p>
        </w:tc>
        <w:tc>
          <w:tcPr>
            <w:tcW w:type="dxa" w:w="3600"/>
            <w:tcMar>
              <w:top w:type="dxa" w:w="60"/>
              <w:left w:type="dxa" w:w="100"/>
              <w:bottom w:type="dxa" w:w="60"/>
              <w:right w:type="dxa" w:w="100"/>
            </w:tcMar>
          </w:tcPr>
          <w:p>
            <w:r>
              <w:rPr>
                <w:b w:val="false"/>
                <w:bCs w:val="false"/>
                <w:sz w:val="18"/>
                <w:szCs w:val="18"/>
              </w:rPr>
              <w:t xml:space="preserve">Heat kernel K_t=e^{-tL}</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VERIFIED (CL-SPECL-TO-HEATFLOW)</w:t>
            </w:r>
          </w:p>
        </w:tc>
        <w:tc>
          <w:tcPr>
            <w:tcW w:type="dxa" w:w="2160"/>
            <w:tcMar>
              <w:top w:type="dxa" w:w="60"/>
              <w:left w:type="dxa" w:w="100"/>
              <w:bottom w:type="dxa" w:w="60"/>
              <w:right w:type="dxa" w:w="100"/>
            </w:tcMar>
          </w:tcPr>
          <w:p>
            <w:r>
              <w:rPr>
                <w:b w:val="false"/>
                <w:bCs w:val="false"/>
                <w:sz w:val="18"/>
                <w:szCs w:val="18"/>
              </w:rPr>
              <w:t xml:space="preserve">Genuine agreement.</w:t>
            </w:r>
          </w:p>
        </w:tc>
      </w:tr>
      <w:tr>
        <w:tc>
          <w:tcPr>
            <w:tcW w:type="dxa" w:w="1400"/>
            <w:tcMar>
              <w:top w:type="dxa" w:w="60"/>
              <w:left w:type="dxa" w:w="100"/>
              <w:bottom w:type="dxa" w:w="60"/>
              <w:right w:type="dxa" w:w="100"/>
            </w:tcMar>
          </w:tcPr>
          <w:p>
            <w:r>
              <w:rPr>
                <w:b w:val="false"/>
                <w:bCs w:val="false"/>
                <w:sz w:val="18"/>
                <w:szCs w:val="18"/>
              </w:rPr>
              <w:t xml:space="preserve">DER-SPC-005</w:t>
            </w:r>
          </w:p>
        </w:tc>
        <w:tc>
          <w:tcPr>
            <w:tcW w:type="dxa" w:w="3600"/>
            <w:tcMar>
              <w:top w:type="dxa" w:w="60"/>
              <w:left w:type="dxa" w:w="100"/>
              <w:bottom w:type="dxa" w:w="60"/>
              <w:right w:type="dxa" w:w="100"/>
            </w:tcMar>
          </w:tcPr>
          <w:p>
            <w:r>
              <w:rPr>
                <w:b w:val="false"/>
                <w:bCs w:val="false"/>
                <w:sz w:val="18"/>
                <w:szCs w:val="18"/>
              </w:rPr>
              <w:t xml:space="preserve">Persistence filter R=e^{-βL}</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VERIFIED (CL-HEATFLOW-TO-KERNEL, t→∞ limit)</w:t>
            </w:r>
          </w:p>
        </w:tc>
        <w:tc>
          <w:tcPr>
            <w:tcW w:type="dxa" w:w="2160"/>
            <w:tcMar>
              <w:top w:type="dxa" w:w="60"/>
              <w:left w:type="dxa" w:w="100"/>
              <w:bottom w:type="dxa" w:w="60"/>
              <w:right w:type="dxa" w:w="100"/>
            </w:tcMar>
          </w:tcPr>
          <w:p>
            <w:r>
              <w:rPr>
                <w:b w:val="false"/>
                <w:bCs w:val="false"/>
                <w:sz w:val="18"/>
                <w:szCs w:val="18"/>
              </w:rPr>
              <w:t xml:space="preserve">Same operator family as K_t; the compiler's kernel-projector result is the β→∞ / t→∞ specialization, not cross-referenced to DER-SPC-005 by name.</w:t>
            </w:r>
          </w:p>
        </w:tc>
      </w:tr>
      <w:tr>
        <w:tc>
          <w:tcPr>
            <w:tcW w:type="dxa" w:w="1400"/>
            <w:tcMar>
              <w:top w:type="dxa" w:w="60"/>
              <w:left w:type="dxa" w:w="100"/>
              <w:bottom w:type="dxa" w:w="60"/>
              <w:right w:type="dxa" w:w="100"/>
            </w:tcMar>
          </w:tcPr>
          <w:p>
            <w:r>
              <w:rPr>
                <w:b w:val="false"/>
                <w:bCs w:val="false"/>
                <w:sz w:val="18"/>
                <w:szCs w:val="18"/>
              </w:rPr>
              <w:t xml:space="preserve">DER-SPC-006</w:t>
            </w:r>
          </w:p>
        </w:tc>
        <w:tc>
          <w:tcPr>
            <w:tcW w:type="dxa" w:w="3600"/>
            <w:tcMar>
              <w:top w:type="dxa" w:w="60"/>
              <w:left w:type="dxa" w:w="100"/>
              <w:bottom w:type="dxa" w:w="60"/>
              <w:right w:type="dxa" w:w="100"/>
            </w:tcMar>
          </w:tcPr>
          <w:p>
            <w:r>
              <w:rPr>
                <w:b w:val="false"/>
                <w:bCs w:val="false"/>
                <w:sz w:val="18"/>
                <w:szCs w:val="18"/>
              </w:rPr>
              <w:t xml:space="preserve">Spectral fixed point Ω</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open status; CMRP Volume IX identifies this as the shared obligation behind the Yang-Mills mass-gap and the general (non-3-manifold) Poincaré fixed-point uniqueness.</w:t>
            </w:r>
          </w:p>
        </w:tc>
      </w:tr>
    </w:tbl>
    <w:p>
      <w:pPr>
        <w:spacing w:after="200"/>
      </w:pPr>
    </w:p>
    <w:p>
      <w:pPr>
        <w:pStyle w:val="Heading2"/>
        <w:spacing w:after="120" w:before="240"/>
      </w:pPr>
      <w:r>
        <w:t xml:space="preserve">VAR — Variational Recovery</w:t>
      </w:r>
    </w:p>
    <w:p>
      <w:pPr>
        <w:spacing w:after="200"/>
      </w:pPr>
      <w:r>
        <w:t xml:space="preserve">Claimed fully CERTIFIED in the source documentation (persistence cost functional, the universal field equation, its Legendre transform, the Einstein–Hilbert action, and the Einstein field equations, with THM-EL/THM-GR-LIMIT giving an explicit worked Euler–Lagrange derivation). The compiler has none of this: MR-017 is an OPEN placeholder object, not a computed functional.</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DER-VAR-001</w:t>
            </w:r>
          </w:p>
        </w:tc>
        <w:tc>
          <w:tcPr>
            <w:tcW w:type="dxa" w:w="3600"/>
            <w:tcMar>
              <w:top w:type="dxa" w:w="60"/>
              <w:left w:type="dxa" w:w="100"/>
              <w:bottom w:type="dxa" w:w="60"/>
              <w:right w:type="dxa" w:w="100"/>
            </w:tcMar>
          </w:tcPr>
          <w:p>
            <w:r>
              <w:rPr>
                <w:b w:val="false"/>
                <w:bCs w:val="false"/>
                <w:sz w:val="18"/>
                <w:szCs w:val="18"/>
              </w:rPr>
              <w:t xml:space="preserve">Persistence Cost Functional C_Π[y]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OPEN (VARIATIONAL-NODE)</w:t>
            </w:r>
          </w:p>
        </w:tc>
        <w:tc>
          <w:tcPr>
            <w:tcW w:type="dxa" w:w="2160"/>
            <w:tcMar>
              <w:top w:type="dxa" w:w="60"/>
              <w:left w:type="dxa" w:w="100"/>
              <w:bottom w:type="dxa" w:w="60"/>
              <w:right w:type="dxa" w:w="100"/>
            </w:tcMar>
          </w:tcPr>
          <w:p>
            <w:r>
              <w:rPr>
                <w:b w:val="false"/>
                <w:bCs w:val="false"/>
                <w:sz w:val="18"/>
                <w:szCs w:val="18"/>
              </w:rPr>
              <w:t xml:space="preserve">No compiler code defines or evaluates C_Π[y] anywhere.</w:t>
            </w:r>
          </w:p>
        </w:tc>
      </w:tr>
      <w:tr>
        <w:tc>
          <w:tcPr>
            <w:tcW w:type="dxa" w:w="1400"/>
            <w:tcMar>
              <w:top w:type="dxa" w:w="60"/>
              <w:left w:type="dxa" w:w="100"/>
              <w:bottom w:type="dxa" w:w="60"/>
              <w:right w:type="dxa" w:w="100"/>
            </w:tcMar>
          </w:tcPr>
          <w:p>
            <w:r>
              <w:rPr>
                <w:b w:val="false"/>
                <w:bCs w:val="false"/>
                <w:sz w:val="18"/>
                <w:szCs w:val="18"/>
              </w:rPr>
              <w:t xml:space="preserve">DER-VAR-002</w:t>
            </w:r>
          </w:p>
        </w:tc>
        <w:tc>
          <w:tcPr>
            <w:tcW w:type="dxa" w:w="3600"/>
            <w:tcMar>
              <w:top w:type="dxa" w:w="60"/>
              <w:left w:type="dxa" w:w="100"/>
              <w:bottom w:type="dxa" w:w="60"/>
              <w:right w:type="dxa" w:w="100"/>
            </w:tcMar>
          </w:tcPr>
          <w:p>
            <w:r>
              <w:rPr>
                <w:b w:val="false"/>
                <w:bCs w:val="false"/>
                <w:sz w:val="18"/>
                <w:szCs w:val="18"/>
              </w:rPr>
              <w:t xml:space="preserve">Universal Persistence Field Equation (Euler–Lagrange of C_Π)</w:t>
            </w:r>
          </w:p>
        </w:tc>
        <w:tc>
          <w:tcPr>
            <w:tcW w:type="dxa" w:w="1600"/>
            <w:tcMar>
              <w:top w:type="dxa" w:w="60"/>
              <w:left w:type="dxa" w:w="100"/>
              <w:bottom w:type="dxa" w:w="60"/>
              <w:right w:type="dxa" w:w="100"/>
            </w:tcMar>
          </w:tcPr>
          <w:p>
            <w:r>
              <w:rPr>
                <w:b w:val="false"/>
                <w:bCs w:val="false"/>
                <w:sz w:val="18"/>
                <w:szCs w:val="18"/>
              </w:rPr>
              <w:t xml:space="preserve">CERTIFIED (THM-EL)</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The source gives an explicit closed form (y''_c+Γ^c_{ab}y'_ay'_b=-g^{ca}∇_aI_F); nothing in the compiler evaluates it, symbolically or numerically.</w:t>
            </w:r>
          </w:p>
        </w:tc>
      </w:tr>
      <w:tr>
        <w:tc>
          <w:tcPr>
            <w:tcW w:type="dxa" w:w="1400"/>
            <w:tcMar>
              <w:top w:type="dxa" w:w="60"/>
              <w:left w:type="dxa" w:w="100"/>
              <w:bottom w:type="dxa" w:w="60"/>
              <w:right w:type="dxa" w:w="100"/>
            </w:tcMar>
          </w:tcPr>
          <w:p>
            <w:r>
              <w:rPr>
                <w:b w:val="false"/>
                <w:bCs w:val="false"/>
                <w:sz w:val="18"/>
                <w:szCs w:val="18"/>
              </w:rPr>
              <w:t xml:space="preserve">DER-VAR-003</w:t>
            </w:r>
          </w:p>
        </w:tc>
        <w:tc>
          <w:tcPr>
            <w:tcW w:type="dxa" w:w="3600"/>
            <w:tcMar>
              <w:top w:type="dxa" w:w="60"/>
              <w:left w:type="dxa" w:w="100"/>
              <w:bottom w:type="dxa" w:w="60"/>
              <w:right w:type="dxa" w:w="100"/>
            </w:tcMar>
          </w:tcPr>
          <w:p>
            <w:r>
              <w:rPr>
                <w:b w:val="false"/>
                <w:bCs w:val="false"/>
                <w:sz w:val="18"/>
                <w:szCs w:val="18"/>
              </w:rPr>
              <w:t xml:space="preserve">Legendre transform</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DER-VAR-004</w:t>
            </w:r>
          </w:p>
        </w:tc>
        <w:tc>
          <w:tcPr>
            <w:tcW w:type="dxa" w:w="3600"/>
            <w:tcMar>
              <w:top w:type="dxa" w:w="60"/>
              <w:left w:type="dxa" w:w="100"/>
              <w:bottom w:type="dxa" w:w="60"/>
              <w:right w:type="dxa" w:w="100"/>
            </w:tcMar>
          </w:tcPr>
          <w:p>
            <w:r>
              <w:rPr>
                <w:b w:val="false"/>
                <w:bCs w:val="false"/>
                <w:sz w:val="18"/>
                <w:szCs w:val="18"/>
              </w:rPr>
              <w:t xml:space="preserve">Einstein–Hilbert action S_EH</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The compiler's Lichnerowicz/Seeley-DeWitt work (VERIFIED) computes heat-kernel coefficients on EXTERNAL control manifolds (flat 2D, round S²/S³) — a genuinely different, narrower, real result, not an S_EH computed from the compiler's own recovered geometry.</w:t>
            </w:r>
          </w:p>
        </w:tc>
      </w:tr>
      <w:tr>
        <w:tc>
          <w:tcPr>
            <w:tcW w:type="dxa" w:w="1400"/>
            <w:tcMar>
              <w:top w:type="dxa" w:w="60"/>
              <w:left w:type="dxa" w:w="100"/>
              <w:bottom w:type="dxa" w:w="60"/>
              <w:right w:type="dxa" w:w="100"/>
            </w:tcMar>
          </w:tcPr>
          <w:p>
            <w:r>
              <w:rPr>
                <w:b w:val="false"/>
                <w:bCs w:val="false"/>
                <w:sz w:val="18"/>
                <w:szCs w:val="18"/>
              </w:rPr>
              <w:t xml:space="preserve">DER-VAR-005</w:t>
            </w:r>
          </w:p>
        </w:tc>
        <w:tc>
          <w:tcPr>
            <w:tcW w:type="dxa" w:w="3600"/>
            <w:tcMar>
              <w:top w:type="dxa" w:w="60"/>
              <w:left w:type="dxa" w:w="100"/>
              <w:bottom w:type="dxa" w:w="60"/>
              <w:right w:type="dxa" w:w="100"/>
            </w:tcMar>
          </w:tcPr>
          <w:p>
            <w:r>
              <w:rPr>
                <w:b w:val="false"/>
                <w:bCs w:val="false"/>
                <w:sz w:val="18"/>
                <w:szCs w:val="18"/>
              </w:rPr>
              <w:t xml:space="preserve">Einstein field equations (via THM-GR-LIMIT, I_F=0)</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No compiler code derives the vacuum or matter-coupled Einstein equations from its own primitives.</w:t>
            </w:r>
          </w:p>
        </w:tc>
      </w:tr>
    </w:tbl>
    <w:p>
      <w:pPr>
        <w:spacing w:after="200"/>
      </w:pPr>
    </w:p>
    <w:p>
      <w:pPr>
        <w:pStyle w:val="Heading2"/>
        <w:spacing w:after="120" w:before="240"/>
      </w:pPr>
      <w:r>
        <w:t xml:space="preserve">GEO — Geometry Recovery</w:t>
      </w:r>
    </w:p>
    <w:p>
      <w:pPr>
        <w:spacing w:after="200"/>
      </w:pPr>
      <w:r>
        <w:t xml:space="preserve">Claimed fully CERTIFIED, sourced to "Belkin-Niyogi 2003" convergence and "non-degenerate spectral embedding" for positive-definiteness of the metric. This is the branch with the sharpest DIRECT CONTRADICTION in the whole crosswalk: the compiler's own independently executed falsification work (FALS-METRIC-UNIQUENESS-*, an eigenvalue-uniqueness counterexample, and the Fisher-Rao rejection, EQ-FC005-FISHER-LORENTZIAN-OBSTRUCTION, FALSIFIED) found the diffusion-distance metric candidate to be non-unique and representation-dependent — the opposite of "CERTIFIED... positive-definite."</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DER-GEO-001</w:t>
            </w:r>
          </w:p>
        </w:tc>
        <w:tc>
          <w:tcPr>
            <w:tcW w:type="dxa" w:w="3600"/>
            <w:tcMar>
              <w:top w:type="dxa" w:w="60"/>
              <w:left w:type="dxa" w:w="100"/>
              <w:bottom w:type="dxa" w:w="60"/>
              <w:right w:type="dxa" w:w="100"/>
            </w:tcMar>
          </w:tcPr>
          <w:p>
            <w:r>
              <w:rPr>
                <w:b w:val="false"/>
                <w:bCs w:val="false"/>
                <w:sz w:val="18"/>
                <w:szCs w:val="18"/>
              </w:rPr>
              <w:t xml:space="preserve">Spectral metric g_{μν} from Spec(L)</w:t>
            </w:r>
          </w:p>
        </w:tc>
        <w:tc>
          <w:tcPr>
            <w:tcW w:type="dxa" w:w="1600"/>
            <w:tcMar>
              <w:top w:type="dxa" w:w="60"/>
              <w:left w:type="dxa" w:w="100"/>
              <w:bottom w:type="dxa" w:w="60"/>
              <w:right w:type="dxa" w:w="100"/>
            </w:tcMar>
          </w:tcPr>
          <w:p>
            <w:r>
              <w:rPr>
                <w:b w:val="false"/>
                <w:bCs w:val="false"/>
                <w:sz w:val="18"/>
                <w:szCs w:val="18"/>
              </w:rPr>
              <w:t xml:space="preserve">CERTIFIED (PRF-GEO-001)</w:t>
            </w:r>
          </w:p>
        </w:tc>
        <w:tc>
          <w:tcPr>
            <w:tcW w:type="dxa" w:w="1600"/>
            <w:tcMar>
              <w:top w:type="dxa" w:w="60"/>
              <w:left w:type="dxa" w:w="100"/>
              <w:bottom w:type="dxa" w:w="60"/>
              <w:right w:type="dxa" w:w="100"/>
            </w:tcMar>
          </w:tcPr>
          <w:p>
            <w:r>
              <w:rPr>
                <w:b w:val="false"/>
                <w:bCs w:val="false"/>
                <w:sz w:val="18"/>
                <w:szCs w:val="18"/>
              </w:rPr>
              <w:t xml:space="preserve">CONDITIONAL (CL-DIFFUSION-TO-METRIC)</w:t>
            </w:r>
          </w:p>
        </w:tc>
        <w:tc>
          <w:tcPr>
            <w:tcW w:type="dxa" w:w="2160"/>
            <w:tcMar>
              <w:top w:type="dxa" w:w="60"/>
              <w:left w:type="dxa" w:w="100"/>
              <w:bottom w:type="dxa" w:w="60"/>
              <w:right w:type="dxa" w:w="100"/>
            </w:tcMar>
          </w:tcPr>
          <w:p>
            <w:r>
              <w:rPr>
                <w:b w:val="false"/>
                <w:bCs w:val="false"/>
                <w:sz w:val="18"/>
                <w:szCs w:val="18"/>
              </w:rPr>
              <w:t xml:space="preserve">DIRECT CONTRADICTION: the compiler's own executed eigenvalue-uniqueness counterexample and Fisher-Rao rejection found this construction non-unique (depends on a free, unjustified diffusion-time parameter t) — the documentation's CERTIFIED claim is not reproduced, and appears actively falsified, by this compiler's own independent numerical work.</w:t>
            </w:r>
          </w:p>
        </w:tc>
      </w:tr>
      <w:tr>
        <w:tc>
          <w:tcPr>
            <w:tcW w:type="dxa" w:w="1400"/>
            <w:tcMar>
              <w:top w:type="dxa" w:w="60"/>
              <w:left w:type="dxa" w:w="100"/>
              <w:bottom w:type="dxa" w:w="60"/>
              <w:right w:type="dxa" w:w="100"/>
            </w:tcMar>
          </w:tcPr>
          <w:p>
            <w:r>
              <w:rPr>
                <w:b w:val="false"/>
                <w:bCs w:val="false"/>
                <w:sz w:val="18"/>
                <w:szCs w:val="18"/>
              </w:rPr>
              <w:t xml:space="preserve">DER-GEO-002</w:t>
            </w:r>
          </w:p>
        </w:tc>
        <w:tc>
          <w:tcPr>
            <w:tcW w:type="dxa" w:w="3600"/>
            <w:tcMar>
              <w:top w:type="dxa" w:w="60"/>
              <w:left w:type="dxa" w:w="100"/>
              <w:bottom w:type="dxa" w:w="60"/>
              <w:right w:type="dxa" w:w="100"/>
            </w:tcMar>
          </w:tcPr>
          <w:p>
            <w:r>
              <w:rPr>
                <w:b w:val="false"/>
                <w:bCs w:val="false"/>
                <w:sz w:val="18"/>
                <w:szCs w:val="18"/>
              </w:rPr>
              <w:t xml:space="preserve">Levi-Civita connection Γ^c_{ab}</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OPEN (CL-METRIC-TO-CONNECTION)</w:t>
            </w:r>
          </w:p>
        </w:tc>
        <w:tc>
          <w:tcPr>
            <w:tcW w:type="dxa" w:w="2160"/>
            <w:tcMar>
              <w:top w:type="dxa" w:w="60"/>
              <w:left w:type="dxa" w:w="100"/>
              <w:bottom w:type="dxa" w:w="60"/>
              <w:right w:type="dxa" w:w="100"/>
            </w:tcMar>
          </w:tcPr>
          <w:p>
            <w:r>
              <w:rPr>
                <w:b w:val="false"/>
                <w:bCs w:val="false"/>
                <w:sz w:val="18"/>
                <w:szCs w:val="18"/>
              </w:rPr>
              <w:t xml:space="preserve">Cannot be certified downstream of a metric the compiler itself finds non-unique; the compiler's own OPEN status is the more defensible one given DER-GEO-001's actual status.</w:t>
            </w:r>
          </w:p>
        </w:tc>
      </w:tr>
      <w:tr>
        <w:tc>
          <w:tcPr>
            <w:tcW w:type="dxa" w:w="1400"/>
            <w:tcMar>
              <w:top w:type="dxa" w:w="60"/>
              <w:left w:type="dxa" w:w="100"/>
              <w:bottom w:type="dxa" w:w="60"/>
              <w:right w:type="dxa" w:w="100"/>
            </w:tcMar>
          </w:tcPr>
          <w:p>
            <w:r>
              <w:rPr>
                <w:b w:val="false"/>
                <w:bCs w:val="false"/>
                <w:sz w:val="18"/>
                <w:szCs w:val="18"/>
              </w:rPr>
              <w:t xml:space="preserve">DER-GEO-003</w:t>
            </w:r>
          </w:p>
        </w:tc>
        <w:tc>
          <w:tcPr>
            <w:tcW w:type="dxa" w:w="3600"/>
            <w:tcMar>
              <w:top w:type="dxa" w:w="60"/>
              <w:left w:type="dxa" w:w="100"/>
              <w:bottom w:type="dxa" w:w="60"/>
              <w:right w:type="dxa" w:w="100"/>
            </w:tcMar>
          </w:tcPr>
          <w:p>
            <w:r>
              <w:rPr>
                <w:b w:val="false"/>
                <w:bCs w:val="false"/>
                <w:sz w:val="18"/>
                <w:szCs w:val="18"/>
              </w:rPr>
              <w:t xml:space="preserve">Riemann tensor R^ρ_{σμν}</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 (independent Ollivier-Ricci route exists instead)</w:t>
            </w:r>
          </w:p>
        </w:tc>
        <w:tc>
          <w:tcPr>
            <w:tcW w:type="dxa" w:w="2160"/>
            <w:tcMar>
              <w:top w:type="dxa" w:w="60"/>
              <w:left w:type="dxa" w:w="100"/>
              <w:bottom w:type="dxa" w:w="60"/>
              <w:right w:type="dxa" w:w="100"/>
            </w:tcMar>
          </w:tcPr>
          <w:p>
            <w:r>
              <w:rPr>
                <w:b w:val="false"/>
                <w:bCs w:val="false"/>
                <w:sz w:val="18"/>
                <w:szCs w:val="18"/>
              </w:rPr>
              <w:t xml:space="preserve">The compiler's only real curvature result (CL-OPERATOR-TO-CURVATURE-DISCRETE, CALCULATED) is discrete Ollivier-Ricci graph curvature — a genuinely different, weaker object, explicitly NOT a resolution of the Riemann-tensor route.</w:t>
            </w:r>
          </w:p>
        </w:tc>
      </w:tr>
      <w:tr>
        <w:tc>
          <w:tcPr>
            <w:tcW w:type="dxa" w:w="1400"/>
            <w:tcMar>
              <w:top w:type="dxa" w:w="60"/>
              <w:left w:type="dxa" w:w="100"/>
              <w:bottom w:type="dxa" w:w="60"/>
              <w:right w:type="dxa" w:w="100"/>
            </w:tcMar>
          </w:tcPr>
          <w:p>
            <w:r>
              <w:rPr>
                <w:b w:val="false"/>
                <w:bCs w:val="false"/>
                <w:sz w:val="18"/>
                <w:szCs w:val="18"/>
              </w:rPr>
              <w:t xml:space="preserve">DER-GEO-004</w:t>
            </w:r>
          </w:p>
        </w:tc>
        <w:tc>
          <w:tcPr>
            <w:tcW w:type="dxa" w:w="3600"/>
            <w:tcMar>
              <w:top w:type="dxa" w:w="60"/>
              <w:left w:type="dxa" w:w="100"/>
              <w:bottom w:type="dxa" w:w="60"/>
              <w:right w:type="dxa" w:w="100"/>
            </w:tcMar>
          </w:tcPr>
          <w:p>
            <w:r>
              <w:rPr>
                <w:b w:val="false"/>
                <w:bCs w:val="false"/>
                <w:sz w:val="18"/>
                <w:szCs w:val="18"/>
              </w:rPr>
              <w:t xml:space="preserve">Ricci tensor R_{μν}</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DER-GEO-005</w:t>
            </w:r>
          </w:p>
        </w:tc>
        <w:tc>
          <w:tcPr>
            <w:tcW w:type="dxa" w:w="3600"/>
            <w:tcMar>
              <w:top w:type="dxa" w:w="60"/>
              <w:left w:type="dxa" w:w="100"/>
              <w:bottom w:type="dxa" w:w="60"/>
              <w:right w:type="dxa" w:w="100"/>
            </w:tcMar>
          </w:tcPr>
          <w:p>
            <w:r>
              <w:rPr>
                <w:b w:val="false"/>
                <w:bCs w:val="false"/>
                <w:sz w:val="18"/>
                <w:szCs w:val="18"/>
              </w:rPr>
              <w:t xml:space="preserve">Ricci scalar R</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DER-GEO-006</w:t>
            </w:r>
          </w:p>
        </w:tc>
        <w:tc>
          <w:tcPr>
            <w:tcW w:type="dxa" w:w="3600"/>
            <w:tcMar>
              <w:top w:type="dxa" w:w="60"/>
              <w:left w:type="dxa" w:w="100"/>
              <w:bottom w:type="dxa" w:w="60"/>
              <w:right w:type="dxa" w:w="100"/>
            </w:tcMar>
          </w:tcPr>
          <w:p>
            <w:r>
              <w:rPr>
                <w:b w:val="false"/>
                <w:bCs w:val="false"/>
                <w:sz w:val="18"/>
                <w:szCs w:val="18"/>
              </w:rPr>
              <w:t xml:space="preserve">Einstein tensor G_{μν} (via contracted Bianchi identity)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Note: Combined Compiler Theories Whitepaper Part IV §7.4 independently reports a real, worked graph-spectral derivation of the VACUUM Einstein tensor via constraint-selection (Lovelock-style uniqueness) — genuinely closer to executable than this UCG summary suggests, and worth sourcing directly if this branch is implemented (see §7).</w:t>
            </w:r>
          </w:p>
        </w:tc>
      </w:tr>
    </w:tbl>
    <w:p>
      <w:pPr>
        <w:spacing w:after="200"/>
      </w:pPr>
    </w:p>
    <w:p>
      <w:pPr>
        <w:pStyle w:val="Heading2"/>
        <w:spacing w:after="120" w:before="240"/>
      </w:pPr>
      <w:r>
        <w:t xml:space="preserve">GAU — Gauge Recovery</w:t>
      </w:r>
    </w:p>
    <w:p>
      <w:pPr>
        <w:spacing w:after="200"/>
      </w:pPr>
      <w:r>
        <w:t xml:space="preserve">Claimed fully CERTIFIED. The compiler has a genuine, though structurally unrelated, point of contact: this session's Connes inner-fluctuation work (OMEGA_B-COUPLED-RECOVERY) computes a real, nonzero "gauge curvature" Ω_B''=D_A''²−D_F''² for a finite spectral-triple candidate — arrived at via noncommutative geometry, not via the documentation's graph-Laplacian-native gauge-connection construction. The two are not shown to be the same object.</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DER-GAU-001</w:t>
            </w:r>
          </w:p>
        </w:tc>
        <w:tc>
          <w:tcPr>
            <w:tcW w:type="dxa" w:w="3600"/>
            <w:tcMar>
              <w:top w:type="dxa" w:w="60"/>
              <w:left w:type="dxa" w:w="100"/>
              <w:bottom w:type="dxa" w:w="60"/>
              <w:right w:type="dxa" w:w="100"/>
            </w:tcMar>
          </w:tcPr>
          <w:p>
            <w:r>
              <w:rPr>
                <w:b w:val="false"/>
                <w:bCs w:val="false"/>
                <w:sz w:val="18"/>
                <w:szCs w:val="18"/>
              </w:rPr>
              <w:t xml:space="preserve">Gauge connection A_μ from L</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No compiler code recovers a gauge connection from the graph Laplacian directly.</w:t>
            </w:r>
          </w:p>
        </w:tc>
      </w:tr>
      <w:tr>
        <w:tc>
          <w:tcPr>
            <w:tcW w:type="dxa" w:w="1400"/>
            <w:tcMar>
              <w:top w:type="dxa" w:w="60"/>
              <w:left w:type="dxa" w:w="100"/>
              <w:bottom w:type="dxa" w:w="60"/>
              <w:right w:type="dxa" w:w="100"/>
            </w:tcMar>
          </w:tcPr>
          <w:p>
            <w:r>
              <w:rPr>
                <w:b w:val="false"/>
                <w:bCs w:val="false"/>
                <w:sz w:val="18"/>
                <w:szCs w:val="18"/>
              </w:rPr>
              <w:t xml:space="preserve">DER-GAU-002</w:t>
            </w:r>
          </w:p>
        </w:tc>
        <w:tc>
          <w:tcPr>
            <w:tcW w:type="dxa" w:w="3600"/>
            <w:tcMar>
              <w:top w:type="dxa" w:w="60"/>
              <w:left w:type="dxa" w:w="100"/>
              <w:bottom w:type="dxa" w:w="60"/>
              <w:right w:type="dxa" w:w="100"/>
            </w:tcMar>
          </w:tcPr>
          <w:p>
            <w:r>
              <w:rPr>
                <w:b w:val="false"/>
                <w:bCs w:val="false"/>
                <w:sz w:val="18"/>
                <w:szCs w:val="18"/>
              </w:rPr>
              <w:t xml:space="preserve">Field strength F_{μν}</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DER-GAU-003</w:t>
            </w:r>
          </w:p>
        </w:tc>
        <w:tc>
          <w:tcPr>
            <w:tcW w:type="dxa" w:w="3600"/>
            <w:tcMar>
              <w:top w:type="dxa" w:w="60"/>
              <w:left w:type="dxa" w:w="100"/>
              <w:bottom w:type="dxa" w:w="60"/>
              <w:right w:type="dxa" w:w="100"/>
            </w:tcMar>
          </w:tcPr>
          <w:p>
            <w:r>
              <w:rPr>
                <w:b w:val="false"/>
                <w:bCs w:val="false"/>
                <w:sz w:val="18"/>
                <w:szCs w:val="18"/>
              </w:rPr>
              <w:t xml:space="preserve">Covariant derivative D_μ</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DER-GAU-004</w:t>
            </w:r>
          </w:p>
        </w:tc>
        <w:tc>
          <w:tcPr>
            <w:tcW w:type="dxa" w:w="3600"/>
            <w:tcMar>
              <w:top w:type="dxa" w:w="60"/>
              <w:left w:type="dxa" w:w="100"/>
              <w:bottom w:type="dxa" w:w="60"/>
              <w:right w:type="dxa" w:w="100"/>
            </w:tcMar>
          </w:tcPr>
          <w:p>
            <w:r>
              <w:rPr>
                <w:b w:val="false"/>
                <w:bCs w:val="false"/>
                <w:sz w:val="18"/>
                <w:szCs w:val="18"/>
              </w:rPr>
              <w:t xml:space="preserve">Yang–Mills equations</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(cf. GM-005)</w:t>
            </w:r>
          </w:p>
        </w:tc>
        <w:tc>
          <w:tcPr>
            <w:tcW w:type="dxa" w:w="3600"/>
            <w:tcMar>
              <w:top w:type="dxa" w:w="60"/>
              <w:left w:type="dxa" w:w="100"/>
              <w:bottom w:type="dxa" w:w="60"/>
              <w:right w:type="dxa" w:w="100"/>
            </w:tcMar>
          </w:tcPr>
          <w:p>
            <w:r>
              <w:rPr>
                <w:b w:val="false"/>
                <w:bCs w:val="false"/>
                <w:sz w:val="18"/>
                <w:szCs w:val="18"/>
              </w:rPr>
              <w:t xml:space="preserve">Gauge-curvature-type object</w:t>
            </w:r>
          </w:p>
        </w:tc>
        <w:tc>
          <w:tcPr>
            <w:tcW w:type="dxa" w:w="1600"/>
            <w:tcMar>
              <w:top w:type="dxa" w:w="60"/>
              <w:left w:type="dxa" w:w="100"/>
              <w:bottom w:type="dxa" w:w="60"/>
              <w:right w:type="dxa" w:w="100"/>
            </w:tcMar>
          </w:tcPr>
          <w:p>
            <w:r>
              <w:rPr>
                <w:b w:val="false"/>
                <w:bCs w:val="false"/>
                <w:sz w:val="18"/>
                <w:szCs w:val="18"/>
              </w:rPr>
              <w:t xml:space="preserve">n/a</w:t>
            </w:r>
          </w:p>
        </w:tc>
        <w:tc>
          <w:tcPr>
            <w:tcW w:type="dxa" w:w="1600"/>
            <w:tcMar>
              <w:top w:type="dxa" w:w="60"/>
              <w:left w:type="dxa" w:w="100"/>
              <w:bottom w:type="dxa" w:w="60"/>
              <w:right w:type="dxa" w:w="100"/>
            </w:tcMar>
          </w:tcPr>
          <w:p>
            <w:r>
              <w:rPr>
                <w:b w:val="false"/>
                <w:bCs w:val="false"/>
                <w:sz w:val="18"/>
                <w:szCs w:val="18"/>
              </w:rPr>
              <w:t xml:space="preserve">VERIFIED (OMEGA_B-COUPLED-RECOVERY, this session)</w:t>
            </w:r>
          </w:p>
        </w:tc>
        <w:tc>
          <w:tcPr>
            <w:tcW w:type="dxa" w:w="2160"/>
            <w:tcMar>
              <w:top w:type="dxa" w:w="60"/>
              <w:left w:type="dxa" w:w="100"/>
              <w:bottom w:type="dxa" w:w="60"/>
              <w:right w:type="dxa" w:w="100"/>
            </w:tcMar>
          </w:tcPr>
          <w:p>
            <w:r>
              <w:rPr>
                <w:b w:val="false"/>
                <w:bCs w:val="false"/>
                <w:sz w:val="18"/>
                <w:szCs w:val="18"/>
              </w:rPr>
              <w:t xml:space="preserve">A real, nonzero inner-fluctuation curvature exists in the compiler — via Connes NCG, single generator, finite candidate — not the DER-GAU route and not claimed as equivalent to it.</w:t>
            </w:r>
          </w:p>
        </w:tc>
      </w:tr>
    </w:tbl>
    <w:p>
      <w:pPr>
        <w:spacing w:after="200"/>
      </w:pPr>
    </w:p>
    <w:p>
      <w:pPr>
        <w:pStyle w:val="Heading2"/>
        <w:spacing w:after="120" w:before="240"/>
      </w:pPr>
      <w:r>
        <w:t xml:space="preserve">QR — Quantum Recovery</w:t>
      </w:r>
    </w:p>
    <w:p>
      <w:pPr>
        <w:spacing w:after="200"/>
      </w:pPr>
      <w:r>
        <w:t xml:space="preserve">Claimed fully CERTIFIED for all 8 entries (Hilbert space, Schrödinger equation, Heisenberg equation, uncertainty relation, Clifford algebra, Dirac operator, spin recovery, magnetic moment). The compiler's actual coverage is two narrow, finite, discrete analogues from the finite-spectral-triple work — genuinely real but far short of "CERTIFIED" quantum mechanics.</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DER-QR-001</w:t>
            </w:r>
          </w:p>
        </w:tc>
        <w:tc>
          <w:tcPr>
            <w:tcW w:type="dxa" w:w="3600"/>
            <w:tcMar>
              <w:top w:type="dxa" w:w="60"/>
              <w:left w:type="dxa" w:w="100"/>
              <w:bottom w:type="dxa" w:w="60"/>
              <w:right w:type="dxa" w:w="100"/>
            </w:tcMar>
          </w:tcPr>
          <w:p>
            <w:r>
              <w:rPr>
                <w:b w:val="false"/>
                <w:bCs w:val="false"/>
                <w:sz w:val="18"/>
                <w:szCs w:val="18"/>
              </w:rPr>
              <w:t xml:space="preserve">Hilbert space H from Spec(L)</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PROPOSED (DOUBLED-HILBERT-SPACE-H_F-PRIME)</w:t>
            </w:r>
          </w:p>
        </w:tc>
        <w:tc>
          <w:tcPr>
            <w:tcW w:type="dxa" w:w="2160"/>
            <w:tcMar>
              <w:top w:type="dxa" w:w="60"/>
              <w:left w:type="dxa" w:w="100"/>
              <w:bottom w:type="dxa" w:w="60"/>
              <w:right w:type="dxa" w:w="100"/>
            </w:tcMar>
          </w:tcPr>
          <w:p>
            <w:r>
              <w:rPr>
                <w:b w:val="false"/>
                <w:bCs w:val="false"/>
                <w:sz w:val="18"/>
                <w:szCs w:val="18"/>
              </w:rPr>
              <w:t xml:space="preserve">Compiler: a FINITE-dimensional Hilbert space for one specific candidate spectral triple, not a general recovery from Spec(L).</w:t>
            </w:r>
          </w:p>
        </w:tc>
      </w:tr>
      <w:tr>
        <w:tc>
          <w:tcPr>
            <w:tcW w:type="dxa" w:w="1400"/>
            <w:tcMar>
              <w:top w:type="dxa" w:w="60"/>
              <w:left w:type="dxa" w:w="100"/>
              <w:bottom w:type="dxa" w:w="60"/>
              <w:right w:type="dxa" w:w="100"/>
            </w:tcMar>
          </w:tcPr>
          <w:p>
            <w:r>
              <w:rPr>
                <w:b w:val="false"/>
                <w:bCs w:val="false"/>
                <w:sz w:val="18"/>
                <w:szCs w:val="18"/>
              </w:rPr>
              <w:t xml:space="preserve">DER-QR-002</w:t>
            </w:r>
          </w:p>
        </w:tc>
        <w:tc>
          <w:tcPr>
            <w:tcW w:type="dxa" w:w="3600"/>
            <w:tcMar>
              <w:top w:type="dxa" w:w="60"/>
              <w:left w:type="dxa" w:w="100"/>
              <w:bottom w:type="dxa" w:w="60"/>
              <w:right w:type="dxa" w:w="100"/>
            </w:tcMar>
          </w:tcPr>
          <w:p>
            <w:r>
              <w:rPr>
                <w:b w:val="false"/>
                <w:bCs w:val="false"/>
                <w:sz w:val="18"/>
                <w:szCs w:val="18"/>
              </w:rPr>
              <w:t xml:space="preserve">Schrödinger equation</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No compiler code derives or evaluates a Schrödinger equation.</w:t>
            </w:r>
          </w:p>
        </w:tc>
      </w:tr>
      <w:tr>
        <w:tc>
          <w:tcPr>
            <w:tcW w:type="dxa" w:w="1400"/>
            <w:tcMar>
              <w:top w:type="dxa" w:w="60"/>
              <w:left w:type="dxa" w:w="100"/>
              <w:bottom w:type="dxa" w:w="60"/>
              <w:right w:type="dxa" w:w="100"/>
            </w:tcMar>
          </w:tcPr>
          <w:p>
            <w:r>
              <w:rPr>
                <w:b w:val="false"/>
                <w:bCs w:val="false"/>
                <w:sz w:val="18"/>
                <w:szCs w:val="18"/>
              </w:rPr>
              <w:t xml:space="preserve">DER-QR-003</w:t>
            </w:r>
          </w:p>
        </w:tc>
        <w:tc>
          <w:tcPr>
            <w:tcW w:type="dxa" w:w="3600"/>
            <w:tcMar>
              <w:top w:type="dxa" w:w="60"/>
              <w:left w:type="dxa" w:w="100"/>
              <w:bottom w:type="dxa" w:w="60"/>
              <w:right w:type="dxa" w:w="100"/>
            </w:tcMar>
          </w:tcPr>
          <w:p>
            <w:r>
              <w:rPr>
                <w:b w:val="false"/>
                <w:bCs w:val="false"/>
                <w:sz w:val="18"/>
                <w:szCs w:val="18"/>
              </w:rPr>
              <w:t xml:space="preserve">Heisenberg equation</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DER-QR-004</w:t>
            </w:r>
          </w:p>
        </w:tc>
        <w:tc>
          <w:tcPr>
            <w:tcW w:type="dxa" w:w="3600"/>
            <w:tcMar>
              <w:top w:type="dxa" w:w="60"/>
              <w:left w:type="dxa" w:w="100"/>
              <w:bottom w:type="dxa" w:w="60"/>
              <w:right w:type="dxa" w:w="100"/>
            </w:tcMar>
          </w:tcPr>
          <w:p>
            <w:r>
              <w:rPr>
                <w:b w:val="false"/>
                <w:bCs w:val="false"/>
                <w:sz w:val="18"/>
                <w:szCs w:val="18"/>
              </w:rPr>
              <w:t xml:space="preserve">Uncertainty relation</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DER-QR-005</w:t>
            </w:r>
          </w:p>
        </w:tc>
        <w:tc>
          <w:tcPr>
            <w:tcW w:type="dxa" w:w="3600"/>
            <w:tcMar>
              <w:top w:type="dxa" w:w="60"/>
              <w:left w:type="dxa" w:w="100"/>
              <w:bottom w:type="dxa" w:w="60"/>
              <w:right w:type="dxa" w:w="100"/>
            </w:tcMar>
          </w:tcPr>
          <w:p>
            <w:r>
              <w:rPr>
                <w:b w:val="false"/>
                <w:bCs w:val="false"/>
                <w:sz w:val="18"/>
                <w:szCs w:val="18"/>
              </w:rPr>
              <w:t xml:space="preserve">Clifford algebra</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 (used implicitly, not registered)</w:t>
            </w:r>
          </w:p>
        </w:tc>
        <w:tc>
          <w:tcPr>
            <w:tcW w:type="dxa" w:w="2160"/>
            <w:tcMar>
              <w:top w:type="dxa" w:w="60"/>
              <w:left w:type="dxa" w:w="100"/>
              <w:bottom w:type="dxa" w:w="60"/>
              <w:right w:type="dxa" w:w="100"/>
            </w:tcMar>
          </w:tcPr>
          <w:p>
            <w:r>
              <w:rPr>
                <w:b w:val="false"/>
                <w:bCs w:val="false"/>
                <w:sz w:val="18"/>
                <w:szCs w:val="18"/>
              </w:rPr>
              <w:t xml:space="preserve">The finite spectral-triple work uses gamma-matrix-like gradings (e.g. γ_F=diag(I,−I)) without registering a general Clifford-algebra recovery object.</w:t>
            </w:r>
          </w:p>
        </w:tc>
      </w:tr>
      <w:tr>
        <w:tc>
          <w:tcPr>
            <w:tcW w:type="dxa" w:w="1400"/>
            <w:tcMar>
              <w:top w:type="dxa" w:w="60"/>
              <w:left w:type="dxa" w:w="100"/>
              <w:bottom w:type="dxa" w:w="60"/>
              <w:right w:type="dxa" w:w="100"/>
            </w:tcMar>
          </w:tcPr>
          <w:p>
            <w:r>
              <w:rPr>
                <w:b w:val="false"/>
                <w:bCs w:val="false"/>
                <w:sz w:val="18"/>
                <w:szCs w:val="18"/>
              </w:rPr>
              <w:t xml:space="preserve">DER-QR-006</w:t>
            </w:r>
          </w:p>
        </w:tc>
        <w:tc>
          <w:tcPr>
            <w:tcW w:type="dxa" w:w="3600"/>
            <w:tcMar>
              <w:top w:type="dxa" w:w="60"/>
              <w:left w:type="dxa" w:w="100"/>
              <w:bottom w:type="dxa" w:w="60"/>
              <w:right w:type="dxa" w:w="100"/>
            </w:tcMar>
          </w:tcPr>
          <w:p>
            <w:r>
              <w:rPr>
                <w:b w:val="false"/>
                <w:bCs w:val="false"/>
                <w:sz w:val="18"/>
                <w:szCs w:val="18"/>
              </w:rPr>
              <w:t xml:space="preserve">Dirac operator D=√L</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CALCULATED (FINITE-DIRAC-D_B)</w:t>
            </w:r>
          </w:p>
        </w:tc>
        <w:tc>
          <w:tcPr>
            <w:tcW w:type="dxa" w:w="2160"/>
            <w:tcMar>
              <w:top w:type="dxa" w:w="60"/>
              <w:left w:type="dxa" w:w="100"/>
              <w:bottom w:type="dxa" w:w="60"/>
              <w:right w:type="dxa" w:w="100"/>
            </w:tcMar>
          </w:tcPr>
          <w:p>
            <w:r>
              <w:rPr>
                <w:b w:val="false"/>
                <w:bCs w:val="false"/>
                <w:sz w:val="18"/>
                <w:szCs w:val="18"/>
              </w:rPr>
              <w:t xml:space="preserve">Compiler: a FINITE, discrete, graph-based Dirac-TYPE operator (self-adjoint, grading-anticommuting) for one graph, not the general D=√L construction; the compiler's own H2 investigation separately FALSIFIED D_+=√L's locality, which the documentation's DER-QR-006 does not address.</w:t>
            </w:r>
          </w:p>
        </w:tc>
      </w:tr>
      <w:tr>
        <w:tc>
          <w:tcPr>
            <w:tcW w:type="dxa" w:w="1400"/>
            <w:tcMar>
              <w:top w:type="dxa" w:w="60"/>
              <w:left w:type="dxa" w:w="100"/>
              <w:bottom w:type="dxa" w:w="60"/>
              <w:right w:type="dxa" w:w="100"/>
            </w:tcMar>
          </w:tcPr>
          <w:p>
            <w:r>
              <w:rPr>
                <w:b w:val="false"/>
                <w:bCs w:val="false"/>
                <w:sz w:val="18"/>
                <w:szCs w:val="18"/>
              </w:rPr>
              <w:t xml:space="preserve">DER-QR-007</w:t>
            </w:r>
          </w:p>
        </w:tc>
        <w:tc>
          <w:tcPr>
            <w:tcW w:type="dxa" w:w="3600"/>
            <w:tcMar>
              <w:top w:type="dxa" w:w="60"/>
              <w:left w:type="dxa" w:w="100"/>
              <w:bottom w:type="dxa" w:w="60"/>
              <w:right w:type="dxa" w:w="100"/>
            </w:tcMar>
          </w:tcPr>
          <w:p>
            <w:r>
              <w:rPr>
                <w:b w:val="false"/>
                <w:bCs w:val="false"/>
                <w:sz w:val="18"/>
                <w:szCs w:val="18"/>
              </w:rPr>
              <w:t xml:space="preserve">Spin recovery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DER-QR-008</w:t>
            </w:r>
          </w:p>
        </w:tc>
        <w:tc>
          <w:tcPr>
            <w:tcW w:type="dxa" w:w="3600"/>
            <w:tcMar>
              <w:top w:type="dxa" w:w="60"/>
              <w:left w:type="dxa" w:w="100"/>
              <w:bottom w:type="dxa" w:w="60"/>
              <w:right w:type="dxa" w:w="100"/>
            </w:tcMar>
          </w:tcPr>
          <w:p>
            <w:r>
              <w:rPr>
                <w:b w:val="false"/>
                <w:bCs w:val="false"/>
                <w:sz w:val="18"/>
                <w:szCs w:val="18"/>
              </w:rPr>
              <w:t xml:space="preserve">Magnetic moment</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bl>
    <w:p>
      <w:pPr>
        <w:spacing w:after="200"/>
      </w:pPr>
    </w:p>
    <w:p>
      <w:pPr>
        <w:pStyle w:val="Heading2"/>
        <w:spacing w:after="120" w:before="240"/>
      </w:pPr>
      <w:r>
        <w:t xml:space="preserve">TRC — Thermodynamic Recovery</w:t>
      </w:r>
    </w:p>
    <w:p>
      <w:pPr>
        <w:spacing w:after="200"/>
      </w:pPr>
      <w:r>
        <w:t xml:space="preserve">Claimed CERTIFIED for 5 of 6 entries (Π_O, TRC-006, OPEN in the source too). The compiler has a single OPEN placeholder object and nothing computed.</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DER-TRC-001</w:t>
            </w:r>
          </w:p>
        </w:tc>
        <w:tc>
          <w:tcPr>
            <w:tcW w:type="dxa" w:w="3600"/>
            <w:tcMar>
              <w:top w:type="dxa" w:w="60"/>
              <w:left w:type="dxa" w:w="100"/>
              <w:bottom w:type="dxa" w:w="60"/>
              <w:right w:type="dxa" w:w="100"/>
            </w:tcMar>
          </w:tcPr>
          <w:p>
            <w:r>
              <w:rPr>
                <w:b w:val="false"/>
                <w:bCs w:val="false"/>
                <w:sz w:val="18"/>
                <w:szCs w:val="18"/>
              </w:rPr>
              <w:t xml:space="preserve">Internal energy (first law)</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OPEN (THERMODYNAMICS-NODE)</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DER-TRC-002</w:t>
            </w:r>
          </w:p>
        </w:tc>
        <w:tc>
          <w:tcPr>
            <w:tcW w:type="dxa" w:w="3600"/>
            <w:tcMar>
              <w:top w:type="dxa" w:w="60"/>
              <w:left w:type="dxa" w:w="100"/>
              <w:bottom w:type="dxa" w:w="60"/>
              <w:right w:type="dxa" w:w="100"/>
            </w:tcMar>
          </w:tcPr>
          <w:p>
            <w:r>
              <w:rPr>
                <w:b w:val="false"/>
                <w:bCs w:val="false"/>
                <w:sz w:val="18"/>
                <w:szCs w:val="18"/>
              </w:rPr>
              <w:t xml:space="preserve">Entropy S=k_B ln W</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DER-TRC-003</w:t>
            </w:r>
          </w:p>
        </w:tc>
        <w:tc>
          <w:tcPr>
            <w:tcW w:type="dxa" w:w="3600"/>
            <w:tcMar>
              <w:top w:type="dxa" w:w="60"/>
              <w:left w:type="dxa" w:w="100"/>
              <w:bottom w:type="dxa" w:w="60"/>
              <w:right w:type="dxa" w:w="100"/>
            </w:tcMar>
          </w:tcPr>
          <w:p>
            <w:r>
              <w:rPr>
                <w:b w:val="false"/>
                <w:bCs w:val="false"/>
                <w:sz w:val="18"/>
                <w:szCs w:val="18"/>
              </w:rPr>
              <w:t xml:space="preserve">Entropy flux J_s=J_q/T</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DER-TRC-004</w:t>
            </w:r>
          </w:p>
        </w:tc>
        <w:tc>
          <w:tcPr>
            <w:tcW w:type="dxa" w:w="3600"/>
            <w:tcMar>
              <w:top w:type="dxa" w:w="60"/>
              <w:left w:type="dxa" w:w="100"/>
              <w:bottom w:type="dxa" w:w="60"/>
              <w:right w:type="dxa" w:w="100"/>
            </w:tcMar>
          </w:tcPr>
          <w:p>
            <w:r>
              <w:rPr>
                <w:b w:val="false"/>
                <w:bCs w:val="false"/>
                <w:sz w:val="18"/>
                <w:szCs w:val="18"/>
              </w:rPr>
              <w:t xml:space="preserve">Clausius–Duhem inequality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DER-TRC-005</w:t>
            </w:r>
          </w:p>
        </w:tc>
        <w:tc>
          <w:tcPr>
            <w:tcW w:type="dxa" w:w="3600"/>
            <w:tcMar>
              <w:top w:type="dxa" w:w="60"/>
              <w:left w:type="dxa" w:w="100"/>
              <w:bottom w:type="dxa" w:w="60"/>
              <w:right w:type="dxa" w:w="100"/>
            </w:tcMar>
          </w:tcPr>
          <w:p>
            <w:r>
              <w:rPr>
                <w:b w:val="false"/>
                <w:bCs w:val="false"/>
                <w:sz w:val="18"/>
                <w:szCs w:val="18"/>
              </w:rPr>
              <w:t xml:space="preserve">Fourier heat flux J_q=−κ∇T</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DER-TRC-006</w:t>
            </w:r>
          </w:p>
        </w:tc>
        <w:tc>
          <w:tcPr>
            <w:tcW w:type="dxa" w:w="3600"/>
            <w:tcMar>
              <w:top w:type="dxa" w:w="60"/>
              <w:left w:type="dxa" w:w="100"/>
              <w:bottom w:type="dxa" w:w="60"/>
              <w:right w:type="dxa" w:w="100"/>
            </w:tcMar>
          </w:tcPr>
          <w:p>
            <w:r>
              <w:rPr>
                <w:b w:val="false"/>
                <w:bCs w:val="false"/>
                <w:sz w:val="18"/>
                <w:szCs w:val="18"/>
              </w:rPr>
              <w:t xml:space="preserve">Π_O / Π₀ persistence functional</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open status — but see §7: δ_spec (the spectral-gap component of Π₀=(δ_spec−λ_c)/σ per the UPG Canonical Reference) is ALREADY computable today from the compiler's own real spectrum data, making this the single most tractable concrete next step in the entire crosswalk.</w:t>
            </w:r>
          </w:p>
        </w:tc>
      </w:tr>
    </w:tbl>
    <w:p>
      <w:pPr>
        <w:spacing w:after="200"/>
      </w:pPr>
    </w:p>
    <w:p>
      <w:pPr>
        <w:pStyle w:val="Heading2"/>
        <w:spacing w:after="120" w:before="240"/>
      </w:pPr>
      <w:r>
        <w:t xml:space="preserve">CMRC — Conformal Mathematics Recovery Core (string theory, 19 entries)</w:t>
      </w:r>
    </w:p>
    <w:p>
      <w:pPr>
        <w:spacing w:after="200"/>
      </w:pPr>
      <w:r>
        <w:t xml:space="preserve">Claimed fully CERTIFIED with a complete worked derivation in the Combined Compiler Theories Whitepaper (embedding field → Nambu-Goto → Polyakov action → Virasoro constraints → central charge → critical dimension D=26, with three explicit certification refinements: bosonic specificity, flat-background assumption, and Einstein equations as a downstream β=0 consequence rather than a direct one). There is no string-theory branch anywhere in the compiler's protocol taxonomy or registries at all — not FAIL, not OPEN, simply absent as a category.</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CMRC-001..019</w:t>
            </w:r>
          </w:p>
        </w:tc>
        <w:tc>
          <w:tcPr>
            <w:tcW w:type="dxa" w:w="3600"/>
            <w:tcMar>
              <w:top w:type="dxa" w:w="60"/>
              <w:left w:type="dxa" w:w="100"/>
              <w:bottom w:type="dxa" w:w="60"/>
              <w:right w:type="dxa" w:w="100"/>
            </w:tcMar>
          </w:tcPr>
          <w:p>
            <w:r>
              <w:rPr>
                <w:b w:val="false"/>
                <w:bCs w:val="false"/>
                <w:sz w:val="18"/>
                <w:szCs w:val="18"/>
              </w:rPr>
              <w:t xml:space="preserve">Embedding field → Polyakov action → Virasoro algebra → critical dimension D=26 (bosonic)</w:t>
            </w:r>
          </w:p>
        </w:tc>
        <w:tc>
          <w:tcPr>
            <w:tcW w:type="dxa" w:w="1600"/>
            <w:tcMar>
              <w:top w:type="dxa" w:w="60"/>
              <w:left w:type="dxa" w:w="100"/>
              <w:bottom w:type="dxa" w:w="60"/>
              <w:right w:type="dxa" w:w="100"/>
            </w:tcMar>
          </w:tcPr>
          <w:p>
            <w:r>
              <w:rPr>
                <w:b w:val="false"/>
                <w:bCs w:val="false"/>
                <w:sz w:val="18"/>
                <w:szCs w:val="18"/>
              </w:rPr>
              <w:t xml:space="preserve">CERTIFIED (with 3 stated refinements)</w:t>
            </w:r>
          </w:p>
        </w:tc>
        <w:tc>
          <w:tcPr>
            <w:tcW w:type="dxa" w:w="1600"/>
            <w:tcMar>
              <w:top w:type="dxa" w:w="60"/>
              <w:left w:type="dxa" w:w="100"/>
              <w:bottom w:type="dxa" w:w="60"/>
              <w:right w:type="dxa" w:w="100"/>
            </w:tcMar>
          </w:tcPr>
          <w:p>
            <w:r>
              <w:rPr>
                <w:b w:val="false"/>
                <w:bCs w:val="false"/>
                <w:sz w:val="18"/>
                <w:szCs w:val="18"/>
              </w:rPr>
              <w:t xml:space="preserve">ABSENT FROM TAXONOMY</w:t>
            </w:r>
          </w:p>
        </w:tc>
        <w:tc>
          <w:tcPr>
            <w:tcW w:type="dxa" w:w="2160"/>
            <w:tcMar>
              <w:top w:type="dxa" w:w="60"/>
              <w:left w:type="dxa" w:w="100"/>
              <w:bottom w:type="dxa" w:w="60"/>
              <w:right w:type="dxa" w:w="100"/>
            </w:tcMar>
          </w:tcPr>
          <w:p>
            <w:r>
              <w:rPr>
                <w:b w:val="false"/>
                <w:bCs w:val="false"/>
                <w:sz w:val="18"/>
                <w:szCs w:val="18"/>
              </w:rPr>
              <w:t xml:space="preserve">No corresponding layer exists in the compiler's protocol_taxonomy.py at all; recommend adding one only if the user wants full DER-canon coverage (see §7).</w:t>
            </w:r>
          </w:p>
        </w:tc>
      </w:tr>
    </w:tbl>
    <w:p>
      <w:pPr>
        <w:spacing w:after="200"/>
      </w:pPr>
    </w:p>
    <w:p>
      <w:pPr>
        <w:pStyle w:val="Heading2"/>
        <w:spacing w:after="120" w:before="240"/>
      </w:pPr>
      <w:r>
        <w:t xml:space="preserve">VAL — MDCL Cross-Domain Validation (5 entries)</w:t>
      </w:r>
    </w:p>
    <w:p>
      <w:pPr>
        <w:spacing w:after="200"/>
      </w:pPr>
      <w:r>
        <w:t xml:space="preserve">String theory (=CMRC), Maxwell electrodynamics, GR matter coupling, quantum mechanics (canonical quantization, with the Groenewold–Van Hove obstruction explicitly recorded as a limitation), and Hamiltonian mechanics (symplectic geometry) — all CERTIFIED per the source, with real worked derivations for VAL-001/004/005 and summary-only status for VAL-002/003.</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VAL-001</w:t>
            </w:r>
          </w:p>
        </w:tc>
        <w:tc>
          <w:tcPr>
            <w:tcW w:type="dxa" w:w="3600"/>
            <w:tcMar>
              <w:top w:type="dxa" w:w="60"/>
              <w:left w:type="dxa" w:w="100"/>
              <w:bottom w:type="dxa" w:w="60"/>
              <w:right w:type="dxa" w:w="100"/>
            </w:tcMar>
          </w:tcPr>
          <w:p>
            <w:r>
              <w:rPr>
                <w:b w:val="false"/>
                <w:bCs w:val="false"/>
                <w:sz w:val="18"/>
                <w:szCs w:val="18"/>
              </w:rPr>
              <w:t xml:space="preserve">Classical &amp; quantum string theory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ABSENT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VAL-002</w:t>
            </w:r>
          </w:p>
        </w:tc>
        <w:tc>
          <w:tcPr>
            <w:tcW w:type="dxa" w:w="3600"/>
            <w:tcMar>
              <w:top w:type="dxa" w:w="60"/>
              <w:left w:type="dxa" w:w="100"/>
              <w:bottom w:type="dxa" w:w="60"/>
              <w:right w:type="dxa" w:w="100"/>
            </w:tcMar>
          </w:tcPr>
          <w:p>
            <w:r>
              <w:rPr>
                <w:b w:val="false"/>
                <w:bCs w:val="false"/>
                <w:sz w:val="18"/>
                <w:szCs w:val="18"/>
              </w:rPr>
              <w:t xml:space="preserve">Maxwell electrodynamics</w:t>
            </w:r>
          </w:p>
        </w:tc>
        <w:tc>
          <w:tcPr>
            <w:tcW w:type="dxa" w:w="1600"/>
            <w:tcMar>
              <w:top w:type="dxa" w:w="60"/>
              <w:left w:type="dxa" w:w="100"/>
              <w:bottom w:type="dxa" w:w="60"/>
              <w:right w:type="dxa" w:w="100"/>
            </w:tcMar>
          </w:tcPr>
          <w:p>
            <w:r>
              <w:rPr>
                <w:b w:val="false"/>
                <w:bCs w:val="false"/>
                <w:sz w:val="18"/>
                <w:szCs w:val="18"/>
              </w:rPr>
              <w:t xml:space="preserve">CERTIFIED (summary only)</w:t>
            </w:r>
          </w:p>
        </w:tc>
        <w:tc>
          <w:tcPr>
            <w:tcW w:type="dxa" w:w="1600"/>
            <w:tcMar>
              <w:top w:type="dxa" w:w="60"/>
              <w:left w:type="dxa" w:w="100"/>
              <w:bottom w:type="dxa" w:w="60"/>
              <w:right w:type="dxa" w:w="100"/>
            </w:tcMar>
          </w:tcPr>
          <w:p>
            <w:r>
              <w:rPr>
                <w:b w:val="false"/>
                <w:bCs w:val="false"/>
                <w:sz w:val="18"/>
                <w:szCs w:val="18"/>
              </w:rPr>
              <w:t xml:space="preserve">ABSENT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VAL-003</w:t>
            </w:r>
          </w:p>
        </w:tc>
        <w:tc>
          <w:tcPr>
            <w:tcW w:type="dxa" w:w="3600"/>
            <w:tcMar>
              <w:top w:type="dxa" w:w="60"/>
              <w:left w:type="dxa" w:w="100"/>
              <w:bottom w:type="dxa" w:w="60"/>
              <w:right w:type="dxa" w:w="100"/>
            </w:tcMar>
          </w:tcPr>
          <w:p>
            <w:r>
              <w:rPr>
                <w:b w:val="false"/>
                <w:bCs w:val="false"/>
                <w:sz w:val="18"/>
                <w:szCs w:val="18"/>
              </w:rPr>
              <w:t xml:space="preserve">GR matter coupling</w:t>
            </w:r>
          </w:p>
        </w:tc>
        <w:tc>
          <w:tcPr>
            <w:tcW w:type="dxa" w:w="1600"/>
            <w:tcMar>
              <w:top w:type="dxa" w:w="60"/>
              <w:left w:type="dxa" w:w="100"/>
              <w:bottom w:type="dxa" w:w="60"/>
              <w:right w:type="dxa" w:w="100"/>
            </w:tcMar>
          </w:tcPr>
          <w:p>
            <w:r>
              <w:rPr>
                <w:b w:val="false"/>
                <w:bCs w:val="false"/>
                <w:sz w:val="18"/>
                <w:szCs w:val="18"/>
              </w:rPr>
              <w:t xml:space="preserve">CERTIFIED (summary only)</w:t>
            </w:r>
          </w:p>
        </w:tc>
        <w:tc>
          <w:tcPr>
            <w:tcW w:type="dxa" w:w="1600"/>
            <w:tcMar>
              <w:top w:type="dxa" w:w="60"/>
              <w:left w:type="dxa" w:w="100"/>
              <w:bottom w:type="dxa" w:w="60"/>
              <w:right w:type="dxa" w:w="100"/>
            </w:tcMar>
          </w:tcPr>
          <w:p>
            <w:r>
              <w:rPr>
                <w:b w:val="false"/>
                <w:bCs w:val="false"/>
                <w:sz w:val="18"/>
                <w:szCs w:val="18"/>
              </w:rPr>
              <w:t xml:space="preserve">ABSENT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VAL-004</w:t>
            </w:r>
          </w:p>
        </w:tc>
        <w:tc>
          <w:tcPr>
            <w:tcW w:type="dxa" w:w="3600"/>
            <w:tcMar>
              <w:top w:type="dxa" w:w="60"/>
              <w:left w:type="dxa" w:w="100"/>
              <w:bottom w:type="dxa" w:w="60"/>
              <w:right w:type="dxa" w:w="100"/>
            </w:tcMar>
          </w:tcPr>
          <w:p>
            <w:r>
              <w:rPr>
                <w:b w:val="false"/>
                <w:bCs w:val="false"/>
                <w:sz w:val="18"/>
                <w:szCs w:val="18"/>
              </w:rPr>
              <w:t xml:space="preserve">Quantum mechanics (canonical quantization)</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ABSENT</w:t>
            </w:r>
          </w:p>
        </w:tc>
        <w:tc>
          <w:tcPr>
            <w:tcW w:type="dxa" w:w="2160"/>
            <w:tcMar>
              <w:top w:type="dxa" w:w="60"/>
              <w:left w:type="dxa" w:w="100"/>
              <w:bottom w:type="dxa" w:w="60"/>
              <w:right w:type="dxa" w:w="100"/>
            </w:tcMar>
          </w:tcPr>
          <w:p>
            <w:r>
              <w:rPr>
                <w:b w:val="false"/>
                <w:bCs w:val="false"/>
                <w:sz w:val="18"/>
                <w:szCs w:val="18"/>
              </w:rPr>
              <w:t xml:space="preserve">Source itself flags the Groenewold–Van Hove obstruction as a real limitation — a good discipline example the compiler should match if this branch is ever implemented.</w:t>
            </w:r>
          </w:p>
        </w:tc>
      </w:tr>
      <w:tr>
        <w:tc>
          <w:tcPr>
            <w:tcW w:type="dxa" w:w="1400"/>
            <w:tcMar>
              <w:top w:type="dxa" w:w="60"/>
              <w:left w:type="dxa" w:w="100"/>
              <w:bottom w:type="dxa" w:w="60"/>
              <w:right w:type="dxa" w:w="100"/>
            </w:tcMar>
          </w:tcPr>
          <w:p>
            <w:r>
              <w:rPr>
                <w:b w:val="false"/>
                <w:bCs w:val="false"/>
                <w:sz w:val="18"/>
                <w:szCs w:val="18"/>
              </w:rPr>
              <w:t xml:space="preserve">VAL-005</w:t>
            </w:r>
          </w:p>
        </w:tc>
        <w:tc>
          <w:tcPr>
            <w:tcW w:type="dxa" w:w="3600"/>
            <w:tcMar>
              <w:top w:type="dxa" w:w="60"/>
              <w:left w:type="dxa" w:w="100"/>
              <w:bottom w:type="dxa" w:w="60"/>
              <w:right w:type="dxa" w:w="100"/>
            </w:tcMar>
          </w:tcPr>
          <w:p>
            <w:r>
              <w:rPr>
                <w:b w:val="false"/>
                <w:bCs w:val="false"/>
                <w:sz w:val="18"/>
                <w:szCs w:val="18"/>
              </w:rPr>
              <w:t xml:space="preserve">Hamiltonian mechanics (symplectic geometry)</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ABSENT</w:t>
            </w:r>
          </w:p>
        </w:tc>
        <w:tc>
          <w:tcPr>
            <w:tcW w:type="dxa" w:w="2160"/>
            <w:tcMar>
              <w:top w:type="dxa" w:w="60"/>
              <w:left w:type="dxa" w:w="100"/>
              <w:bottom w:type="dxa" w:w="60"/>
              <w:right w:type="dxa" w:w="100"/>
            </w:tcMar>
          </w:tcPr>
          <w:p>
            <w:r>
              <w:rPr>
                <w:b w:val="false"/>
                <w:bCs w:val="false"/>
                <w:sz w:val="18"/>
                <w:szCs w:val="18"/>
              </w:rPr>
              <w:t xml:space="preserve">—</w:t>
            </w:r>
          </w:p>
        </w:tc>
      </w:tr>
    </w:tbl>
    <w:p>
      <w:pPr>
        <w:spacing w:after="200"/>
      </w:pPr>
    </w:p>
    <w:p>
      <w:pPr>
        <w:pStyle w:val="Heading2"/>
        <w:spacing w:after="120" w:before="240"/>
      </w:pPr>
      <w:r>
        <w:t xml:space="preserve">ARBS — Abelian Recursive Bipartite Shell Graph Specification</w:t>
      </w:r>
    </w:p>
    <w:p>
      <w:pPr>
        <w:spacing w:after="200"/>
      </w:pPr>
      <w:r>
        <w:t xml:space="preserve">The structural apparatus underlying the entire canon's graph substrate: bipartite vertex partition (Bipartite Reciprocity Lock), shell-nilpotent directed transport (Shell Nilpotency Lock), typed hyperedges, an 8-layer shell index k=0..7, and two terminal certified objects G* (certified graph object) and M* (certified metric object). RF-001..005 (Universal Recovery Functor) and RK-001..003 (Realization Kernel Classification) are CERTIFIED; AU-001/AU-002 (substrate uniqueness) are explicitly OPEN. The compiler's actual registry model (Object/Transformation/Equation, flat, untyped-edge) implements NONE of this structure.</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1400"/>
        <w:gridCol w:w="3600"/>
        <w:gridCol w:w="1600"/>
        <w:gridCol w:w="1600"/>
        <w:gridCol w:w="2160"/>
      </w:tblGrid>
      <w:tr>
        <w:trPr>
          <w:tblHeader/>
        </w:trPr>
        <w:tc>
          <w:tcPr>
            <w:tcW w:type="dxa" w:w="1400"/>
            <w:shd w:fill="D9E2F3" w:val="clear"/>
            <w:tcMar>
              <w:top w:type="dxa" w:w="60"/>
              <w:left w:type="dxa" w:w="100"/>
              <w:bottom w:type="dxa" w:w="60"/>
              <w:right w:type="dxa" w:w="100"/>
            </w:tcMar>
          </w:tcPr>
          <w:p>
            <w:r>
              <w:rPr>
                <w:b/>
                <w:bCs/>
                <w:sz w:val="18"/>
                <w:szCs w:val="18"/>
              </w:rPr>
              <w:t xml:space="preserve">ID</w:t>
            </w:r>
          </w:p>
        </w:tc>
        <w:tc>
          <w:tcPr>
            <w:tcW w:type="dxa" w:w="3600"/>
            <w:shd w:fill="D9E2F3" w:val="clear"/>
            <w:tcMar>
              <w:top w:type="dxa" w:w="60"/>
              <w:left w:type="dxa" w:w="100"/>
              <w:bottom w:type="dxa" w:w="60"/>
              <w:right w:type="dxa" w:w="100"/>
            </w:tcMar>
          </w:tcPr>
          <w:p>
            <w:r>
              <w:rPr>
                <w:b/>
                <w:bCs/>
                <w:sz w:val="18"/>
                <w:szCs w:val="18"/>
              </w:rPr>
              <w:t xml:space="preserve">Statement</w:t>
            </w:r>
          </w:p>
        </w:tc>
        <w:tc>
          <w:tcPr>
            <w:tcW w:type="dxa" w:w="1600"/>
            <w:shd w:fill="D9E2F3" w:val="clear"/>
            <w:tcMar>
              <w:top w:type="dxa" w:w="60"/>
              <w:left w:type="dxa" w:w="100"/>
              <w:bottom w:type="dxa" w:w="60"/>
              <w:right w:type="dxa" w:w="100"/>
            </w:tcMar>
          </w:tcPr>
          <w:p>
            <w:r>
              <w:rPr>
                <w:b/>
                <w:bCs/>
                <w:sz w:val="18"/>
                <w:szCs w:val="18"/>
              </w:rPr>
              <w:t xml:space="preserve">Doc status</w:t>
            </w:r>
          </w:p>
        </w:tc>
        <w:tc>
          <w:tcPr>
            <w:tcW w:type="dxa" w:w="1600"/>
            <w:shd w:fill="D9E2F3" w:val="clear"/>
            <w:tcMar>
              <w:top w:type="dxa" w:w="60"/>
              <w:left w:type="dxa" w:w="100"/>
              <w:bottom w:type="dxa" w:w="60"/>
              <w:right w:type="dxa" w:w="100"/>
            </w:tcMar>
          </w:tcPr>
          <w:p>
            <w:r>
              <w:rPr>
                <w:b/>
                <w:bCs/>
                <w:sz w:val="18"/>
                <w:szCs w:val="18"/>
              </w:rPr>
              <w:t xml:space="preserve">Compiler status</w:t>
            </w:r>
          </w:p>
        </w:tc>
        <w:tc>
          <w:tcPr>
            <w:tcW w:type="dxa" w:w="2160"/>
            <w:shd w:fill="D9E2F3" w:val="clear"/>
            <w:tcMar>
              <w:top w:type="dxa" w:w="60"/>
              <w:left w:type="dxa" w:w="100"/>
              <w:bottom w:type="dxa" w:w="60"/>
              <w:right w:type="dxa" w:w="100"/>
            </w:tcMar>
          </w:tcPr>
          <w:p>
            <w:r>
              <w:rPr>
                <w:b/>
                <w:bCs/>
                <w:sz w:val="18"/>
                <w:szCs w:val="18"/>
              </w:rPr>
              <w:t xml:space="preserve">Note</w:t>
            </w:r>
          </w:p>
        </w:tc>
      </w:tr>
      <w:tr>
        <w:tc>
          <w:tcPr>
            <w:tcW w:type="dxa" w:w="1400"/>
            <w:tcMar>
              <w:top w:type="dxa" w:w="60"/>
              <w:left w:type="dxa" w:w="100"/>
              <w:bottom w:type="dxa" w:w="60"/>
              <w:right w:type="dxa" w:w="100"/>
            </w:tcMar>
          </w:tcPr>
          <w:p>
            <w:r>
              <w:rPr>
                <w:b w:val="false"/>
                <w:bCs w:val="false"/>
                <w:sz w:val="18"/>
                <w:szCs w:val="18"/>
              </w:rPr>
              <w:t xml:space="preserve">TH-ARBS-001A</w:t>
            </w:r>
          </w:p>
        </w:tc>
        <w:tc>
          <w:tcPr>
            <w:tcW w:type="dxa" w:w="3600"/>
            <w:tcMar>
              <w:top w:type="dxa" w:w="60"/>
              <w:left w:type="dxa" w:w="100"/>
              <w:bottom w:type="dxa" w:w="60"/>
              <w:right w:type="dxa" w:w="100"/>
            </w:tcMar>
          </w:tcPr>
          <w:p>
            <w:r>
              <w:rPr>
                <w:b w:val="false"/>
                <w:bCs w:val="false"/>
                <w:sz w:val="18"/>
                <w:szCs w:val="18"/>
              </w:rPr>
              <w:t xml:space="preserve">Bipartite Reciprocity Lock</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Compiler registries have no bipartite object/operator vertex-type distinction.</w:t>
            </w:r>
          </w:p>
        </w:tc>
      </w:tr>
      <w:tr>
        <w:tc>
          <w:tcPr>
            <w:tcW w:type="dxa" w:w="1400"/>
            <w:tcMar>
              <w:top w:type="dxa" w:w="60"/>
              <w:left w:type="dxa" w:w="100"/>
              <w:bottom w:type="dxa" w:w="60"/>
              <w:right w:type="dxa" w:w="100"/>
            </w:tcMar>
          </w:tcPr>
          <w:p>
            <w:r>
              <w:rPr>
                <w:b w:val="false"/>
                <w:bCs w:val="false"/>
                <w:sz w:val="18"/>
                <w:szCs w:val="18"/>
              </w:rPr>
              <w:t xml:space="preserve">TH-ARBS-001B</w:t>
            </w:r>
          </w:p>
        </w:tc>
        <w:tc>
          <w:tcPr>
            <w:tcW w:type="dxa" w:w="3600"/>
            <w:tcMar>
              <w:top w:type="dxa" w:w="60"/>
              <w:left w:type="dxa" w:w="100"/>
              <w:bottom w:type="dxa" w:w="60"/>
              <w:right w:type="dxa" w:w="100"/>
            </w:tcMar>
          </w:tcPr>
          <w:p>
            <w:r>
              <w:rPr>
                <w:b w:val="false"/>
                <w:bCs w:val="false"/>
                <w:sz w:val="18"/>
                <w:szCs w:val="18"/>
              </w:rPr>
              <w:t xml:space="preserve">Shell Nilpotency Lock</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No shell index k exists anywhere in the compiler's Object/Transformation schema.</w:t>
            </w:r>
          </w:p>
        </w:tc>
      </w:tr>
      <w:tr>
        <w:tc>
          <w:tcPr>
            <w:tcW w:type="dxa" w:w="1400"/>
            <w:tcMar>
              <w:top w:type="dxa" w:w="60"/>
              <w:left w:type="dxa" w:w="100"/>
              <w:bottom w:type="dxa" w:w="60"/>
              <w:right w:type="dxa" w:w="100"/>
            </w:tcMar>
          </w:tcPr>
          <w:p>
            <w:r>
              <w:rPr>
                <w:b w:val="false"/>
                <w:bCs w:val="false"/>
                <w:sz w:val="18"/>
                <w:szCs w:val="18"/>
              </w:rPr>
              <w:t xml:space="preserve">RF-001..005</w:t>
            </w:r>
          </w:p>
        </w:tc>
        <w:tc>
          <w:tcPr>
            <w:tcW w:type="dxa" w:w="3600"/>
            <w:tcMar>
              <w:top w:type="dxa" w:w="60"/>
              <w:left w:type="dxa" w:w="100"/>
              <w:bottom w:type="dxa" w:w="60"/>
              <w:right w:type="dxa" w:w="100"/>
            </w:tcMar>
          </w:tcPr>
          <w:p>
            <w:r>
              <w:rPr>
                <w:b w:val="false"/>
                <w:bCs w:val="false"/>
                <w:sz w:val="18"/>
                <w:szCs w:val="18"/>
              </w:rPr>
              <w:t xml:space="preserve">Universal Recovery Functor (well-definedness, functoriality, 4-topology convergence, monoidal preservation, faithfulness)</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The compiler's own strong-resolvent/Mosco-convergence discussions (FC-005 continuum-limit work) are a genuine, independent, PARTIALLY-FAILED attempt at a structurally similar convergence claim for one specific case (DESI); not cross-referenced to RF-003.</w:t>
            </w:r>
          </w:p>
        </w:tc>
      </w:tr>
      <w:tr>
        <w:tc>
          <w:tcPr>
            <w:tcW w:type="dxa" w:w="1400"/>
            <w:tcMar>
              <w:top w:type="dxa" w:w="60"/>
              <w:left w:type="dxa" w:w="100"/>
              <w:bottom w:type="dxa" w:w="60"/>
              <w:right w:type="dxa" w:w="100"/>
            </w:tcMar>
          </w:tcPr>
          <w:p>
            <w:r>
              <w:rPr>
                <w:b w:val="false"/>
                <w:bCs w:val="false"/>
                <w:sz w:val="18"/>
                <w:szCs w:val="18"/>
              </w:rPr>
              <w:t xml:space="preserve">RK-001..003</w:t>
            </w:r>
          </w:p>
        </w:tc>
        <w:tc>
          <w:tcPr>
            <w:tcW w:type="dxa" w:w="3600"/>
            <w:tcMar>
              <w:top w:type="dxa" w:w="60"/>
              <w:left w:type="dxa" w:w="100"/>
              <w:bottom w:type="dxa" w:w="60"/>
              <w:right w:type="dxa" w:w="100"/>
            </w:tcMar>
          </w:tcPr>
          <w:p>
            <w:r>
              <w:rPr>
                <w:b w:val="false"/>
                <w:bCs w:val="false"/>
                <w:sz w:val="18"/>
                <w:szCs w:val="18"/>
              </w:rPr>
              <w:t xml:space="preserve">Realization kernel Lie-groupoid decomposition; gauge symmetries as residual discrete automorphisms</w:t>
            </w:r>
          </w:p>
        </w:tc>
        <w:tc>
          <w:tcPr>
            <w:tcW w:type="dxa" w:w="1600"/>
            <w:tcMar>
              <w:top w:type="dxa" w:w="60"/>
              <w:left w:type="dxa" w:w="100"/>
              <w:bottom w:type="dxa" w:w="60"/>
              <w:right w:type="dxa" w:w="100"/>
            </w:tcMar>
          </w:tcPr>
          <w:p>
            <w:r>
              <w:rPr>
                <w:b w:val="false"/>
                <w:bCs w:val="false"/>
                <w:sz w:val="18"/>
                <w:szCs w:val="18"/>
              </w:rPr>
              <w:t xml:space="preserve">CERTIFIED</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w:t>
            </w:r>
          </w:p>
        </w:tc>
      </w:tr>
      <w:tr>
        <w:tc>
          <w:tcPr>
            <w:tcW w:type="dxa" w:w="1400"/>
            <w:tcMar>
              <w:top w:type="dxa" w:w="60"/>
              <w:left w:type="dxa" w:w="100"/>
              <w:bottom w:type="dxa" w:w="60"/>
              <w:right w:type="dxa" w:w="100"/>
            </w:tcMar>
          </w:tcPr>
          <w:p>
            <w:r>
              <w:rPr>
                <w:b w:val="false"/>
                <w:bCs w:val="false"/>
                <w:sz w:val="18"/>
                <w:szCs w:val="18"/>
              </w:rPr>
              <w:t xml:space="preserve">AU-001</w:t>
            </w:r>
          </w:p>
        </w:tc>
        <w:tc>
          <w:tcPr>
            <w:tcW w:type="dxa" w:w="3600"/>
            <w:tcMar>
              <w:top w:type="dxa" w:w="60"/>
              <w:left w:type="dxa" w:w="100"/>
              <w:bottom w:type="dxa" w:w="60"/>
              <w:right w:type="dxa" w:w="100"/>
            </w:tcMar>
          </w:tcPr>
          <w:p>
            <w:r>
              <w:rPr>
                <w:b w:val="false"/>
                <w:bCs w:val="false"/>
                <w:sz w:val="18"/>
                <w:szCs w:val="18"/>
              </w:rPr>
              <w:t xml:space="preserve">Substrate rigidity (unique admissible ARBS category)</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open status.</w:t>
            </w:r>
          </w:p>
        </w:tc>
      </w:tr>
      <w:tr>
        <w:tc>
          <w:tcPr>
            <w:tcW w:type="dxa" w:w="1400"/>
            <w:tcMar>
              <w:top w:type="dxa" w:w="60"/>
              <w:left w:type="dxa" w:w="100"/>
              <w:bottom w:type="dxa" w:w="60"/>
              <w:right w:type="dxa" w:w="100"/>
            </w:tcMar>
          </w:tcPr>
          <w:p>
            <w:r>
              <w:rPr>
                <w:b w:val="false"/>
                <w:bCs w:val="false"/>
                <w:sz w:val="18"/>
                <w:szCs w:val="18"/>
              </w:rPr>
              <w:t xml:space="preserve">AU-002</w:t>
            </w:r>
          </w:p>
        </w:tc>
        <w:tc>
          <w:tcPr>
            <w:tcW w:type="dxa" w:w="3600"/>
            <w:tcMar>
              <w:top w:type="dxa" w:w="60"/>
              <w:left w:type="dxa" w:w="100"/>
              <w:bottom w:type="dxa" w:w="60"/>
              <w:right w:type="dxa" w:w="100"/>
            </w:tcMar>
          </w:tcPr>
          <w:p>
            <w:r>
              <w:rPr>
                <w:b w:val="false"/>
                <w:bCs w:val="false"/>
                <w:sz w:val="18"/>
                <w:szCs w:val="18"/>
              </w:rPr>
              <w:t xml:space="preserve">Singleton preimage collapse (unique G*)</w:t>
            </w:r>
          </w:p>
        </w:tc>
        <w:tc>
          <w:tcPr>
            <w:tcW w:type="dxa" w:w="1600"/>
            <w:tcMar>
              <w:top w:type="dxa" w:w="60"/>
              <w:left w:type="dxa" w:w="100"/>
              <w:bottom w:type="dxa" w:w="60"/>
              <w:right w:type="dxa" w:w="100"/>
            </w:tcMar>
          </w:tcPr>
          <w:p>
            <w:r>
              <w:rPr>
                <w:b w:val="false"/>
                <w:bCs w:val="false"/>
                <w:sz w:val="18"/>
                <w:szCs w:val="18"/>
              </w:rPr>
              <w:t xml:space="preserve">OPEN (source agrees)</w:t>
            </w:r>
          </w:p>
        </w:tc>
        <w:tc>
          <w:tcPr>
            <w:tcW w:type="dxa" w:w="1600"/>
            <w:tcMar>
              <w:top w:type="dxa" w:w="60"/>
              <w:left w:type="dxa" w:w="100"/>
              <w:bottom w:type="dxa" w:w="60"/>
              <w:right w:type="dxa" w:w="100"/>
            </w:tcMar>
          </w:tcPr>
          <w:p>
            <w:r>
              <w:rPr>
                <w:b w:val="false"/>
                <w:bCs w:val="false"/>
                <w:sz w:val="18"/>
                <w:szCs w:val="18"/>
              </w:rPr>
              <w:t xml:space="preserve">NO_CORRESPONDING_ARTIFACT</w:t>
            </w:r>
          </w:p>
        </w:tc>
        <w:tc>
          <w:tcPr>
            <w:tcW w:type="dxa" w:w="2160"/>
            <w:tcMar>
              <w:top w:type="dxa" w:w="60"/>
              <w:left w:type="dxa" w:w="100"/>
              <w:bottom w:type="dxa" w:w="60"/>
              <w:right w:type="dxa" w:w="100"/>
            </w:tcMar>
          </w:tcPr>
          <w:p>
            <w:r>
              <w:rPr>
                <w:b w:val="false"/>
                <w:bCs w:val="false"/>
                <w:sz w:val="18"/>
                <w:szCs w:val="18"/>
              </w:rPr>
              <w:t xml:space="preserve">Consistent open status; CMRP Volume IX flags this as the shared uniqueness obligation behind Yang-Mills, Riemann Hypothesis, and BSD.</w:t>
            </w:r>
          </w:p>
        </w:tc>
      </w:tr>
    </w:tbl>
    <w:p>
      <w:pPr>
        <w:spacing w:after="200"/>
      </w:pPr>
    </w:p>
    <w:p>
      <w:r>
        <w:br w:type="page"/>
      </w:r>
    </w:p>
    <w:p>
      <w:pPr>
        <w:pStyle w:val="Heading1"/>
        <w:spacing w:after="120" w:before="240"/>
      </w:pPr>
      <w:r>
        <w:t xml:space="preserve">3. The Flagship Falsifiable Predictions</w:t>
      </w:r>
    </w:p>
    <w:p>
      <w:pPr>
        <w:spacing w:after="160"/>
      </w:pPr>
      <w:r>
        <w:t xml:space="preserve">UCG Specification v5 §17.4 states that the framework's falsifiability rests on three parameter-free numerical predictions, locked by a single parameter N_sub = 4.7619 derived from the CMB spectral index n_s = 0.965, and explicitly contrasts this with string theory's 10⁵⁰⁰-vacuum landscape as the framework's strongest asymmetry argument: "There is no free parameter to adjust. Refutation at any link in the chain collapses the framework." None of the three has ever been computed by any module in this compiler.</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2200"/>
        <w:gridCol w:w="2400"/>
        <w:gridCol w:w="3200"/>
        <w:gridCol w:w="1560"/>
      </w:tblGrid>
      <w:tr>
        <w:trPr>
          <w:tblHeader/>
        </w:trPr>
        <w:tc>
          <w:tcPr>
            <w:tcW w:type="dxa" w:w="2200"/>
            <w:shd w:fill="D9E2F3" w:val="clear"/>
            <w:tcMar>
              <w:top w:type="dxa" w:w="60"/>
              <w:left w:type="dxa" w:w="100"/>
              <w:bottom w:type="dxa" w:w="60"/>
              <w:right w:type="dxa" w:w="100"/>
            </w:tcMar>
          </w:tcPr>
          <w:p>
            <w:r>
              <w:rPr>
                <w:b/>
                <w:bCs/>
                <w:sz w:val="18"/>
                <w:szCs w:val="18"/>
              </w:rPr>
              <w:t xml:space="preserve">Prediction</w:t>
            </w:r>
          </w:p>
        </w:tc>
        <w:tc>
          <w:tcPr>
            <w:tcW w:type="dxa" w:w="2400"/>
            <w:shd w:fill="D9E2F3" w:val="clear"/>
            <w:tcMar>
              <w:top w:type="dxa" w:w="60"/>
              <w:left w:type="dxa" w:w="100"/>
              <w:bottom w:type="dxa" w:w="60"/>
              <w:right w:type="dxa" w:w="100"/>
            </w:tcMar>
          </w:tcPr>
          <w:p>
            <w:r>
              <w:rPr>
                <w:b/>
                <w:bCs/>
                <w:sz w:val="18"/>
                <w:szCs w:val="18"/>
              </w:rPr>
              <w:t xml:space="preserve">Value</w:t>
            </w:r>
          </w:p>
        </w:tc>
        <w:tc>
          <w:tcPr>
            <w:tcW w:type="dxa" w:w="3200"/>
            <w:shd w:fill="D9E2F3" w:val="clear"/>
            <w:tcMar>
              <w:top w:type="dxa" w:w="60"/>
              <w:left w:type="dxa" w:w="100"/>
              <w:bottom w:type="dxa" w:w="60"/>
              <w:right w:type="dxa" w:w="100"/>
            </w:tcMar>
          </w:tcPr>
          <w:p>
            <w:r>
              <w:rPr>
                <w:b/>
                <w:bCs/>
                <w:sz w:val="18"/>
                <w:szCs w:val="18"/>
              </w:rPr>
              <w:t xml:space="preserve">Refutation condition</w:t>
            </w:r>
          </w:p>
        </w:tc>
        <w:tc>
          <w:tcPr>
            <w:tcW w:type="dxa" w:w="1560"/>
            <w:shd w:fill="D9E2F3" w:val="clear"/>
            <w:tcMar>
              <w:top w:type="dxa" w:w="60"/>
              <w:left w:type="dxa" w:w="100"/>
              <w:bottom w:type="dxa" w:w="60"/>
              <w:right w:type="dxa" w:w="100"/>
            </w:tcMar>
          </w:tcPr>
          <w:p>
            <w:r>
              <w:rPr>
                <w:b/>
                <w:bCs/>
                <w:sz w:val="18"/>
                <w:szCs w:val="18"/>
              </w:rPr>
              <w:t xml:space="preserve">Compiler status</w:t>
            </w:r>
          </w:p>
        </w:tc>
      </w:tr>
      <w:tr>
        <w:tc>
          <w:tcPr>
            <w:tcW w:type="dxa" w:w="2200"/>
            <w:tcMar>
              <w:top w:type="dxa" w:w="60"/>
              <w:left w:type="dxa" w:w="100"/>
              <w:bottom w:type="dxa" w:w="60"/>
              <w:right w:type="dxa" w:w="100"/>
            </w:tcMar>
          </w:tcPr>
          <w:p>
            <w:r>
              <w:rPr>
                <w:b w:val="false"/>
                <w:bCs w:val="false"/>
                <w:sz w:val="18"/>
                <w:szCs w:val="18"/>
              </w:rPr>
              <w:t xml:space="preserve">Persistence axion mass</w:t>
            </w:r>
          </w:p>
        </w:tc>
        <w:tc>
          <w:tcPr>
            <w:tcW w:type="dxa" w:w="2400"/>
            <w:tcMar>
              <w:top w:type="dxa" w:w="60"/>
              <w:left w:type="dxa" w:w="100"/>
              <w:bottom w:type="dxa" w:w="60"/>
              <w:right w:type="dxa" w:w="100"/>
            </w:tcMar>
          </w:tcPr>
          <w:p>
            <w:r>
              <w:rPr>
                <w:b w:val="false"/>
                <w:bCs w:val="false"/>
                <w:sz w:val="18"/>
                <w:szCs w:val="18"/>
              </w:rPr>
              <w:t xml:space="preserve">m_{aP} = 6.885 × 10⁻¹³ eV</w:t>
            </w:r>
          </w:p>
        </w:tc>
        <w:tc>
          <w:tcPr>
            <w:tcW w:type="dxa" w:w="3200"/>
            <w:tcMar>
              <w:top w:type="dxa" w:w="60"/>
              <w:left w:type="dxa" w:w="100"/>
              <w:bottom w:type="dxa" w:w="60"/>
              <w:right w:type="dxa" w:w="100"/>
            </w:tcMar>
          </w:tcPr>
          <w:p>
            <w:r>
              <w:rPr>
                <w:b w:val="false"/>
                <w:bCs w:val="false"/>
                <w:sz w:val="18"/>
                <w:szCs w:val="18"/>
              </w:rPr>
              <w:t xml:space="preserve">Any confirmed deviation refutes the framework</w:t>
            </w:r>
          </w:p>
        </w:tc>
        <w:tc>
          <w:tcPr>
            <w:tcW w:type="dxa" w:w="1560"/>
            <w:tcMar>
              <w:top w:type="dxa" w:w="60"/>
              <w:left w:type="dxa" w:w="100"/>
              <w:bottom w:type="dxa" w:w="60"/>
              <w:right w:type="dxa" w:w="100"/>
            </w:tcMar>
          </w:tcPr>
          <w:p>
            <w:r>
              <w:rPr>
                <w:b w:val="false"/>
                <w:bCs w:val="false"/>
                <w:sz w:val="18"/>
                <w:szCs w:val="18"/>
              </w:rPr>
              <w:t xml:space="preserve">Never computed by any compiler module</w:t>
            </w:r>
          </w:p>
        </w:tc>
      </w:tr>
      <w:tr>
        <w:tc>
          <w:tcPr>
            <w:tcW w:type="dxa" w:w="2200"/>
            <w:tcMar>
              <w:top w:type="dxa" w:w="60"/>
              <w:left w:type="dxa" w:w="100"/>
              <w:bottom w:type="dxa" w:w="60"/>
              <w:right w:type="dxa" w:w="100"/>
            </w:tcMar>
          </w:tcPr>
          <w:p>
            <w:r>
              <w:rPr>
                <w:b w:val="false"/>
                <w:bCs w:val="false"/>
                <w:sz w:val="18"/>
                <w:szCs w:val="18"/>
              </w:rPr>
              <w:t xml:space="preserve">Gravitational-wave background</w:t>
            </w:r>
          </w:p>
        </w:tc>
        <w:tc>
          <w:tcPr>
            <w:tcW w:type="dxa" w:w="2400"/>
            <w:tcMar>
              <w:top w:type="dxa" w:w="60"/>
              <w:left w:type="dxa" w:w="100"/>
              <w:bottom w:type="dxa" w:w="60"/>
              <w:right w:type="dxa" w:w="100"/>
            </w:tcMar>
          </w:tcPr>
          <w:p>
            <w:r>
              <w:rPr>
                <w:b w:val="false"/>
                <w:bCs w:val="false"/>
                <w:sz w:val="18"/>
                <w:szCs w:val="18"/>
              </w:rPr>
              <w:t xml:space="preserve">f_GW = 166.48 Hz (monochromatic)</w:t>
            </w:r>
          </w:p>
        </w:tc>
        <w:tc>
          <w:tcPr>
            <w:tcW w:type="dxa" w:w="3200"/>
            <w:tcMar>
              <w:top w:type="dxa" w:w="60"/>
              <w:left w:type="dxa" w:w="100"/>
              <w:bottom w:type="dxa" w:w="60"/>
              <w:right w:type="dxa" w:w="100"/>
            </w:tcMar>
          </w:tcPr>
          <w:p>
            <w:r>
              <w:rPr>
                <w:b w:val="false"/>
                <w:bCs w:val="false"/>
                <w:sz w:val="18"/>
                <w:szCs w:val="18"/>
              </w:rPr>
              <w:t xml:space="preserve">Confirmed flat vacuum at 166.48 Hz refutes the prediction</w:t>
            </w:r>
          </w:p>
        </w:tc>
        <w:tc>
          <w:tcPr>
            <w:tcW w:type="dxa" w:w="1560"/>
            <w:tcMar>
              <w:top w:type="dxa" w:w="60"/>
              <w:left w:type="dxa" w:w="100"/>
              <w:bottom w:type="dxa" w:w="60"/>
              <w:right w:type="dxa" w:w="100"/>
            </w:tcMar>
          </w:tcPr>
          <w:p>
            <w:r>
              <w:rPr>
                <w:b w:val="false"/>
                <w:bCs w:val="false"/>
                <w:sz w:val="18"/>
                <w:szCs w:val="18"/>
              </w:rPr>
              <w:t xml:space="preserve">Never computed by any compiler module</w:t>
            </w:r>
          </w:p>
        </w:tc>
      </w:tr>
      <w:tr>
        <w:tc>
          <w:tcPr>
            <w:tcW w:type="dxa" w:w="2200"/>
            <w:tcMar>
              <w:top w:type="dxa" w:w="60"/>
              <w:left w:type="dxa" w:w="100"/>
              <w:bottom w:type="dxa" w:w="60"/>
              <w:right w:type="dxa" w:w="100"/>
            </w:tcMar>
          </w:tcPr>
          <w:p>
            <w:r>
              <w:rPr>
                <w:b w:val="false"/>
                <w:bCs w:val="false"/>
                <w:sz w:val="18"/>
                <w:szCs w:val="18"/>
              </w:rPr>
              <w:t xml:space="preserve">Dwarf spheroidal core radius</w:t>
            </w:r>
          </w:p>
        </w:tc>
        <w:tc>
          <w:tcPr>
            <w:tcW w:type="dxa" w:w="2400"/>
            <w:tcMar>
              <w:top w:type="dxa" w:w="60"/>
              <w:left w:type="dxa" w:w="100"/>
              <w:bottom w:type="dxa" w:w="60"/>
              <w:right w:type="dxa" w:w="100"/>
            </w:tcMar>
          </w:tcPr>
          <w:p>
            <w:r>
              <w:rPr>
                <w:b w:val="false"/>
                <w:bCs w:val="false"/>
                <w:sz w:val="18"/>
                <w:szCs w:val="18"/>
              </w:rPr>
              <w:t xml:space="preserve">R_c = 120–150 pc (Fornax, Sculptor, Draco)</w:t>
            </w:r>
          </w:p>
        </w:tc>
        <w:tc>
          <w:tcPr>
            <w:tcW w:type="dxa" w:w="3200"/>
            <w:tcMar>
              <w:top w:type="dxa" w:w="60"/>
              <w:left w:type="dxa" w:w="100"/>
              <w:bottom w:type="dxa" w:w="60"/>
              <w:right w:type="dxa" w:w="100"/>
            </w:tcMar>
          </w:tcPr>
          <w:p>
            <w:r>
              <w:rPr>
                <w:b w:val="false"/>
                <w:bCs w:val="false"/>
                <w:sz w:val="18"/>
                <w:szCs w:val="18"/>
              </w:rPr>
              <w:t xml:space="preserve">Core above 500 pc or below 10 pc falsifies attractor geometry</w:t>
            </w:r>
          </w:p>
        </w:tc>
        <w:tc>
          <w:tcPr>
            <w:tcW w:type="dxa" w:w="1560"/>
            <w:tcMar>
              <w:top w:type="dxa" w:w="60"/>
              <w:left w:type="dxa" w:w="100"/>
              <w:bottom w:type="dxa" w:w="60"/>
              <w:right w:type="dxa" w:w="100"/>
            </w:tcMar>
          </w:tcPr>
          <w:p>
            <w:r>
              <w:rPr>
                <w:b w:val="false"/>
                <w:bCs w:val="false"/>
                <w:sz w:val="18"/>
                <w:szCs w:val="18"/>
              </w:rPr>
              <w:t xml:space="preserve">Never computed by any compiler module</w:t>
            </w:r>
          </w:p>
        </w:tc>
      </w:tr>
    </w:tbl>
    <w:p>
      <w:pPr>
        <w:spacing w:after="160"/>
      </w:pPr>
      <w:r>
        <w:t xml:space="preserve">These are the single highest-leverage recommendation in this document (see §5, Priority 1): they are concrete, numerically specific, and — being explicitly parameter-free per the source's own claim — should be independently computable from the compiler's own spectral machinery without needing any of the still-open branches above. Either the compiler reproduces them (real, positive evidence for the framework, from an independent implementation) or it does not (an honest, equally valuable falsification result, exactly in the spirit of this compiler's own falsification-protocol discipline).</w:t>
      </w:r>
    </w:p>
    <w:p>
      <w:r>
        <w:br w:type="page"/>
      </w:r>
    </w:p>
    <w:p>
      <w:pPr>
        <w:pStyle w:val="Heading1"/>
        <w:spacing w:after="120" w:before="240"/>
      </w:pPr>
      <w:r>
        <w:t xml:space="preserve">4. Cross-Document Consistency Findings</w:t>
      </w:r>
    </w:p>
    <w:p>
      <w:pPr>
        <w:spacing w:after="160"/>
      </w:pPr>
      <w:r>
        <w:t xml:space="preserve">These are disagreements within the user's own corpus, transcribed rather than adjudicated — consistent with this compiler's own discipline of recording disagreements rather than silently picking a winner (see, e.g., this session's own KO-dimension sign-scan work, which reported both viable sign conventions rather than asserting one).</w:t>
      </w:r>
    </w:p>
    <w:p>
      <w:pPr>
        <w:pStyle w:val="Heading2"/>
        <w:spacing w:after="120" w:before="240"/>
      </w:pPr>
      <w:r>
        <w:t xml:space="preserve">4.1 Four unreconciled primitive grammars</w:t>
      </w:r>
    </w:p>
    <w:p>
      <w:pPr>
        <w:spacing w:after="160"/>
      </w:pPr>
      <w:r>
        <w:t xml:space="preserve">UCG Specification v5 §15 (PRF-PRIM) states this explicitly as the framework's own central open problem: "three grammars developed independently... not shown to be equivalent or reducible to one." This audit found a fourth version not counted in that tally (Unified Rosetta Stone TOE v3's proof that Retention is derived, not primitive, which is a substantive disagreement with the {Δ,τ,κ,Π} set's treatment of Π as a primitive rather than a consequence).</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2600"/>
        <w:gridCol w:w="3000"/>
        <w:gridCol w:w="3760"/>
      </w:tblGrid>
      <w:tr>
        <w:trPr>
          <w:tblHeader/>
        </w:trPr>
        <w:tc>
          <w:tcPr>
            <w:tcW w:type="dxa" w:w="2600"/>
            <w:shd w:fill="D9E2F3" w:val="clear"/>
            <w:tcMar>
              <w:top w:type="dxa" w:w="60"/>
              <w:left w:type="dxa" w:w="100"/>
              <w:bottom w:type="dxa" w:w="60"/>
              <w:right w:type="dxa" w:w="100"/>
            </w:tcMar>
          </w:tcPr>
          <w:p>
            <w:r>
              <w:rPr>
                <w:b/>
                <w:bCs/>
                <w:sz w:val="18"/>
                <w:szCs w:val="18"/>
              </w:rPr>
              <w:t xml:space="preserve">Grammar</w:t>
            </w:r>
          </w:p>
        </w:tc>
        <w:tc>
          <w:tcPr>
            <w:tcW w:type="dxa" w:w="3000"/>
            <w:shd w:fill="D9E2F3" w:val="clear"/>
            <w:tcMar>
              <w:top w:type="dxa" w:w="60"/>
              <w:left w:type="dxa" w:w="100"/>
              <w:bottom w:type="dxa" w:w="60"/>
              <w:right w:type="dxa" w:w="100"/>
            </w:tcMar>
          </w:tcPr>
          <w:p>
            <w:r>
              <w:rPr>
                <w:b/>
                <w:bCs/>
                <w:sz w:val="18"/>
                <w:szCs w:val="18"/>
              </w:rPr>
              <w:t xml:space="preserve">Source</w:t>
            </w:r>
          </w:p>
        </w:tc>
        <w:tc>
          <w:tcPr>
            <w:tcW w:type="dxa" w:w="3760"/>
            <w:shd w:fill="D9E2F3" w:val="clear"/>
            <w:tcMar>
              <w:top w:type="dxa" w:w="60"/>
              <w:left w:type="dxa" w:w="100"/>
              <w:bottom w:type="dxa" w:w="60"/>
              <w:right w:type="dxa" w:w="100"/>
            </w:tcMar>
          </w:tcPr>
          <w:p>
            <w:r>
              <w:rPr>
                <w:b/>
                <w:bCs/>
                <w:sz w:val="18"/>
                <w:szCs w:val="18"/>
              </w:rPr>
              <w:t xml:space="preserve">How it differs</w:t>
            </w:r>
          </w:p>
        </w:tc>
      </w:tr>
      <w:tr>
        <w:tc>
          <w:tcPr>
            <w:tcW w:type="dxa" w:w="2600"/>
            <w:tcMar>
              <w:top w:type="dxa" w:w="60"/>
              <w:left w:type="dxa" w:w="100"/>
              <w:bottom w:type="dxa" w:w="60"/>
              <w:right w:type="dxa" w:w="100"/>
            </w:tcMar>
          </w:tcPr>
          <w:p>
            <w:r>
              <w:rPr>
                <w:b w:val="false"/>
                <w:bCs w:val="false"/>
                <w:sz w:val="18"/>
                <w:szCs w:val="18"/>
              </w:rPr>
              <w:t xml:space="preserve">{Δ,τ,κ,Π} — DTC + Persistence</w:t>
            </w:r>
          </w:p>
        </w:tc>
        <w:tc>
          <w:tcPr>
            <w:tcW w:type="dxa" w:w="3000"/>
            <w:tcMar>
              <w:top w:type="dxa" w:w="60"/>
              <w:left w:type="dxa" w:w="100"/>
              <w:bottom w:type="dxa" w:w="60"/>
              <w:right w:type="dxa" w:w="100"/>
            </w:tcMar>
          </w:tcPr>
          <w:p>
            <w:r>
              <w:rPr>
                <w:b w:val="false"/>
                <w:bCs w:val="false"/>
                <w:sz w:val="18"/>
                <w:szCs w:val="18"/>
              </w:rPr>
              <w:t xml:space="preserve">TOEv Part I §9, MDCL v1.0, DER Registry (PRIM-G-001..004)</w:t>
            </w:r>
          </w:p>
        </w:tc>
        <w:tc>
          <w:tcPr>
            <w:tcW w:type="dxa" w:w="3760"/>
            <w:tcMar>
              <w:top w:type="dxa" w:w="60"/>
              <w:left w:type="dxa" w:w="100"/>
              <w:bottom w:type="dxa" w:w="60"/>
              <w:right w:type="dxa" w:w="100"/>
            </w:tcMar>
          </w:tcPr>
          <w:p>
            <w:r>
              <w:rPr>
                <w:b w:val="false"/>
                <w:bCs w:val="false"/>
                <w:sz w:val="18"/>
                <w:szCs w:val="18"/>
              </w:rPr>
              <w:t xml:space="preserve">Persistence Π is primitive</w:t>
            </w:r>
          </w:p>
        </w:tc>
      </w:tr>
      <w:tr>
        <w:tc>
          <w:tcPr>
            <w:tcW w:type="dxa" w:w="2600"/>
            <w:tcMar>
              <w:top w:type="dxa" w:w="60"/>
              <w:left w:type="dxa" w:w="100"/>
              <w:bottom w:type="dxa" w:w="60"/>
              <w:right w:type="dxa" w:w="100"/>
            </w:tcMar>
          </w:tcPr>
          <w:p>
            <w:r>
              <w:rPr>
                <w:b w:val="false"/>
                <w:bCs w:val="false"/>
                <w:sz w:val="18"/>
                <w:szCs w:val="18"/>
              </w:rPr>
              <w:t xml:space="preserve">{Δ,τ,κ} + gradient ∇Φ</w:t>
            </w:r>
          </w:p>
        </w:tc>
        <w:tc>
          <w:tcPr>
            <w:tcW w:type="dxa" w:w="3000"/>
            <w:tcMar>
              <w:top w:type="dxa" w:w="60"/>
              <w:left w:type="dxa" w:w="100"/>
              <w:bottom w:type="dxa" w:w="60"/>
              <w:right w:type="dxa" w:w="100"/>
            </w:tcMar>
          </w:tcPr>
          <w:p>
            <w:r>
              <w:rPr>
                <w:b w:val="false"/>
                <w:bCs w:val="false"/>
                <w:sz w:val="18"/>
                <w:szCs w:val="18"/>
              </w:rPr>
              <w:t xml:space="preserve">Combined Compiler Theories Whitepaper Part III §2</w:t>
            </w:r>
          </w:p>
        </w:tc>
        <w:tc>
          <w:tcPr>
            <w:tcW w:type="dxa" w:w="3760"/>
            <w:tcMar>
              <w:top w:type="dxa" w:w="60"/>
              <w:left w:type="dxa" w:w="100"/>
              <w:bottom w:type="dxa" w:w="60"/>
              <w:right w:type="dxa" w:w="100"/>
            </w:tcMar>
          </w:tcPr>
          <w:p>
            <w:r>
              <w:rPr>
                <w:b w:val="false"/>
                <w:bCs w:val="false"/>
                <w:sz w:val="18"/>
                <w:szCs w:val="18"/>
              </w:rPr>
              <w:t xml:space="preserve">Distinction is REPLACED by a directly measurable physical gradient; Persistence is not listed as primitive at all in the 8-stage chain</w:t>
            </w:r>
          </w:p>
        </w:tc>
      </w:tr>
      <w:tr>
        <w:tc>
          <w:tcPr>
            <w:tcW w:type="dxa" w:w="2600"/>
            <w:tcMar>
              <w:top w:type="dxa" w:w="60"/>
              <w:left w:type="dxa" w:w="100"/>
              <w:bottom w:type="dxa" w:w="60"/>
              <w:right w:type="dxa" w:w="100"/>
            </w:tcMar>
          </w:tcPr>
          <w:p>
            <w:r>
              <w:rPr>
                <w:b w:val="false"/>
                <w:bCs w:val="false"/>
                <w:sz w:val="18"/>
                <w:szCs w:val="18"/>
              </w:rPr>
              <w:t xml:space="preserve">{Δ,τ,κ,Θ,Π,Ω} — MDCL v2.0 extended set</w:t>
            </w:r>
          </w:p>
        </w:tc>
        <w:tc>
          <w:tcPr>
            <w:tcW w:type="dxa" w:w="3000"/>
            <w:tcMar>
              <w:top w:type="dxa" w:w="60"/>
              <w:left w:type="dxa" w:w="100"/>
              <w:bottom w:type="dxa" w:w="60"/>
              <w:right w:type="dxa" w:w="100"/>
            </w:tcMar>
          </w:tcPr>
          <w:p>
            <w:r>
              <w:rPr>
                <w:b w:val="false"/>
                <w:bCs w:val="false"/>
                <w:sz w:val="18"/>
                <w:szCs w:val="18"/>
              </w:rPr>
              <w:t xml:space="preserve">Combined Compiler Theories Whitepaper Part IV §7.2</w:t>
            </w:r>
          </w:p>
        </w:tc>
        <w:tc>
          <w:tcPr>
            <w:tcW w:type="dxa" w:w="3760"/>
            <w:tcMar>
              <w:top w:type="dxa" w:w="60"/>
              <w:left w:type="dxa" w:w="100"/>
              <w:bottom w:type="dxa" w:w="60"/>
              <w:right w:type="dxa" w:w="100"/>
            </w:tcMar>
          </w:tcPr>
          <w:p>
            <w:r>
              <w:rPr>
                <w:b w:val="false"/>
                <w:bCs w:val="false"/>
                <w:sz w:val="18"/>
                <w:szCs w:val="18"/>
              </w:rPr>
              <w:t xml:space="preserve">Adds Accessibility (Θ) and Organizational State (Ω) as new primitives beyond DTC+Π</w:t>
            </w:r>
          </w:p>
        </w:tc>
      </w:tr>
      <w:tr>
        <w:tc>
          <w:tcPr>
            <w:tcW w:type="dxa" w:w="2600"/>
            <w:tcMar>
              <w:top w:type="dxa" w:w="60"/>
              <w:left w:type="dxa" w:w="100"/>
              <w:bottom w:type="dxa" w:w="60"/>
              <w:right w:type="dxa" w:w="100"/>
            </w:tcMar>
          </w:tcPr>
          <w:p>
            <w:r>
              <w:rPr>
                <w:b w:val="false"/>
                <w:bCs w:val="false"/>
                <w:sz w:val="18"/>
                <w:szCs w:val="18"/>
              </w:rPr>
              <w:t xml:space="preserve">{D,T,C} (no Π), Retention derived</w:t>
            </w:r>
          </w:p>
        </w:tc>
        <w:tc>
          <w:tcPr>
            <w:tcW w:type="dxa" w:w="3000"/>
            <w:tcMar>
              <w:top w:type="dxa" w:w="60"/>
              <w:left w:type="dxa" w:w="100"/>
              <w:bottom w:type="dxa" w:w="60"/>
              <w:right w:type="dxa" w:w="100"/>
            </w:tcMar>
          </w:tcPr>
          <w:p>
            <w:r>
              <w:rPr>
                <w:b w:val="false"/>
                <w:bCs w:val="false"/>
                <w:sz w:val="18"/>
                <w:szCs w:val="18"/>
              </w:rPr>
              <w:t xml:space="preserve">Unified Rosetta Stone TOE v3 §2</w:t>
            </w:r>
          </w:p>
        </w:tc>
        <w:tc>
          <w:tcPr>
            <w:tcW w:type="dxa" w:w="3760"/>
            <w:tcMar>
              <w:top w:type="dxa" w:w="60"/>
              <w:left w:type="dxa" w:w="100"/>
              <w:bottom w:type="dxa" w:w="60"/>
              <w:right w:type="dxa" w:w="100"/>
            </w:tcMar>
          </w:tcPr>
          <w:p>
            <w:r>
              <w:rPr>
                <w:b w:val="false"/>
                <w:bCs w:val="false"/>
                <w:sz w:val="18"/>
                <w:szCs w:val="18"/>
              </w:rPr>
              <w:t xml:space="preserve">Explicitly proves persistence/Retention is NOT a fourth primitive but a derived fixed-point consequence — directly contradicting the {Δ,τ,κ,Π} set's treatment of Π as primitive</w:t>
            </w:r>
          </w:p>
        </w:tc>
      </w:tr>
    </w:tbl>
    <w:p>
      <w:pPr>
        <w:pStyle w:val="Heading2"/>
        <w:spacing w:after="120" w:before="240"/>
      </w:pPr>
      <w:r>
        <w:t xml:space="preserve">4.2 The Standard Model gauge-group derivation dispute</w:t>
      </w:r>
    </w:p>
    <w:p>
      <w:pPr>
        <w:spacing w:after="160"/>
      </w:pPr>
      <w:r>
        <w:t xml:space="preserve">UCG Specification v5 marks THM-ANOM ("G_SM is the minimal anomaly-free group, forced not postulated") CERTIFIED and treats it as load-bearing (used to answer the string-theory landscape problem in §17.5, and cited three times across the corpus as a headline result). Unified Rosetta Stone TOE v3 §4 also presents this derivation as established. But the Combined Compiler Theories Whitepaper, Part III §6, reviewing the identical claim, states plainly: "the notes' claim that this technique uniquely and necessarily selects the Standard Model group, to the exclusion of larger anomaly-free groups such as SU(5) or SO(10), rests on an added 'minimal order' postulate that is not itself derived from the framework's own axioms; it is asserted as an additional selection rule." This compiler's own executed check of the nearest constructive route (G2/Spin(8) triality intersection) independently returned FALSIFIED. Three independent points of scrutiny — one from within the user's own corpus, one from this compiler's real numerics — do not support THM-ANOM's CERTIFIED status.</w:t>
      </w:r>
    </w:p>
    <w:p>
      <w:pPr>
        <w:pStyle w:val="Heading2"/>
        <w:spacing w:after="120" w:before="240"/>
      </w:pPr>
      <w:r>
        <w:t xml:space="preserve">4.3 Three unreconciled routes to General Relativity</w:t>
      </w:r>
    </w:p>
    <w:p>
      <w:pPr>
        <w:spacing w:after="160"/>
      </w:pPr>
      <w:r>
        <w:t xml:space="preserve">The corpus contains three independently developed derivations of the vacuum Einstein field equations that "have not been shown to agree beyond both terminating in the same tensor equation" (Combined Compiler Theories Whitepaper, Part IV §7.4, its own words): (1) the CMRC worldsheet/beta-function route via the Polyakov action and quantum conformal invariance (Part IV §1); (2) the spectral-triple/Dirac-operator route via the Spectral Action functional and its heat-kernel expansion (UDP v2.0's Universal Derivation Manual, Part III); and (3) the graph-spectral route via constraint-selection of the unique divergence-free symmetric rank-2 tensor built from the Ricci tensor (MDCL v2.0, Part IV §7.4, a genuine Lovelock-style uniqueness argument). This compiler's own work is closest in spirit to route (2) — the finite-spectral-triple candidate and its Connes inner-fluctuation this session computed are real code against that exact mathematical family — but is not cross-referenced to the Universal Derivation Manual anywhere, and none of the three routes' Einstein-tensor recovery is itself implemented in this compiler (see DER-VAR/DER-GEO rows above).</w:t>
      </w:r>
    </w:p>
    <w:p>
      <w:r>
        <w:br w:type="page"/>
      </w:r>
    </w:p>
    <w:p>
      <w:pPr>
        <w:pStyle w:val="Heading1"/>
        <w:spacing w:after="120" w:before="240"/>
      </w:pPr>
      <w:r>
        <w:t xml:space="preserve">5. Recommendations</w:t>
      </w:r>
    </w:p>
    <w:p>
      <w:pPr>
        <w:spacing w:after="160"/>
      </w:pPr>
      <w:r>
        <w:t xml:space="preserve">Ordered by cost/value, not by document order. Each is stated as a concrete, scoped, executable next step — matching this compiler's own established discipline of source correction → compiler execution → registry regeneration, never hand-edited registries.</w:t>
      </w:r>
    </w:p>
    <w:p>
      <w:pPr>
        <w:pStyle w:val="Heading2"/>
        <w:spacing w:after="120" w:before="240"/>
      </w:pPr>
      <w:r>
        <w:t xml:space="preserve">Priority 1 — Immediate, low-cost, high-signal</w:t>
      </w:r>
    </w:p>
    <w:p>
      <w:pPr>
        <w:pStyle w:val="ListParagraph"/>
        <w:numPr>
          <w:ilvl w:val="0"/>
          <w:numId w:val="1"/>
        </w:numPr>
        <w:spacing w:after="80"/>
      </w:pPr>
      <w:r>
        <w:t xml:space="preserve">Compute the three flagship predictions (§3) against the compiler's own real spectral data, using whatever specific construction the source documents give for N_sub = 4.7619 and its downstream mass/frequency/radius formulas. Either result (reproduce or fail to reproduce) is a genuine, valuable, publishable finding.</w:t>
      </w:r>
    </w:p>
    <w:p>
      <w:pPr>
        <w:pStyle w:val="ListParagraph"/>
        <w:numPr>
          <w:ilvl w:val="0"/>
          <w:numId w:val="1"/>
        </w:numPr>
        <w:spacing w:after="80"/>
      </w:pPr>
      <w:r>
        <w:t xml:space="preserve">Upgrade DER-SPC-002's compiler-side status (currently CALCULATED for CL-G-TO-L) to VERIFIED/DERIVED: L=D−A being symmetric and positive semi-definite is an elementary, already-stated proof (x^TLx=Σw_ij(x_i−x_j)²≥0) that costs almost nothing to register formally as a proof obligation discharge, consistent with the compiler's own proof-status vocabulary.</w:t>
      </w:r>
    </w:p>
    <w:p>
      <w:pPr>
        <w:pStyle w:val="ListParagraph"/>
        <w:numPr>
          <w:ilvl w:val="0"/>
          <w:numId w:val="1"/>
        </w:numPr>
        <w:spacing w:after="80"/>
      </w:pPr>
      <w:r>
        <w:t xml:space="preserve">Implement the δ_spec component of Π₀=(δ_spec−λ_c)/σ (UPG Canonical Reference §IV) as a real compiler object: δ_spec=λ₂, the second eigenvalue, is already computed by every existing spectrum call — this needs no new mathematics, only a new Object registration and chainlink pointing at data the compiler already produces. λ_c and σ should remain honestly OPEN, exactly as both DER-TRC-006 and DER-ORG-007 already record them.</w:t>
      </w:r>
    </w:p>
    <w:p>
      <w:pPr>
        <w:pStyle w:val="ListParagraph"/>
        <w:numPr>
          <w:ilvl w:val="0"/>
          <w:numId w:val="1"/>
        </w:numPr>
        <w:spacing w:after="80"/>
      </w:pPr>
      <w:r>
        <w:t xml:space="preserve">Add a `der_id` cross-reference field (optional, default None) to the compiler's Object/Transformation/Equation dataclasses and to the protocol_matrix.py correspondence records, so every future registration can point at its DER-XXX-### canonical counterpart without forcing a lossy one-to-one mapping onto the existing MC-/PR-/OG-/... taxonomy.</w:t>
      </w:r>
    </w:p>
    <w:p>
      <w:pPr>
        <w:pStyle w:val="Heading2"/>
        <w:spacing w:after="120" w:before="240"/>
      </w:pPr>
      <w:r>
        <w:t xml:space="preserve">Priority 2 — Scoped, real engineering, one module at a time</w:t>
      </w:r>
    </w:p>
    <w:p>
      <w:pPr>
        <w:pStyle w:val="ListParagraph"/>
        <w:numPr>
          <w:ilvl w:val="0"/>
          <w:numId w:val="1"/>
        </w:numPr>
        <w:spacing w:after="80"/>
      </w:pPr>
      <w:r>
        <w:t xml:space="preserve">Attempt the graph-spectral Einstein-tensor recovery route (MDCL v2.0, Combined Compiler Theories Whitepaper Part IV §7.4) directly: select, by explicit constraint (symmetric, rank-2, covariant, divergence-free) rather than by assertion, over whatever curvature tensors the compiler can construct once — and only once — a real, non-conditional metric exists. This is blocked on closing DER-GEO-001's contradiction first (see Priority 3).</w:t>
      </w:r>
    </w:p>
    <w:p>
      <w:pPr>
        <w:pStyle w:val="ListParagraph"/>
        <w:numPr>
          <w:ilvl w:val="0"/>
          <w:numId w:val="1"/>
        </w:numPr>
        <w:spacing w:after="80"/>
      </w:pPr>
      <w:r>
        <w:t xml:space="preserve">Implement DER-TRC-001..005 (energy, entropy, entropy flux, Clausius-Duhem, Fourier heat flux) as a real thermodynamic-recovery module over the compiler's existing heat-semigroup machinery (R(t)=e^{-tL} already computed) — this branch has the least additional new mathematics required of any CERTIFIED-in-source branch that is currently entirely unimplemented.</w:t>
      </w:r>
    </w:p>
    <w:p>
      <w:pPr>
        <w:pStyle w:val="ListParagraph"/>
        <w:numPr>
          <w:ilvl w:val="0"/>
          <w:numId w:val="1"/>
        </w:numPr>
        <w:spacing w:after="80"/>
      </w:pPr>
      <w:r>
        <w:t xml:space="preserve">Attempt one worked instance of DER-VAR-001/002 (the Persistence Cost Functional and its Euler-Lagrange field equation) symbolically on a small graph, the same way this session's finite-spectral-triple work used sympy for small-n symbolic confirmation alongside numpy at scale — this gives an honest CALCULATED/FAIL verdict rather than leaving MR-017 as a bare OPEN placeholder forever.</w:t>
      </w:r>
    </w:p>
    <w:p>
      <w:pPr>
        <w:pStyle w:val="ListParagraph"/>
        <w:numPr>
          <w:ilvl w:val="0"/>
          <w:numId w:val="1"/>
        </w:numPr>
        <w:spacing w:after="80"/>
      </w:pPr>
      <w:r>
        <w:t xml:space="preserve">Cross-reference this compiler's existing finite-spectral-triple and Connes inner-fluctuation work explicitly against the Universal Derivation Manual's spectral-triple/Grothendieck-topos pipeline (Combined Compiler Theories Whitepaper Part II) — this is the corpus's OWN closest independent parallel to work already built and tested in compiler/backends/finite_spectral_triple_*.py, and is currently not cross-referenced anywhere.</w:t>
      </w:r>
    </w:p>
    <w:p>
      <w:pPr>
        <w:pStyle w:val="Heading2"/>
        <w:spacing w:after="120" w:before="240"/>
      </w:pPr>
      <w:r>
        <w:t xml:space="preserve">Priority 3 — Resolve before building further on top</w:t>
      </w:r>
    </w:p>
    <w:p>
      <w:pPr>
        <w:pStyle w:val="ListParagraph"/>
        <w:numPr>
          <w:ilvl w:val="0"/>
          <w:numId w:val="1"/>
        </w:numPr>
        <w:spacing w:after="80"/>
      </w:pPr>
      <w:r>
        <w:t xml:space="preserve">Resolve the DER-GEO-001 contradiction explicitly, in writing, in the canonical documentation: either (a) the documentation's CERTIFIED claim is revised in light of this compiler's own eigenvalue-uniqueness counterexample and Fisher-Rao rejection, or (b) a genuinely different, non-arbitrary metric construction is found that the compiler can independently verify does not depend on a free parameter. Building DER-GEO-002 through 006 or any DER-VAR entry on top of the current metric candidate without resolving this first would repeat the same non-uniqueness problem one layer downstream.</w:t>
      </w:r>
    </w:p>
    <w:p>
      <w:pPr>
        <w:pStyle w:val="ListParagraph"/>
        <w:numPr>
          <w:ilvl w:val="0"/>
          <w:numId w:val="1"/>
        </w:numPr>
        <w:spacing w:after="80"/>
      </w:pPr>
      <w:r>
        <w:t xml:space="preserve">Resolve or explicitly retire THM-ANOM's CERTIFIED status given the three-way disagreement documented in §4.2. The compiler's own discipline (never accepting a bare CERTIFIED claim; always re-deriving) is already the correct posture here — the recommendation is that the source documentation itself adopt the same standard for this specific claim, consistent with the self-correction already modeled in Combined Compiler Theories Whitepaper Part III §6.</w:t>
      </w:r>
    </w:p>
    <w:p>
      <w:pPr>
        <w:pStyle w:val="ListParagraph"/>
        <w:numPr>
          <w:ilvl w:val="0"/>
          <w:numId w:val="1"/>
        </w:numPr>
        <w:spacing w:after="80"/>
      </w:pPr>
      <w:r>
        <w:t xml:space="preserve">Decide, explicitly, which of the (at least) four primitive grammars (§4.1) is canonical for this compiler going forward, or keep the current honest position (register all four as historical variants, proceed only on the {Δ,τ,κ,Π} template, leave it OPEN) — but make the decision itself an explicit, dated record rather than an implicit accumulation of more OPEN placeholder nodes under an unreconciled foundation.</w:t>
      </w:r>
    </w:p>
    <w:p>
      <w:pPr>
        <w:pStyle w:val="Heading2"/>
        <w:spacing w:after="120" w:before="240"/>
      </w:pPr>
      <w:r>
        <w:t xml:space="preserve">Priority 4 — Large, multi-module efforts</w:t>
      </w:r>
    </w:p>
    <w:p>
      <w:pPr>
        <w:pStyle w:val="ListParagraph"/>
        <w:numPr>
          <w:ilvl w:val="0"/>
          <w:numId w:val="1"/>
        </w:numPr>
        <w:spacing w:after="80"/>
      </w:pPr>
      <w:r>
        <w:t xml:space="preserve">Implement the ARBS bipartite/shell/hyperedge structural layer (§2, ARBS branch) as an additional, optional structural annotation on top of — not a replacement for — the existing flat Object/Transformation/Equation registries: a `node_kind` field (object|operator), a `shell_index` field (0..7), and a genuine hyperedge record type alongside the existing pairwise dependency edges.</w:t>
      </w:r>
    </w:p>
    <w:p>
      <w:pPr>
        <w:pStyle w:val="ListParagraph"/>
        <w:numPr>
          <w:ilvl w:val="0"/>
          <w:numId w:val="1"/>
        </w:numPr>
        <w:spacing w:after="80"/>
      </w:pPr>
      <w:r>
        <w:t xml:space="preserve">Implement a CMRC/string-theory recovery branch, if full DER-canon coverage is a goal: this is the single largest all-or-nothing addition in the crosswalk (19 CERTIFIED entries, none implemented), and the source material gives a genuinely complete worked derivation (Combined Compiler Theories Whitepaper Part IV §1.2) that could be independently re-executed with sympy the same way this compiler's other symbolic-general checks are done.</w:t>
      </w:r>
    </w:p>
    <w:p>
      <w:pPr>
        <w:pStyle w:val="ListParagraph"/>
        <w:numPr>
          <w:ilvl w:val="0"/>
          <w:numId w:val="1"/>
        </w:numPr>
        <w:spacing w:after="80"/>
      </w:pPr>
      <w:r>
        <w:t xml:space="preserve">Extend compiler/protocol/protocol_taxonomy.py with new layers for the DER canon's SDR/ORG/SPC/VAR/GEO/GAU/QR/TRC/CMRC/VAL/ARBS branches so this crosswalk becomes a live, regenerated compiler artifact (protocol_matrix.json) rather than a static document — the same treatment this session already gave the earlier "Protocol Matrix v1.0" design taxonomy.</w:t>
      </w:r>
    </w:p>
    <w:p>
      <w:r>
        <w:br w:type="page"/>
      </w:r>
    </w:p>
    <w:p>
      <w:pPr>
        <w:pStyle w:val="Heading1"/>
        <w:spacing w:after="120" w:before="240"/>
      </w:pPr>
      <w:r>
        <w:t xml:space="preserve">6. Conclusion</w:t>
      </w:r>
    </w:p>
    <w:p>
      <w:pPr>
        <w:spacing w:after="160"/>
      </w:pPr>
      <w:r>
        <w:t xml:space="preserve">The compiler is not failing to track its own specification documents; it is applying its own, stricter certification standard to them, exactly as that standard was designed to do. The size of the resulting gap — the great majority of a 57-entry DER Registry, all 19 CMRC entries, all 5 MDCL validation entries, and the entire ARBS structural apparatus have no corresponding executed compiler artifact — is real and should not be minimized. But it is a backlog of well-specified, individually scoped engineering tasks, not a sign that the architecture has drifted from its documentation by accident. The two direct contradictions found (DER-GEO-001's metric-uniqueness claim, and THM-ANOM's gauge-group claim) are the most important findings in this audit precisely because they are not gaps at all: they are places where this compiler's own independent, executed numerics have something specific and checkable to say back to the documentation, and what they say does not currently agree with it.</w:t>
      </w:r>
    </w:p>
    <w:p>
      <w:pPr>
        <w:spacing w:after="160"/>
      </w:pPr>
      <w:r>
        <w:t xml:space="preserve">This document, together with compiler/protocol/protocol_matrix.py's existing NO_CORRESPONDING_ARTIFACT findings from the prior audit pass, is intended as the working backlog for closing that gap — not as a verdict on the underlying research program, which remains, on its own terms, an open and active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2026-08-21T22:35:08.161Z</dcterms:created>
  <dcterms:modified xsi:type="dcterms:W3CDTF">2026-08-21T22:35:08.161Z</dcterms:modified>
</cp:coreProperties>
</file>

<file path=docProps/custom.xml><?xml version="1.0" encoding="utf-8"?>
<Properties xmlns="http://schemas.openxmlformats.org/officeDocument/2006/custom-properties" xmlns:vt="http://schemas.openxmlformats.org/officeDocument/2006/docPropsVTypes"/>
</file>