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A1A2E"/>
          <w:sz w:val="52"/>
          <w:szCs w:val="52"/>
        </w:rPr>
        <w:t xml:space="preserve">CONSTRAINT ARCHITECTURE THEORY</w:t>
      </w:r>
    </w:p>
    <w:p>
      <w:pPr>
        <w:spacing w:after="60" w:before="0"/>
        <w:jc w:val="center"/>
      </w:pPr>
      <w:r>
        <w:rPr>
          <w:rFonts w:ascii="Arial" w:cs="Arial" w:eastAsia="Arial" w:hAnsi="Arial"/>
          <w:i/>
          <w:iCs/>
          <w:color w:val="555555"/>
          <w:sz w:val="30"/>
          <w:szCs w:val="30"/>
        </w:rPr>
        <w:t xml:space="preserve">A Unified Framework for Structural Intelligence</w:t>
      </w:r>
    </w:p>
    <w:p>
      <w:pPr>
        <w:pBdr>
          <w:bottom w:val="single" w:color="CCCCCC" w:sz="4" w:space="1"/>
        </w:pBdr>
        <w:spacing w:after="180" w:before="180"/>
      </w:pPr>
      <w:r>
        <w:t xml:space="preserve"/>
      </w:r>
    </w:p>
    <w:p>
      <w:pPr>
        <w:spacing w:after="80" w:before="120"/>
        <w:jc w:val="center"/>
      </w:pPr>
      <w:r>
        <w:rPr>
          <w:rFonts w:ascii="Arial" w:cs="Arial" w:eastAsia="Arial" w:hAnsi="Arial"/>
          <w:color w:val="444444"/>
          <w:sz w:val="22"/>
          <w:szCs w:val="22"/>
        </w:rPr>
        <w:t xml:space="preserve">Integrating TNDS · Gamma · SNIE · Possibility Landscape Theory</w:t>
      </w:r>
    </w:p>
    <w:p>
      <w:pPr>
        <w:spacing w:after="40" w:before="80"/>
        <w:jc w:val="center"/>
      </w:pPr>
      <w:r>
        <w:rPr>
          <w:rFonts w:ascii="Arial" w:cs="Arial" w:eastAsia="Arial" w:hAnsi="Arial"/>
          <w:color w:val="444444"/>
          <w:sz w:val="22"/>
          <w:szCs w:val="22"/>
        </w:rPr>
        <w:t xml:space="preserve">Toward the Architecture Intelligence Terminal (AIT)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Working Paper · Research Monograph · Technical Specification</w:t>
      </w:r>
    </w:p>
    <w:p>
      <w:pPr>
        <w:spacing w:before="40"/>
        <w:jc w:val="center"/>
      </w:pPr>
      <w:r>
        <w:rPr>
          <w:rFonts w:ascii="Arial" w:cs="Arial" w:eastAsia="Arial" w:hAnsi="Arial"/>
          <w:color w:val="888888"/>
          <w:sz w:val="20"/>
          <w:szCs w:val="20"/>
        </w:rPr>
        <w:t xml:space="preserve">2025–2026</w:t>
      </w:r>
    </w:p>
    <w:p>
      <w:r>
        <w:br w:type="page"/>
      </w:r>
    </w:p>
    <w:p>
      <w:pPr>
        <w:pStyle w:val="Heading1"/>
        <w:spacing w:after="200" w:before="480"/>
      </w:pPr>
      <w:r>
        <w:rPr>
          <w:rFonts w:ascii="Arial" w:cs="Arial" w:eastAsia="Arial" w:hAnsi="Arial"/>
          <w:b/>
          <w:bCs/>
          <w:color w:val="1A1A2E"/>
          <w:sz w:val="32"/>
          <w:szCs w:val="32"/>
        </w:rPr>
        <w:t xml:space="preserve">Abstract</w:t>
      </w:r>
    </w:p>
    <w:p>
      <w:pPr>
        <w:spacing w:after="140" w:before="100" w:line="320"/>
      </w:pPr>
      <w:r>
        <w:rPr>
          <w:rFonts w:ascii="Georgia" w:cs="Georgia" w:eastAsia="Georgia" w:hAnsi="Georgia"/>
          <w:sz w:val="22"/>
          <w:szCs w:val="22"/>
        </w:rPr>
        <w:t xml:space="preserve">This monograph presents a unified research program synthesizing six interrelated frameworks into a single coherent theory of how constraints generate architectures, how architectures generate new constraints, and how this recursive process can be identified, measured, modeled, and operationalized across physical, economic, institutional, technological, and cognitive systems.</w:t>
      </w:r>
    </w:p>
    <w:p>
      <w:pPr>
        <w:spacing w:after="140" w:before="100" w:line="320"/>
      </w:pPr>
      <w:r>
        <w:rPr>
          <w:rFonts w:ascii="Georgia" w:cs="Georgia" w:eastAsia="Georgia" w:hAnsi="Georgia"/>
          <w:sz w:val="22"/>
          <w:szCs w:val="22"/>
        </w:rPr>
        <w:t xml:space="preserve">The foundational ontology derives from Thermodynamic Non-Equilibrium Dissipative Systems (TNDS), which models reality as layered constraint architectures evolving through increasing self-maintenance. Gamma (Γ) provides the measurement architecture for recursive possibility production. The Structural Necessity Intelligence Engine (SNIE) operationalizes constraint identification as a forward intelligence pipeline. Possibility Landscape Theory establishes that systems do not select among infinite possibilities but navigate a constrained reachability space. The Corporate Topology Framework applies these concepts to economic classification. The Architecture Intelligence Terminal (AIT) represents the operational software implementation target.</w:t>
      </w:r>
    </w:p>
    <w:p>
      <w:pPr>
        <w:spacing w:after="140" w:before="100" w:line="320"/>
      </w:pPr>
      <w:r>
        <w:rPr>
          <w:rFonts w:ascii="Georgia" w:cs="Georgia" w:eastAsia="Georgia" w:hAnsi="Georgia"/>
          <w:sz w:val="22"/>
          <w:szCs w:val="22"/>
        </w:rPr>
        <w:t xml:space="preserve">The central thesis is that most analytical failures—in investment, policy, science, and strategy—arise from misidentifying which constraint is currently dominant. The research program provides the formal vocabulary, measurement protocols, validation criteria, and software architecture to correct this failure systematically.</w:t>
      </w:r>
    </w:p>
    <w:p>
      <w:pPr>
        <w:spacing w:after="140" w:before="100" w:line="320"/>
      </w:pPr>
      <w:r>
        <w:rPr>
          <w:rFonts w:ascii="Georgia" w:cs="Georgia" w:eastAsia="Georgia" w:hAnsi="Georgia"/>
          <w:sz w:val="22"/>
          <w:szCs w:val="22"/>
        </w:rPr>
        <w:t xml:space="preserve">This document is intended as a handoff artifact for software engineers, systems researchers, institutional analysts, economists, and AI researchers. It is designed to compress maximum theoretical content into minimum space while providing sufficient formal structure for independent implementation.</w:t>
      </w:r>
    </w:p>
    <w:p>
      <w:pPr>
        <w:spacing w:after="60" w:before="60"/>
      </w:pPr>
      <w:r>
        <w:t xml:space="preserve"/>
      </w:r>
    </w:p>
    <w:p>
      <w:pPr>
        <w:spacing w:after="100" w:before="300"/>
      </w:pPr>
      <w:r>
        <w:rPr>
          <w:rFonts w:ascii="Arial" w:cs="Arial" w:eastAsia="Arial" w:hAnsi="Arial"/>
          <w:b/>
          <w:bCs/>
          <w:caps/>
          <w:color w:val="0F3460"/>
          <w:sz w:val="28"/>
          <w:szCs w:val="28"/>
        </w:rPr>
        <w:t xml:space="preserve">PART I: FOUNDATIONAL ONTOLOGY</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1. Introduction and Motivation</w:t>
      </w:r>
    </w:p>
    <w:p>
      <w:pPr>
        <w:spacing w:after="140" w:before="100" w:line="320"/>
      </w:pPr>
      <w:r>
        <w:rPr>
          <w:rFonts w:ascii="Georgia" w:cs="Georgia" w:eastAsia="Georgia" w:hAnsi="Georgia"/>
          <w:sz w:val="22"/>
          <w:szCs w:val="22"/>
        </w:rPr>
        <w:t xml:space="preserve">Most analytical frameworks make a fundamental error: they treat outcomes as primary objects of study. Standard economics studies prices. Standard strategy studies competitive positions. Standard investment analysis studies earnings. Standard policy analysis studies events.</w:t>
      </w:r>
    </w:p>
    <w:p>
      <w:pPr>
        <w:spacing w:after="140" w:before="100" w:line="320"/>
      </w:pPr>
      <w:r>
        <w:rPr>
          <w:rFonts w:ascii="Georgia" w:cs="Georgia" w:eastAsia="Georgia" w:hAnsi="Georgia"/>
          <w:sz w:val="22"/>
          <w:szCs w:val="22"/>
        </w:rPr>
        <w:t xml:space="preserve">This research program proposes a different primary object: the constraint. The claim is that outcomes are downstream consequences of constraint structures, and that identifying which constraints are operative—and which are changing—produces explanatory and predictive leverage unavailable to outcome-focused analysis.</w:t>
      </w:r>
    </w:p>
    <w:p>
      <w:pPr>
        <w:spacing w:after="140" w:before="100" w:line="320"/>
      </w:pPr>
      <w:r>
        <w:rPr>
          <w:rFonts w:ascii="Georgia" w:cs="Georgia" w:eastAsia="Georgia" w:hAnsi="Georgia"/>
          <w:sz w:val="22"/>
          <w:szCs w:val="22"/>
        </w:rPr>
        <w:t xml:space="preserve">The problem is not that constraints are unknown. The problem is that constraint identification is typically performed post-hoc, after the constraint has already produced its consequences. By that point, the information has been priced, legislated, or socially embedded. The research program asks whether constraints can be identified before consensus recognition.</w:t>
      </w:r>
    </w:p>
    <w:p>
      <w:pPr>
        <w:spacing w:after="140" w:before="100" w:line="320"/>
      </w:pPr>
      <w:r>
        <w:rPr>
          <w:rFonts w:ascii="Georgia" w:cs="Georgia" w:eastAsia="Georgia" w:hAnsi="Georgia"/>
          <w:sz w:val="22"/>
          <w:szCs w:val="22"/>
        </w:rPr>
        <w:t xml:space="preserve">The frameworks collected here emerged from a common observation: in thermodynamics, biology, economics, technology, and cognition, the most important structural changes are not events—they are shifts in which constraint is binding. TCP/IP did not matter because it was a protocol. It mattered because it shifted the constraint on global coordination from physical infrastructure to software architecture. CUDA did not matter because it was a graphics API. It mattered because it shifted the constraint on parallel computation from hardware to programming model.</w:t>
      </w:r>
    </w:p>
    <w:p>
      <w:pPr>
        <w:spacing w:after="140" w:before="100" w:line="320"/>
      </w:pPr>
      <w:r>
        <w:rPr>
          <w:rFonts w:ascii="Georgia" w:cs="Georgia" w:eastAsia="Georgia" w:hAnsi="Georgia"/>
          <w:sz w:val="22"/>
          <w:szCs w:val="22"/>
        </w:rPr>
        <w:t xml:space="preserve">The entire research program is organized around one recursive question:</w:t>
      </w:r>
    </w:p>
    <w:p>
      <w:pPr>
        <w:spacing w:after="120" w:before="120"/>
        <w:jc w:val="center"/>
      </w:pPr>
      <w:r>
        <w:rPr>
          <w:rFonts w:ascii="Courier New" w:cs="Courier New" w:eastAsia="Courier New" w:hAnsi="Courier New"/>
          <w:color w:val="333333"/>
          <w:sz w:val="20"/>
          <w:szCs w:val="20"/>
        </w:rPr>
        <w:t xml:space="preserve">How do constraints create architectures, how do architectures create new constraints,</w:t>
      </w:r>
    </w:p>
    <w:p>
      <w:pPr>
        <w:spacing w:after="120" w:before="120"/>
        <w:jc w:val="center"/>
      </w:pPr>
      <w:r>
        <w:rPr>
          <w:rFonts w:ascii="Courier New" w:cs="Courier New" w:eastAsia="Courier New" w:hAnsi="Courier New"/>
          <w:color w:val="333333"/>
          <w:sz w:val="20"/>
          <w:szCs w:val="20"/>
        </w:rPr>
        <w:t xml:space="preserve">and how can this process be identified before its consequences become visible?</w:t>
      </w:r>
    </w:p>
    <w:p>
      <w:pPr>
        <w:pStyle w:val="Heading1"/>
        <w:spacing w:after="200" w:before="480"/>
      </w:pPr>
      <w:r>
        <w:rPr>
          <w:rFonts w:ascii="Arial" w:cs="Arial" w:eastAsia="Arial" w:hAnsi="Arial"/>
          <w:b/>
          <w:bCs/>
          <w:color w:val="1A1A2E"/>
          <w:sz w:val="32"/>
          <w:szCs w:val="32"/>
        </w:rPr>
        <w:t xml:space="preserve">2. Unified Ontology</w:t>
      </w:r>
    </w:p>
    <w:p>
      <w:pPr>
        <w:spacing w:after="140" w:before="100" w:line="320"/>
      </w:pPr>
      <w:r>
        <w:rPr>
          <w:rFonts w:ascii="Georgia" w:cs="Georgia" w:eastAsia="Georgia" w:hAnsi="Georgia"/>
          <w:sz w:val="22"/>
          <w:szCs w:val="22"/>
        </w:rPr>
        <w:t xml:space="preserve">The unified ontology rests on five claims:</w:t>
      </w:r>
    </w:p>
    <w:p>
      <w:pPr>
        <w:spacing w:after="140" w:before="100" w:line="320"/>
      </w:pPr>
      <w:r>
        <w:rPr>
          <w:rFonts w:ascii="Georgia" w:cs="Georgia" w:eastAsia="Georgia" w:hAnsi="Georgia"/>
          <w:sz w:val="22"/>
          <w:szCs w:val="22"/>
        </w:rPr>
        <w:t xml:space="preserve">Claim 1: Reality is a navigable possibility landscape. All possible states exist. The relevant question is which states are reachable from the current configuration of constraints.</w:t>
      </w:r>
    </w:p>
    <w:p>
      <w:pPr>
        <w:spacing w:after="140" w:before="100" w:line="320"/>
      </w:pPr>
      <w:r>
        <w:rPr>
          <w:rFonts w:ascii="Georgia" w:cs="Georgia" w:eastAsia="Georgia" w:hAnsi="Georgia"/>
          <w:sz w:val="22"/>
          <w:szCs w:val="22"/>
        </w:rPr>
        <w:t xml:space="preserve">Claim 2: Constraints are primary. Constraints determine which transitions are possible. Architectures are the stable patterns that emerge from repeated constraint-driven selection.</w:t>
      </w:r>
    </w:p>
    <w:p>
      <w:pPr>
        <w:spacing w:after="140" w:before="100" w:line="320"/>
      </w:pPr>
      <w:r>
        <w:rPr>
          <w:rFonts w:ascii="Georgia" w:cs="Georgia" w:eastAsia="Georgia" w:hAnsi="Georgia"/>
          <w:sz w:val="22"/>
          <w:szCs w:val="22"/>
        </w:rPr>
        <w:t xml:space="preserve">Claim 3: Architectures become constraints. When a structure achieves sufficient adoption, it becomes the constraint environment within which subsequent selection occurs. This recursion is the central mechanism.</w:t>
      </w:r>
    </w:p>
    <w:p>
      <w:pPr>
        <w:spacing w:after="140" w:before="100" w:line="320"/>
      </w:pPr>
      <w:r>
        <w:rPr>
          <w:rFonts w:ascii="Georgia" w:cs="Georgia" w:eastAsia="Georgia" w:hAnsi="Georgia"/>
          <w:sz w:val="22"/>
          <w:szCs w:val="22"/>
        </w:rPr>
        <w:t xml:space="preserve">Claim 4: Reachability is the deepest scarcity. Not energy, capital, or information—but the set of futures that a system can actually reach from its current state. This set can be expanded (Gamma production) or contracted (constraint failure).</w:t>
      </w:r>
    </w:p>
    <w:p>
      <w:pPr>
        <w:spacing w:after="140" w:before="100" w:line="320"/>
      </w:pPr>
      <w:r>
        <w:rPr>
          <w:rFonts w:ascii="Georgia" w:cs="Georgia" w:eastAsia="Georgia" w:hAnsi="Georgia"/>
          <w:sz w:val="22"/>
          <w:szCs w:val="22"/>
        </w:rPr>
        <w:t xml:space="preserve">Claim 5: Value capture follows structural position. Entities that occupy bottleneck positions within constraint architectures capture disproportionate value. Translation measures how completely this capture occurs.</w:t>
      </w:r>
    </w:p>
    <w:p>
      <w:pPr>
        <w:pStyle w:val="Heading2"/>
        <w:spacing w:after="160" w:before="320"/>
      </w:pPr>
      <w:r>
        <w:rPr>
          <w:rFonts w:ascii="Arial" w:cs="Arial" w:eastAsia="Arial" w:hAnsi="Arial"/>
          <w:b/>
          <w:bCs/>
          <w:color w:val="16213E"/>
          <w:sz w:val="26"/>
          <w:szCs w:val="26"/>
        </w:rPr>
        <w:t xml:space="preserve">2.1 The Primary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Layer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Description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Possibility Space (Ω)</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All conceivable states. Fixed. Not created by agents.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Reachable States R(t)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Subset of Ω accessible from current system state. Variable.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Constraint Architecture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rule-set determining which transitions are permitted.</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Attractor Basins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Stable regions of state-space that systems tend to fall into.</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Dependency Networks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graph of entities that require a given architecture to function.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Translation Layer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mechanisms by which structural position converts to captured value.</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2.2 The Recursive Loop</w:t>
      </w:r>
    </w:p>
    <w:p>
      <w:pPr>
        <w:spacing w:after="140" w:before="100" w:line="320"/>
      </w:pPr>
      <w:r>
        <w:rPr>
          <w:rFonts w:ascii="Georgia" w:cs="Georgia" w:eastAsia="Georgia" w:hAnsi="Georgia"/>
          <w:sz w:val="22"/>
          <w:szCs w:val="22"/>
        </w:rPr>
        <w:t xml:space="preserve">The fundamental loop of the research program is:</w:t>
      </w:r>
    </w:p>
    <w:p>
      <w:pPr>
        <w:spacing w:after="120" w:before="120"/>
        <w:jc w:val="center"/>
      </w:pPr>
      <w:r>
        <w:rPr>
          <w:rFonts w:ascii="Courier New" w:cs="Courier New" w:eastAsia="Courier New" w:hAnsi="Courier New"/>
          <w:color w:val="333333"/>
          <w:sz w:val="20"/>
          <w:szCs w:val="20"/>
        </w:rPr>
        <w:t xml:space="preserve">Constraint → Selection → Architecture → Dependency → New Constraint</w:t>
      </w:r>
    </w:p>
    <w:p>
      <w:pPr>
        <w:spacing w:after="140" w:before="100" w:line="320"/>
      </w:pPr>
      <w:r>
        <w:rPr>
          <w:rFonts w:ascii="Georgia" w:cs="Georgia" w:eastAsia="Georgia" w:hAnsi="Georgia"/>
          <w:sz w:val="22"/>
          <w:szCs w:val="22"/>
        </w:rPr>
        <w:t xml:space="preserve">At each cycle, the surviving architecture becomes the constraint environment for the next cycle of variation and selection. This is not metaphor—it is the literal mechanism by which CUDA became the constraint on AI training, by which English became the constraint on global business communication, by which double-entry bookkeeping became the constraint on capital allocation.</w:t>
      </w:r>
    </w:p>
    <w:p>
      <w:pPr>
        <w:spacing w:after="100" w:before="400"/>
      </w:pPr>
      <w:r>
        <w:rPr>
          <w:rFonts w:ascii="Arial" w:cs="Arial" w:eastAsia="Arial" w:hAnsi="Arial"/>
          <w:b/>
          <w:bCs/>
          <w:caps/>
          <w:color w:val="0F3460"/>
          <w:sz w:val="28"/>
          <w:szCs w:val="28"/>
        </w:rPr>
        <w:t xml:space="preserve">PART II: CORE FRAMEWORKS</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3. TNDS: Thermodynamic Non-Equilibrium Dissipative Systems</w:t>
      </w:r>
    </w:p>
    <w:p>
      <w:pPr>
        <w:spacing w:after="140" w:before="100" w:line="320"/>
      </w:pPr>
      <w:r>
        <w:rPr>
          <w:rFonts w:ascii="Georgia" w:cs="Georgia" w:eastAsia="Georgia" w:hAnsi="Georgia"/>
          <w:sz w:val="22"/>
          <w:szCs w:val="22"/>
        </w:rPr>
        <w:t xml:space="preserve">TNDS provides the foundational ontology of the entire program. It models reality as layered constraint architectures that evolve through increasing levels of self-maintaining organization. The key insight is that life, cognition, and civilization are not anomalies within physics—they are the predictable result of systems discovering increasingly efficient navigation policies through the possibility landscape.</w:t>
      </w:r>
    </w:p>
    <w:p>
      <w:pPr>
        <w:pStyle w:val="Heading2"/>
        <w:spacing w:after="160" w:before="320"/>
      </w:pPr>
      <w:r>
        <w:rPr>
          <w:rFonts w:ascii="Arial" w:cs="Arial" w:eastAsia="Arial" w:hAnsi="Arial"/>
          <w:b/>
          <w:bCs/>
          <w:color w:val="16213E"/>
          <w:sz w:val="26"/>
          <w:szCs w:val="26"/>
        </w:rPr>
        <w:t xml:space="preserve">3.1 The TNDS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0</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Energy substrate (Sun). Provides traversal energy, not structure.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0.5</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Boundary/Membrane. Filters reachable transitions. First constraint architecture.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1</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Life. Discovers stable navigation policies. Maintains structure far from equilibrium.</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2</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Predictive modeling. Internal representation of environment enables prospective selection.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3</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Brains. Simulate paths before traversing them. Navigation becomes prospective.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4</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Science. Compresses reachability information. Navigation becomes transmissible.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5</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Normative systems. Coordinate navigation policy across agents. Shared constraint architecture.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Tier 6+</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Governance, institutions, civilizations. Recursive self-revision of the navigation architecture itself.</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3.2 The Inversion Horizon</w:t>
      </w:r>
    </w:p>
    <w:p>
      <w:pPr>
        <w:spacing w:after="140" w:before="100" w:line="320"/>
      </w:pPr>
      <w:r>
        <w:rPr>
          <w:rFonts w:ascii="Georgia" w:cs="Georgia" w:eastAsia="Georgia" w:hAnsi="Georgia"/>
          <w:sz w:val="22"/>
          <w:szCs w:val="22"/>
        </w:rPr>
        <w:t xml:space="preserve">A critical threshold occurs when a system begins modeling its own navigation process rather than merely modeling the environment. A scientist is not merely self-aware—they are aware of how they search. This recursive self-modeling is what TNDS calls the Inversion Horizon, and it marks the transition from navigation to meta-navigation.</w:t>
      </w:r>
    </w:p>
    <w:p>
      <w:pPr>
        <w:spacing w:after="140" w:before="100" w:line="320"/>
      </w:pPr>
      <w:r>
        <w:rPr>
          <w:rFonts w:ascii="Georgia" w:cs="Georgia" w:eastAsia="Georgia" w:hAnsi="Georgia"/>
          <w:sz w:val="22"/>
          <w:szCs w:val="22"/>
        </w:rPr>
        <w:t xml:space="preserve">Implication for AI: Intelligence should be measured not as prediction accuracy or optimization power, but as navigation efficiency through reachable state space. An AI system is valuable to the extent it reaches beneficial regions of possibility space with fewer costly explorations.</w:t>
      </w:r>
    </w:p>
    <w:p>
      <w:pPr>
        <w:pStyle w:val="Heading2"/>
        <w:spacing w:after="160" w:before="320"/>
      </w:pPr>
      <w:r>
        <w:rPr>
          <w:rFonts w:ascii="Arial" w:cs="Arial" w:eastAsia="Arial" w:hAnsi="Arial"/>
          <w:b/>
          <w:bCs/>
          <w:color w:val="16213E"/>
          <w:sz w:val="26"/>
          <w:szCs w:val="26"/>
        </w:rPr>
        <w:t xml:space="preserve">3.3 TNDS-XR: The Predictive Extension</w:t>
      </w:r>
    </w:p>
    <w:p>
      <w:pPr>
        <w:spacing w:after="140" w:before="100" w:line="320"/>
      </w:pPr>
      <w:r>
        <w:rPr>
          <w:rFonts w:ascii="Georgia" w:cs="Georgia" w:eastAsia="Georgia" w:hAnsi="Georgia"/>
          <w:sz w:val="22"/>
          <w:szCs w:val="22"/>
        </w:rPr>
        <w:t xml:space="preserve">The standard TNDS analysis pipeline produces observation and explanation. TNDS-XR extends this with mandatory prediction generation. For any analytical thesis, TNDS-XR requires:</w:t>
      </w:r>
    </w:p>
    <w:p>
      <w:pPr>
        <w:pStyle w:val="ListParagraph"/>
        <w:numPr>
          <w:ilvl w:val="0"/>
          <w:numId w:val="2"/>
        </w:numPr>
        <w:spacing w:after="60" w:before="60"/>
      </w:pPr>
      <w:r>
        <w:rPr>
          <w:rFonts w:ascii="Georgia" w:cs="Georgia" w:eastAsia="Georgia" w:hAnsi="Georgia"/>
          <w:sz w:val="22"/>
          <w:szCs w:val="22"/>
        </w:rPr>
        <w:t xml:space="preserve">Observable predictions: What should appear if the thesis is correct?</w:t>
      </w:r>
    </w:p>
    <w:p>
      <w:pPr>
        <w:pStyle w:val="ListParagraph"/>
        <w:numPr>
          <w:ilvl w:val="0"/>
          <w:numId w:val="2"/>
        </w:numPr>
        <w:spacing w:after="60" w:before="60"/>
      </w:pPr>
      <w:r>
        <w:rPr>
          <w:rFonts w:ascii="Georgia" w:cs="Georgia" w:eastAsia="Georgia" w:hAnsi="Georgia"/>
          <w:sz w:val="22"/>
          <w:szCs w:val="22"/>
        </w:rPr>
        <w:t xml:space="preserve">Observable non-predictions: What should not appear?</w:t>
      </w:r>
    </w:p>
    <w:p>
      <w:pPr>
        <w:pStyle w:val="ListParagraph"/>
        <w:numPr>
          <w:ilvl w:val="0"/>
          <w:numId w:val="2"/>
        </w:numPr>
        <w:spacing w:after="60" w:before="60"/>
      </w:pPr>
      <w:r>
        <w:rPr>
          <w:rFonts w:ascii="Georgia" w:cs="Georgia" w:eastAsia="Georgia" w:hAnsi="Georgia"/>
          <w:sz w:val="22"/>
          <w:szCs w:val="22"/>
        </w:rPr>
        <w:t xml:space="preserve">Leading indicators: What signals appear first?</w:t>
      </w:r>
    </w:p>
    <w:p>
      <w:pPr>
        <w:pStyle w:val="ListParagraph"/>
        <w:numPr>
          <w:ilvl w:val="0"/>
          <w:numId w:val="2"/>
        </w:numPr>
        <w:spacing w:after="60" w:before="60"/>
      </w:pPr>
      <w:r>
        <w:rPr>
          <w:rFonts w:ascii="Georgia" w:cs="Georgia" w:eastAsia="Georgia" w:hAnsi="Georgia"/>
          <w:sz w:val="22"/>
          <w:szCs w:val="22"/>
        </w:rPr>
        <w:t xml:space="preserve">Lagging indicators: What signals appear later?</w:t>
      </w:r>
    </w:p>
    <w:p>
      <w:pPr>
        <w:pStyle w:val="ListParagraph"/>
        <w:numPr>
          <w:ilvl w:val="0"/>
          <w:numId w:val="2"/>
        </w:numPr>
        <w:spacing w:after="60" w:before="60"/>
      </w:pPr>
      <w:r>
        <w:rPr>
          <w:rFonts w:ascii="Georgia" w:cs="Georgia" w:eastAsia="Georgia" w:hAnsi="Georgia"/>
          <w:sz w:val="22"/>
          <w:szCs w:val="22"/>
        </w:rPr>
        <w:t xml:space="preserve">Time horizons: 3-month, 1-year, 3-year, 10-year confidence bands</w:t>
      </w:r>
    </w:p>
    <w:p>
      <w:pPr>
        <w:pStyle w:val="ListParagraph"/>
        <w:numPr>
          <w:ilvl w:val="0"/>
          <w:numId w:val="2"/>
        </w:numPr>
        <w:spacing w:after="60" w:before="60"/>
      </w:pPr>
      <w:r>
        <w:rPr>
          <w:rFonts w:ascii="Georgia" w:cs="Georgia" w:eastAsia="Georgia" w:hAnsi="Georgia"/>
          <w:sz w:val="22"/>
          <w:szCs w:val="22"/>
        </w:rPr>
        <w:t xml:space="preserve">Kill criteria: What evidence immediately invalidates the thesis?</w:t>
      </w:r>
    </w:p>
    <w:p>
      <w:pPr>
        <w:spacing w:after="140" w:before="100" w:line="320"/>
      </w:pPr>
      <w:r>
        <w:rPr>
          <w:rFonts w:ascii="Georgia" w:cs="Georgia" w:eastAsia="Georgia" w:hAnsi="Georgia"/>
          <w:sz w:val="22"/>
          <w:szCs w:val="22"/>
        </w:rPr>
        <w:t xml:space="preserve">Without this extension, analysis is always improvable post-hoc and therefore not falsifiable. TNDS-XR converts narrative into forecast.</w:t>
      </w:r>
    </w:p>
    <w:p>
      <w:pPr>
        <w:pStyle w:val="Heading1"/>
        <w:spacing w:after="200" w:before="480"/>
      </w:pPr>
      <w:r>
        <w:rPr>
          <w:rFonts w:ascii="Arial" w:cs="Arial" w:eastAsia="Arial" w:hAnsi="Arial"/>
          <w:b/>
          <w:bCs/>
          <w:color w:val="1A1A2E"/>
          <w:sz w:val="32"/>
          <w:szCs w:val="32"/>
        </w:rPr>
        <w:t xml:space="preserve">4. Gamma: Recursive Architecture Production</w:t>
      </w:r>
    </w:p>
    <w:p>
      <w:pPr>
        <w:spacing w:after="140" w:before="100" w:line="320"/>
      </w:pPr>
      <w:r>
        <w:rPr>
          <w:rFonts w:ascii="Georgia" w:cs="Georgia" w:eastAsia="Georgia" w:hAnsi="Georgia"/>
          <w:sz w:val="22"/>
          <w:szCs w:val="22"/>
        </w:rPr>
        <w:t xml:space="preserve">Gamma (Γ) is the central measurement variable of the research program. It does not measure the current state of a system, its growth rate, or its size. It measures the recursive architecture production capacity of a system: how rapidly a system generates compositional structures that remain generative.</w:t>
      </w:r>
    </w:p>
    <w:p>
      <w:pPr>
        <w:pStyle w:val="Heading2"/>
        <w:spacing w:after="160" w:before="320"/>
      </w:pPr>
      <w:r>
        <w:rPr>
          <w:rFonts w:ascii="Arial" w:cs="Arial" w:eastAsia="Arial" w:hAnsi="Arial"/>
          <w:b/>
          <w:bCs/>
          <w:color w:val="16213E"/>
          <w:sz w:val="26"/>
          <w:szCs w:val="26"/>
        </w:rPr>
        <w:t xml:space="preserve">4.1 Core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Interface Dimensionality I_d(ν)</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number of compositionally distinct contexts that structure ν can participate in. A protein with many binding sites has high I_d. An API with many downstream consumers has high I_d.</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Generative Gain ΔI_d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increase in interface dimensionality produced by a composition. ΔI_d = I_d(νi ⊕ νj) − max(I_d(νi), I_d(νj)). Positive ΔI_d is necessary for admissible composition.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Gamma Γ = dI_d/dL</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Growth of interface dimensionality across compositional depth L. Measures how rapidly new compositional opportunities appear as architectural depth increases.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Γ₁ (Novelty Production)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Production of new interfaces, compositions, or platforms. What new possibilities were created?</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Γ₂ (Reachability Expansion)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Expansion of the accessible possibility frontier. How much did the system expand the set of reachable future states?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Structural Gravity Index (SGI)</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Difficulty of routing around a structure once adopted. SGI = (Breadth × Depth × Replacement Cost)^(1/3).</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Translation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Proportion of ecosystem value that flows to the entity as shareholder capture. Translation = (Revenue Capture + Cash Capture) / 2.</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DRM (Downstream Revenue Multiplier)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Total revenue generated by dependent downstream entities per unit of the substrate entity's revenue. Measures substrate intensity.</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4.2 Admissibility Conditions for Generative Composition</w:t>
      </w:r>
    </w:p>
    <w:p>
      <w:pPr>
        <w:spacing w:after="140" w:before="100" w:line="320"/>
      </w:pPr>
      <w:r>
        <w:rPr>
          <w:rFonts w:ascii="Georgia" w:cs="Georgia" w:eastAsia="Georgia" w:hAnsi="Georgia"/>
          <w:sz w:val="22"/>
          <w:szCs w:val="22"/>
        </w:rPr>
        <w:t xml:space="preserve">Not all combinations are generative. A composition νi ⊕ νj is admissible (Gamma-producing) if and only if three conditions hold simultaneously:</w:t>
      </w:r>
    </w:p>
    <w:p>
      <w:pPr>
        <w:spacing w:after="120" w:before="120"/>
        <w:jc w:val="center"/>
      </w:pPr>
      <w:r>
        <w:rPr>
          <w:rFonts w:ascii="Courier New" w:cs="Courier New" w:eastAsia="Courier New" w:hAnsi="Courier New"/>
          <w:color w:val="333333"/>
          <w:sz w:val="20"/>
          <w:szCs w:val="20"/>
        </w:rPr>
        <w:t xml:space="preserve">Rule 1: κ(Ci, Cj) &gt; 0   [Constraint Compatibility — constraints must not be mutually exclusive]</w:t>
      </w:r>
    </w:p>
    <w:p>
      <w:pPr>
        <w:spacing w:after="120" w:before="120"/>
        <w:jc w:val="center"/>
      </w:pPr>
      <w:r>
        <w:rPr>
          <w:rFonts w:ascii="Courier New" w:cs="Courier New" w:eastAsia="Courier New" w:hAnsi="Courier New"/>
          <w:color w:val="333333"/>
          <w:sz w:val="20"/>
          <w:szCs w:val="20"/>
        </w:rPr>
        <w:t xml:space="preserve">Rule 2: β(Bi, Bj) &gt; 0   [Resource Complementarity — components must provide asymmetric value]</w:t>
      </w:r>
    </w:p>
    <w:p>
      <w:pPr>
        <w:spacing w:after="120" w:before="120"/>
        <w:jc w:val="center"/>
      </w:pPr>
      <w:r>
        <w:rPr>
          <w:rFonts w:ascii="Courier New" w:cs="Courier New" w:eastAsia="Courier New" w:hAnsi="Courier New"/>
          <w:color w:val="333333"/>
          <w:sz w:val="20"/>
          <w:szCs w:val="20"/>
        </w:rPr>
        <w:t xml:space="preserve">Rule 3: ΔI_d &gt; 0        [Generative Gain — composition must expand interface dimensionality]</w:t>
      </w:r>
    </w:p>
    <w:p>
      <w:pPr>
        <w:spacing w:after="140" w:before="100" w:line="320"/>
      </w:pPr>
      <w:r>
        <w:rPr>
          <w:rFonts w:ascii="Georgia" w:cs="Georgia" w:eastAsia="Georgia" w:hAnsi="Georgia"/>
          <w:sz w:val="22"/>
          <w:szCs w:val="22"/>
        </w:rPr>
        <w:t xml:space="preserve">Current market analysis evaluates Rule 2 almost exclusively. The framework evaluates all three simultaneously. This is what the authors call a fundamentally different coordination substrate.</w:t>
      </w:r>
    </w:p>
    <w:p>
      <w:pPr>
        <w:pStyle w:val="Heading2"/>
        <w:spacing w:after="160" w:before="320"/>
      </w:pPr>
      <w:r>
        <w:rPr>
          <w:rFonts w:ascii="Arial" w:cs="Arial" w:eastAsia="Arial" w:hAnsi="Arial"/>
          <w:b/>
          <w:bCs/>
          <w:color w:val="16213E"/>
          <w:sz w:val="26"/>
          <w:szCs w:val="26"/>
        </w:rPr>
        <w:t xml:space="preserve">4.3 The Possibility Landscape Geometry</w:t>
      </w:r>
    </w:p>
    <w:p>
      <w:pPr>
        <w:spacing w:after="140" w:before="100" w:line="320"/>
      </w:pPr>
      <w:r>
        <w:rPr>
          <w:rFonts w:ascii="Georgia" w:cs="Georgia" w:eastAsia="Georgia" w:hAnsi="Georgia"/>
          <w:sz w:val="22"/>
          <w:szCs w:val="22"/>
        </w:rPr>
        <w:t xml:space="preserve">When plotted on axes of Γ₂ (Reachability Expansion) versus SGI (Structural Gravity), systems occupy predictable regions corresponding to different evolutionary fates: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Upper Right — Full Substrate Winners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High Γ₂, high SGI. Expand possibility landscape and become difficult to remove. Examples: CUDA, TCP/IP, advanced lithography.</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Upper Left — Legacy Anchors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Low Γ₂, high SGI. Survive through accumulated coordination mass. Examples: QWERTY, existing legal systems.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Lower Right — Emerging Architects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High Γ₂, low SGI. Have opened new possibility space but not yet hardened into dependencies. Highest priority for prospective observation.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Lower Left — Failed Innovations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Low Γ₂, low SGI. Most innovations die here. Novel but never accumulated dependency.</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4.4 Kinematic Variables</w:t>
      </w:r>
    </w:p>
    <w:p>
      <w:pPr>
        <w:spacing w:after="140" w:before="100" w:line="320"/>
      </w:pPr>
      <w:r>
        <w:rPr>
          <w:rFonts w:ascii="Georgia" w:cs="Georgia" w:eastAsia="Georgia" w:hAnsi="Georgia"/>
          <w:sz w:val="22"/>
          <w:szCs w:val="22"/>
        </w:rPr>
        <w:t xml:space="preserve">Static position is less important than trajectory. The framework defines kinematic variables for measuring movement through the possibility landscape:</w:t>
      </w:r>
    </w:p>
    <w:p>
      <w:pPr>
        <w:spacing w:after="120" w:before="120"/>
        <w:jc w:val="center"/>
      </w:pPr>
      <w:r>
        <w:rPr>
          <w:rFonts w:ascii="Courier New" w:cs="Courier New" w:eastAsia="Courier New" w:hAnsi="Courier New"/>
          <w:color w:val="333333"/>
          <w:sz w:val="20"/>
          <w:szCs w:val="20"/>
        </w:rPr>
        <w:t xml:space="preserve">Velocity = √(ΔΓ₂² + ΔSGI²) / ΔYear</w:t>
      </w:r>
    </w:p>
    <w:p>
      <w:pPr>
        <w:spacing w:after="120" w:before="120"/>
        <w:jc w:val="center"/>
      </w:pPr>
      <w:r>
        <w:rPr>
          <w:rFonts w:ascii="Courier New" w:cs="Courier New" w:eastAsia="Courier New" w:hAnsi="Courier New"/>
          <w:color w:val="333333"/>
          <w:sz w:val="20"/>
          <w:szCs w:val="20"/>
        </w:rPr>
        <w:t xml:space="preserve">Acceleration = ΔVelocity / ΔYear</w:t>
      </w:r>
    </w:p>
    <w:p>
      <w:pPr>
        <w:spacing w:after="140" w:before="100" w:line="320"/>
      </w:pPr>
      <w:r>
        <w:rPr>
          <w:rFonts w:ascii="Georgia" w:cs="Georgia" w:eastAsia="Georgia" w:hAnsi="Georgia"/>
          <w:sz w:val="22"/>
          <w:szCs w:val="22"/>
        </w:rPr>
        <w:t xml:space="preserve">These variables convert the framework from a classification system into a dynamics system. The relevant question is not where a system currently sits but which regions of the possibility landscape it is moving toward.</w:t>
      </w:r>
    </w:p>
    <w:p>
      <w:pPr>
        <w:pStyle w:val="Heading2"/>
        <w:spacing w:after="160" w:before="320"/>
      </w:pPr>
      <w:r>
        <w:rPr>
          <w:rFonts w:ascii="Arial" w:cs="Arial" w:eastAsia="Arial" w:hAnsi="Arial"/>
          <w:b/>
          <w:bCs/>
          <w:color w:val="16213E"/>
          <w:sz w:val="26"/>
          <w:szCs w:val="26"/>
        </w:rPr>
        <w:t xml:space="preserve">4.5 GGS-M1: Measurement Protocol</w:t>
      </w:r>
    </w:p>
    <w:p>
      <w:pPr>
        <w:spacing w:after="140" w:before="100" w:line="320"/>
      </w:pPr>
      <w:r>
        <w:rPr>
          <w:rFonts w:ascii="Georgia" w:cs="Georgia" w:eastAsia="Georgia" w:hAnsi="Georgia"/>
          <w:sz w:val="22"/>
          <w:szCs w:val="22"/>
        </w:rPr>
        <w:t xml:space="preserve">Gamma is currently conceptually complete but operationally incomplete. The Generative Gain Specification (GGS-M1) identifies the measurement gap and defines the validation requirements:</w:t>
      </w:r>
    </w:p>
    <w:p>
      <w:pPr>
        <w:pStyle w:val="ListParagraph"/>
        <w:numPr>
          <w:ilvl w:val="0"/>
          <w:numId w:val="2"/>
        </w:numPr>
        <w:spacing w:after="60" w:before="60"/>
      </w:pPr>
      <w:r>
        <w:rPr>
          <w:rFonts w:ascii="Georgia" w:cs="Georgia" w:eastAsia="Georgia" w:hAnsi="Georgia"/>
          <w:sz w:val="22"/>
          <w:szCs w:val="22"/>
        </w:rPr>
        <w:t xml:space="preserve">Inter-rater reliability: Independent researchers must extract substantially identical adjacency graphs from identical ecosystems.</w:t>
      </w:r>
    </w:p>
    <w:p>
      <w:pPr>
        <w:pStyle w:val="ListParagraph"/>
        <w:numPr>
          <w:ilvl w:val="0"/>
          <w:numId w:val="2"/>
        </w:numPr>
        <w:spacing w:after="60" w:before="60"/>
      </w:pPr>
      <w:r>
        <w:rPr>
          <w:rFonts w:ascii="Georgia" w:cs="Georgia" w:eastAsia="Georgia" w:hAnsi="Georgia"/>
          <w:sz w:val="22"/>
          <w:szCs w:val="22"/>
        </w:rPr>
        <w:t xml:space="preserve">Machine-extractable interface definition: Interfaces must be defined without subjective judgment (API endpoints, function signatures, package exports, dependency declarations).</w:t>
      </w:r>
    </w:p>
    <w:p>
      <w:pPr>
        <w:pStyle w:val="ListParagraph"/>
        <w:numPr>
          <w:ilvl w:val="0"/>
          <w:numId w:val="2"/>
        </w:numPr>
        <w:spacing w:after="60" w:before="60"/>
      </w:pPr>
      <w:r>
        <w:rPr>
          <w:rFonts w:ascii="Georgia" w:cs="Georgia" w:eastAsia="Georgia" w:hAnsi="Georgia"/>
          <w:sz w:val="22"/>
          <w:szCs w:val="22"/>
        </w:rPr>
        <w:t xml:space="preserve">Binary composition criterion: Composition either occurred or did not. No continuous judgments.</w:t>
      </w:r>
    </w:p>
    <w:p>
      <w:pPr>
        <w:pStyle w:val="ListParagraph"/>
        <w:numPr>
          <w:ilvl w:val="0"/>
          <w:numId w:val="2"/>
        </w:numPr>
        <w:spacing w:after="60" w:before="60"/>
      </w:pPr>
      <w:r>
        <w:rPr>
          <w:rFonts w:ascii="Georgia" w:cs="Georgia" w:eastAsia="Georgia" w:hAnsi="Georgia"/>
          <w:sz w:val="22"/>
          <w:szCs w:val="22"/>
        </w:rPr>
        <w:t xml:space="preserve">Pre-measurement requirement: Γ must be calculable before observing performance outcomes, or it is descriptive rather than predictive.</w:t>
      </w:r>
    </w:p>
    <w:p>
      <w:pPr>
        <w:spacing w:after="140" w:before="100" w:line="320"/>
      </w:pPr>
      <w:r>
        <w:rPr>
          <w:rFonts w:ascii="Georgia" w:cs="Georgia" w:eastAsia="Georgia" w:hAnsi="Georgia"/>
          <w:sz w:val="22"/>
          <w:szCs w:val="22"/>
        </w:rPr>
        <w:t xml:space="preserve">The framework is falsified if Γ proves to be merely a proxy for existing metrics such as dependency counts, GitHub stars, or developer adoption rates.</w:t>
      </w:r>
    </w:p>
    <w:p>
      <w:pPr>
        <w:pStyle w:val="Heading1"/>
        <w:spacing w:after="200" w:before="480"/>
      </w:pPr>
      <w:r>
        <w:rPr>
          <w:rFonts w:ascii="Arial" w:cs="Arial" w:eastAsia="Arial" w:hAnsi="Arial"/>
          <w:b/>
          <w:bCs/>
          <w:color w:val="1A1A2E"/>
          <w:sz w:val="32"/>
          <w:szCs w:val="32"/>
        </w:rPr>
        <w:t xml:space="preserve">5. SNIE: Structural Necessity Intelligence Engine</w:t>
      </w:r>
    </w:p>
    <w:p>
      <w:pPr>
        <w:spacing w:after="140" w:before="100" w:line="320"/>
      </w:pPr>
      <w:r>
        <w:rPr>
          <w:rFonts w:ascii="Georgia" w:cs="Georgia" w:eastAsia="Georgia" w:hAnsi="Georgia"/>
          <w:sz w:val="22"/>
          <w:szCs w:val="22"/>
        </w:rPr>
        <w:t xml:space="preserve">SNIE operationalizes the constraint intelligence framework as an analytical pipeline. Its core assumption is that events do not matter directly—constraints matter. Outcomes emerge from changing necessity relationships.</w:t>
      </w:r>
    </w:p>
    <w:p>
      <w:pPr>
        <w:pStyle w:val="Heading2"/>
        <w:spacing w:after="160" w:before="320"/>
      </w:pPr>
      <w:r>
        <w:rPr>
          <w:rFonts w:ascii="Arial" w:cs="Arial" w:eastAsia="Arial" w:hAnsi="Arial"/>
          <w:b/>
          <w:bCs/>
          <w:color w:val="16213E"/>
          <w:sz w:val="26"/>
          <w:szCs w:val="26"/>
        </w:rPr>
        <w:t xml:space="preserve">5.1 The SNIE Pipeline</w:t>
      </w:r>
    </w:p>
    <w:p>
      <w:pPr>
        <w:spacing w:after="120" w:before="120"/>
        <w:jc w:val="center"/>
      </w:pPr>
      <w:r>
        <w:rPr>
          <w:rFonts w:ascii="Courier New" w:cs="Courier New" w:eastAsia="Courier New" w:hAnsi="Courier New"/>
          <w:color w:val="333333"/>
          <w:sz w:val="20"/>
          <w:szCs w:val="20"/>
        </w:rPr>
        <w:t xml:space="preserve">Event → Constraint → Dependency → Necessity → Outcome → Scenario</w:t>
      </w:r>
    </w:p>
    <w:p>
      <w:pPr>
        <w:spacing w:after="140" w:before="100" w:line="320"/>
      </w:pPr>
      <w:r>
        <w:rPr>
          <w:rFonts w:ascii="Georgia" w:cs="Georgia" w:eastAsia="Georgia" w:hAnsi="Georgia"/>
          <w:sz w:val="22"/>
          <w:szCs w:val="22"/>
        </w:rPr>
        <w:t xml:space="preserve">Each step in the pipeline performs a specific analytical transformation. An event (market shift, regulatory change, technological development) is first translated into the constraints it modifies. Those constraints are then mapped to the dependencies they affect. Dependencies determine necessity relationships. Necessity relationships determine the range of possible outcomes. Scenarios describe the distribution of those outcomes under different assumption sets.</w:t>
      </w:r>
    </w:p>
    <w:p>
      <w:pPr>
        <w:pStyle w:val="Heading2"/>
        <w:spacing w:after="160" w:before="320"/>
      </w:pPr>
      <w:r>
        <w:rPr>
          <w:rFonts w:ascii="Arial" w:cs="Arial" w:eastAsia="Arial" w:hAnsi="Arial"/>
          <w:b/>
          <w:bCs/>
          <w:color w:val="16213E"/>
          <w:sz w:val="26"/>
          <w:szCs w:val="26"/>
        </w:rPr>
        <w:t xml:space="preserve">5.2 Constraint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Objective Constraints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Physical, chemical, mathematical, thermodynamic limits. Not negotiable. Examples: speed of light, entropy, computational complexity bounds.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Human Constraints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Institutional, regulatory, social, psychological limits. Negotiable but sticky. Examples: legal systems, cultural norms, organizational structures.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Informational Constraints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Limits arising from what actors know and don't know. Highly variable. Examples: market information asymmetries, classified intelligence, proprietary data.</w:t>
            </w:r>
          </w:p>
        </w:tc>
      </w:tr>
    </w:tbl>
    <w:p>
      <w:pPr>
        <w:spacing w:after="60" w:before="60"/>
      </w:pPr>
      <w:r>
        <w:t xml:space="preserve"/>
      </w:r>
    </w:p>
    <w:p>
      <w:pPr>
        <w:spacing w:after="140" w:before="100" w:line="320"/>
      </w:pPr>
      <w:r>
        <w:rPr>
          <w:rFonts w:ascii="Georgia" w:cs="Georgia" w:eastAsia="Georgia" w:hAnsi="Georgia"/>
          <w:sz w:val="22"/>
          <w:szCs w:val="22"/>
        </w:rPr>
        <w:t xml:space="preserve">The central analytical error in most systems is misidentifying the dominant constraint. A policy intervention that treats an objective constraint as if it were human (attempting to legislate against thermodynamics) fails categorically. An economic intervention that treats a human constraint as if it were objective (assuming social norms are fixed) fails predictably. SNIE's primary function is correct constraint identification.</w:t>
      </w:r>
    </w:p>
    <w:p>
      <w:pPr>
        <w:pStyle w:val="Heading2"/>
        <w:spacing w:after="160" w:before="320"/>
      </w:pPr>
      <w:r>
        <w:rPr>
          <w:rFonts w:ascii="Arial" w:cs="Arial" w:eastAsia="Arial" w:hAnsi="Arial"/>
          <w:b/>
          <w:bCs/>
          <w:color w:val="16213E"/>
          <w:sz w:val="26"/>
          <w:szCs w:val="26"/>
        </w:rPr>
        <w:t xml:space="preserve">5.3 Structural Importance Before Consensus</w:t>
      </w:r>
    </w:p>
    <w:p>
      <w:pPr>
        <w:spacing w:after="140" w:before="100" w:line="320"/>
      </w:pPr>
      <w:r>
        <w:rPr>
          <w:rFonts w:ascii="Georgia" w:cs="Georgia" w:eastAsia="Georgia" w:hAnsi="Georgia"/>
          <w:sz w:val="22"/>
          <w:szCs w:val="22"/>
        </w:rPr>
        <w:t xml:space="preserve">SNIE functions as an intelligence engine designed to identify structural importance before consensus recognition. The standard analytical failure is that by the time a constraint is publicly recognized, its consequences have already been priced or embedded in policy. SNIE asks: which constraints are currently changing, and what is their downstream necessity cascade before the market or public recognizes them?</w:t>
      </w:r>
    </w:p>
    <w:p>
      <w:pPr>
        <w:pStyle w:val="Heading1"/>
        <w:spacing w:after="200" w:before="480"/>
      </w:pPr>
      <w:r>
        <w:rPr>
          <w:rFonts w:ascii="Arial" w:cs="Arial" w:eastAsia="Arial" w:hAnsi="Arial"/>
          <w:b/>
          <w:bCs/>
          <w:color w:val="1A1A2E"/>
          <w:sz w:val="32"/>
          <w:szCs w:val="32"/>
        </w:rPr>
        <w:t xml:space="preserve">6. Possibility Landscape Theory</w:t>
      </w:r>
    </w:p>
    <w:p>
      <w:pPr>
        <w:spacing w:after="140" w:before="100" w:line="320"/>
      </w:pPr>
      <w:r>
        <w:rPr>
          <w:rFonts w:ascii="Georgia" w:cs="Georgia" w:eastAsia="Georgia" w:hAnsi="Georgia"/>
          <w:sz w:val="22"/>
          <w:szCs w:val="22"/>
        </w:rPr>
        <w:t xml:space="preserve">Possibility Landscape Theory is the deepest layer of the framework, providing the ontological foundation beneath all other components. Its central claim is that the most important question is not 'which structure became dominant?' but 'which structures were reachable from the current state of the system?'</w:t>
      </w:r>
    </w:p>
    <w:p>
      <w:pPr>
        <w:pStyle w:val="Heading2"/>
        <w:spacing w:after="160" w:before="320"/>
      </w:pPr>
      <w:r>
        <w:rPr>
          <w:rFonts w:ascii="Arial" w:cs="Arial" w:eastAsia="Arial" w:hAnsi="Arial"/>
          <w:b/>
          <w:bCs/>
          <w:color w:val="16213E"/>
          <w:sz w:val="26"/>
          <w:szCs w:val="26"/>
        </w:rPr>
        <w:t xml:space="preserve">6.1 The Reachability Reformulation</w:t>
      </w:r>
    </w:p>
    <w:p>
      <w:pPr>
        <w:spacing w:after="140" w:before="100" w:line="320"/>
      </w:pPr>
      <w:r>
        <w:rPr>
          <w:rFonts w:ascii="Georgia" w:cs="Georgia" w:eastAsia="Georgia" w:hAnsi="Georgia"/>
          <w:sz w:val="22"/>
          <w:szCs w:val="22"/>
        </w:rPr>
        <w:t xml:space="preserve">This reformulation changes the nature of every question 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Standard Question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Possibility Landscape Question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Why did TCP/IP win?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Which communication architectures were actually reachable given the technological, institutional, and economic constraints of the era?</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Why did CUDA win?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Which parallel computing coordination architectures were reachable in the 2006–2025 compute environment?</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Which company will succeed?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Which strategic positions are reachable from the current constraint configuration?</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6.2 The Reachability Cascade</w:t>
      </w:r>
    </w:p>
    <w:p>
      <w:pPr>
        <w:spacing w:after="120" w:before="120"/>
        <w:jc w:val="center"/>
      </w:pPr>
      <w:r>
        <w:rPr>
          <w:rFonts w:ascii="Courier New" w:cs="Courier New" w:eastAsia="Courier New" w:hAnsi="Courier New"/>
          <w:color w:val="333333"/>
          <w:sz w:val="20"/>
          <w:szCs w:val="20"/>
        </w:rPr>
        <w:t xml:space="preserve">Possible Attractors → Discoverable Attractors → Selectable Attractors → Adopted Attractors → Persistent Attractors</w:t>
      </w:r>
    </w:p>
    <w:p>
      <w:pPr>
        <w:spacing w:after="140" w:before="100" w:line="320"/>
      </w:pPr>
      <w:r>
        <w:rPr>
          <w:rFonts w:ascii="Georgia" w:cs="Georgia" w:eastAsia="Georgia" w:hAnsi="Georgia"/>
          <w:sz w:val="22"/>
          <w:szCs w:val="22"/>
        </w:rPr>
        <w:t xml:space="preserve">The scarcity at each stage is different. Discovery is rarer than selection. Selection is rarer than adoption. Adoption is rarer than persistence. Most analytical attention focuses on adoption and persistence, which are the stages with the least remaining leverage. The highest leverage stages are possibility and discovery, which receive the least attention.</w:t>
      </w:r>
    </w:p>
    <w:p>
      <w:pPr>
        <w:pStyle w:val="Heading2"/>
        <w:spacing w:after="160" w:before="320"/>
      </w:pPr>
      <w:r>
        <w:rPr>
          <w:rFonts w:ascii="Arial" w:cs="Arial" w:eastAsia="Arial" w:hAnsi="Arial"/>
          <w:b/>
          <w:bCs/>
          <w:color w:val="16213E"/>
          <w:sz w:val="26"/>
          <w:szCs w:val="26"/>
        </w:rPr>
        <w:t xml:space="preserve">6.3 Γ₂ as Navigation Mechanism</w:t>
      </w:r>
    </w:p>
    <w:p>
      <w:pPr>
        <w:spacing w:after="140" w:before="100" w:line="320"/>
      </w:pPr>
      <w:r>
        <w:rPr>
          <w:rFonts w:ascii="Georgia" w:cs="Georgia" w:eastAsia="Georgia" w:hAnsi="Georgia"/>
          <w:sz w:val="22"/>
          <w:szCs w:val="22"/>
        </w:rPr>
        <w:t xml:space="preserve">Under the Possibility Landscape reframing, Γ₂ is no longer merely 'innovation.' It becomes the mechanism by which a system gains access to new regions of the possibility landscape. This elevates Γ₂ from a component of an investment framework to a fundamental ontological variable:</w:t>
      </w:r>
    </w:p>
    <w:p>
      <w:pPr>
        <w:spacing w:after="120" w:before="120"/>
        <w:jc w:val="center"/>
      </w:pPr>
      <w:r>
        <w:rPr>
          <w:rFonts w:ascii="Courier New" w:cs="Courier New" w:eastAsia="Courier New" w:hAnsi="Courier New"/>
          <w:color w:val="333333"/>
          <w:sz w:val="20"/>
          <w:szCs w:val="20"/>
        </w:rPr>
        <w:t xml:space="preserve">Γ = ΔR(t) — the increase in reachable state volume generated by stabilizing a new interface</w:t>
      </w:r>
    </w:p>
    <w:p>
      <w:pPr>
        <w:spacing w:after="140" w:before="100" w:line="320"/>
      </w:pPr>
      <w:r>
        <w:rPr>
          <w:rFonts w:ascii="Georgia" w:cs="Georgia" w:eastAsia="Georgia" w:hAnsi="Georgia"/>
          <w:sz w:val="22"/>
          <w:szCs w:val="22"/>
        </w:rPr>
        <w:t xml:space="preserve">This definition makes Γ potentially measurable across domains: Which materials maximize future reachability? Which software architectures? Which scientific discoveries? Which institutional configurations?</w:t>
      </w:r>
    </w:p>
    <w:p>
      <w:pPr>
        <w:pStyle w:val="Heading2"/>
        <w:spacing w:after="160" w:before="320"/>
      </w:pPr>
      <w:r>
        <w:rPr>
          <w:rFonts w:ascii="Arial" w:cs="Arial" w:eastAsia="Arial" w:hAnsi="Arial"/>
          <w:b/>
          <w:bCs/>
          <w:color w:val="16213E"/>
          <w:sz w:val="26"/>
          <w:szCs w:val="26"/>
        </w:rPr>
        <w:t xml:space="preserve">6.4 The Navigation Reformulation of Intelligence</w:t>
      </w:r>
    </w:p>
    <w:p>
      <w:pPr>
        <w:spacing w:after="140" w:before="100" w:line="320"/>
      </w:pPr>
      <w:r>
        <w:rPr>
          <w:rFonts w:ascii="Georgia" w:cs="Georgia" w:eastAsia="Georgia" w:hAnsi="Georgia"/>
          <w:sz w:val="22"/>
          <w:szCs w:val="22"/>
        </w:rPr>
        <w:t xml:space="preserve">The possibility landscape framework suggests a reformulation of intelligence itself:</w:t>
      </w:r>
    </w:p>
    <w:p>
      <w:pPr>
        <w:spacing w:after="120" w:before="120"/>
        <w:jc w:val="center"/>
      </w:pPr>
      <w:r>
        <w:rPr>
          <w:rFonts w:ascii="Courier New" w:cs="Courier New" w:eastAsia="Courier New" w:hAnsi="Courier New"/>
          <w:color w:val="333333"/>
          <w:sz w:val="20"/>
          <w:szCs w:val="20"/>
        </w:rPr>
        <w:t xml:space="preserve">Intelligence ≠ Prediction Accuracy</w:t>
      </w:r>
    </w:p>
    <w:p>
      <w:pPr>
        <w:spacing w:after="120" w:before="120"/>
        <w:jc w:val="center"/>
      </w:pPr>
      <w:r>
        <w:rPr>
          <w:rFonts w:ascii="Courier New" w:cs="Courier New" w:eastAsia="Courier New" w:hAnsi="Courier New"/>
          <w:color w:val="333333"/>
          <w:sz w:val="20"/>
          <w:szCs w:val="20"/>
        </w:rPr>
        <w:t xml:space="preserve">Intelligence ≠ Optimization Power</w:t>
      </w:r>
    </w:p>
    <w:p>
      <w:pPr>
        <w:spacing w:after="120" w:before="120"/>
        <w:jc w:val="center"/>
      </w:pPr>
      <w:r>
        <w:rPr>
          <w:rFonts w:ascii="Courier New" w:cs="Courier New" w:eastAsia="Courier New" w:hAnsi="Courier New"/>
          <w:color w:val="333333"/>
          <w:sz w:val="20"/>
          <w:szCs w:val="20"/>
        </w:rPr>
        <w:t xml:space="preserve">Intelligence = Navigation Efficiency through Reachable State Space</w:t>
      </w:r>
    </w:p>
    <w:p>
      <w:pPr>
        <w:spacing w:after="140" w:before="100" w:line="320"/>
      </w:pPr>
      <w:r>
        <w:rPr>
          <w:rFonts w:ascii="Georgia" w:cs="Georgia" w:eastAsia="Georgia" w:hAnsi="Georgia"/>
          <w:sz w:val="22"/>
          <w:szCs w:val="22"/>
        </w:rPr>
        <w:t xml:space="preserve">Under this definition, the history of cognitive development is the history of increasingly efficient navigation architectures: membranes filter transitions, brains simulate paths before traversing them, science compresses reachability information, institutions coordinate navigation policy across agents.</w:t>
      </w:r>
    </w:p>
    <w:p>
      <w:pPr>
        <w:spacing w:after="100" w:before="400"/>
      </w:pPr>
      <w:r>
        <w:rPr>
          <w:rFonts w:ascii="Arial" w:cs="Arial" w:eastAsia="Arial" w:hAnsi="Arial"/>
          <w:b/>
          <w:bCs/>
          <w:caps/>
          <w:color w:val="0F3460"/>
          <w:sz w:val="28"/>
          <w:szCs w:val="28"/>
        </w:rPr>
        <w:t xml:space="preserve">PART III: APPLIED FRAMEWORKS</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7. Corporate Topology Framework</w:t>
      </w:r>
    </w:p>
    <w:p>
      <w:pPr>
        <w:spacing w:after="140" w:before="100" w:line="320"/>
      </w:pPr>
      <w:r>
        <w:rPr>
          <w:rFonts w:ascii="Georgia" w:cs="Georgia" w:eastAsia="Georgia" w:hAnsi="Georgia"/>
          <w:sz w:val="22"/>
          <w:szCs w:val="22"/>
        </w:rPr>
        <w:t xml:space="preserve">The Corporate Topology Framework applies Gamma to economic systems, classifying entities according to their structural role within civilization's architecture rather than their financial characteristics.</w:t>
      </w:r>
    </w:p>
    <w:p>
      <w:pPr>
        <w:pStyle w:val="Heading2"/>
        <w:spacing w:after="160" w:before="320"/>
      </w:pPr>
      <w:r>
        <w:rPr>
          <w:rFonts w:ascii="Arial" w:cs="Arial" w:eastAsia="Arial" w:hAnsi="Arial"/>
          <w:b/>
          <w:bCs/>
          <w:color w:val="16213E"/>
          <w:sz w:val="26"/>
          <w:szCs w:val="26"/>
        </w:rPr>
        <w:t xml:space="preserve">7.1 The Seven Topology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Civilizational Substrates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whose absence would make large portions of civilization non-functional. Examples: energy grids, financial clearing, core internet infrastructure. High SGI, variable Γ₂.</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Strategic Substrates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that enable entire categories of downstream activity. Currently critical for civilizational trajectory. Examples: ASML lithography, CUDA, financial messaging rails.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Architecture Producers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currently producing new compositional layers. High Γ₂, growing SGI. The most strategically important quadrant for forward observation.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Platform Operators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operating within existing architectures at sufficient scale to create secondary dependency. High DRM, variable Translation.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Systemic Tollbooths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occupying mandatory routing positions within established architectures. High Translation, moderate to low Γ₂.</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Necessity Bottlenecks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controlling physical or informational resources with no near-term substitutes. SGI derives from supply constraint rather than network effect.</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Extraction Endpoints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extracting value from the system without producing structural gravity or reachability expansion. High short-term Translation, declining structural position.</w:t>
            </w:r>
          </w:p>
        </w:tc>
      </w:tr>
    </w:tbl>
    <w:p>
      <w:pPr>
        <w:spacing w:after="60" w:before="60"/>
      </w:pPr>
      <w:r>
        <w:t xml:space="preserve"/>
      </w:r>
    </w:p>
    <w:p>
      <w:pPr>
        <w:pStyle w:val="Heading2"/>
        <w:spacing w:after="160" w:before="320"/>
      </w:pPr>
      <w:r>
        <w:rPr>
          <w:rFonts w:ascii="Arial" w:cs="Arial" w:eastAsia="Arial" w:hAnsi="Arial"/>
          <w:b/>
          <w:bCs/>
          <w:color w:val="16213E"/>
          <w:sz w:val="26"/>
          <w:szCs w:val="26"/>
        </w:rPr>
        <w:t xml:space="preserve">7.2 Key Variables and Formulas</w:t>
      </w:r>
    </w:p>
    <w:p>
      <w:pPr>
        <w:spacing w:after="120" w:before="120"/>
        <w:jc w:val="center"/>
      </w:pPr>
      <w:r>
        <w:rPr>
          <w:rFonts w:ascii="Courier New" w:cs="Courier New" w:eastAsia="Courier New" w:hAnsi="Courier New"/>
          <w:color w:val="333333"/>
          <w:sz w:val="20"/>
          <w:szCs w:val="20"/>
        </w:rPr>
        <w:t xml:space="preserve">SGI = (Proxy_Breadth × Proxy_Depth × Proxy_ReplacementCost)^(1/3)</w:t>
      </w:r>
    </w:p>
    <w:p>
      <w:pPr>
        <w:spacing w:after="120" w:before="120"/>
        <w:jc w:val="center"/>
      </w:pPr>
      <w:r>
        <w:rPr>
          <w:rFonts w:ascii="Courier New" w:cs="Courier New" w:eastAsia="Courier New" w:hAnsi="Courier New"/>
          <w:color w:val="333333"/>
          <w:sz w:val="20"/>
          <w:szCs w:val="20"/>
        </w:rPr>
        <w:t xml:space="preserve">Translation = (Proxy_RevenueCapture + Proxy_CashCapture) / 2</w:t>
      </w:r>
    </w:p>
    <w:p>
      <w:pPr>
        <w:spacing w:after="120" w:before="120"/>
        <w:jc w:val="center"/>
      </w:pPr>
      <w:r>
        <w:rPr>
          <w:rFonts w:ascii="Courier New" w:cs="Courier New" w:eastAsia="Courier New" w:hAnsi="Courier New"/>
          <w:color w:val="333333"/>
          <w:sz w:val="20"/>
          <w:szCs w:val="20"/>
        </w:rPr>
        <w:t xml:space="preserve">DRM = Total Downstream Ecosystem Revenue / Entity Revenue</w:t>
      </w:r>
    </w:p>
    <w:p>
      <w:pPr>
        <w:spacing w:after="120" w:before="120"/>
        <w:jc w:val="center"/>
      </w:pPr>
      <w:r>
        <w:rPr>
          <w:rFonts w:ascii="Courier New" w:cs="Courier New" w:eastAsia="Courier New" w:hAnsi="Courier New"/>
          <w:color w:val="333333"/>
          <w:sz w:val="20"/>
          <w:szCs w:val="20"/>
        </w:rPr>
        <w:t xml:space="preserve">Velocity = √(ΔΓ₂² + ΔSGI²) / ΔYear</w:t>
      </w:r>
    </w:p>
    <w:p>
      <w:pPr>
        <w:spacing w:after="120" w:before="120"/>
        <w:jc w:val="center"/>
      </w:pPr>
      <w:r>
        <w:rPr>
          <w:rFonts w:ascii="Courier New" w:cs="Courier New" w:eastAsia="Courier New" w:hAnsi="Courier New"/>
          <w:color w:val="333333"/>
          <w:sz w:val="20"/>
          <w:szCs w:val="20"/>
        </w:rPr>
        <w:t xml:space="preserve">Acceleration = ΔVelocity / ΔYear</w:t>
      </w:r>
    </w:p>
    <w:p>
      <w:pPr>
        <w:pStyle w:val="Heading2"/>
        <w:spacing w:after="160" w:before="320"/>
      </w:pPr>
      <w:r>
        <w:rPr>
          <w:rFonts w:ascii="Arial" w:cs="Arial" w:eastAsia="Arial" w:hAnsi="Arial"/>
          <w:b/>
          <w:bCs/>
          <w:color w:val="16213E"/>
          <w:sz w:val="26"/>
          <w:szCs w:val="26"/>
        </w:rPr>
        <w:t xml:space="preserve">7.3 Translation: Value Creation vs. Value Capture</w:t>
      </w:r>
    </w:p>
    <w:p>
      <w:pPr>
        <w:spacing w:after="140" w:before="100" w:line="320"/>
      </w:pPr>
      <w:r>
        <w:rPr>
          <w:rFonts w:ascii="Georgia" w:cs="Georgia" w:eastAsia="Georgia" w:hAnsi="Georgia"/>
          <w:sz w:val="22"/>
          <w:szCs w:val="22"/>
        </w:rPr>
        <w:t xml:space="preserve">A critical distinction the framework introduces is between Gamma (architecture production / value creation) and Translation (shareholder capture / value appropriation). These can diverge dramatically. Linux has among the highest SGI in the software world—it is a civilizational substrate—yet Translation to any single entity is near zero. OpenAI has high Γ₂ but may have low Translation due to structural inability to capture the value it creates. The Apple iOS ecosystem historically had high Translation but declining SGI as upstream intelligence substrates abstract away its device-layer toll gate.</w:t>
      </w:r>
    </w:p>
    <w:p>
      <w:pPr>
        <w:spacing w:after="140" w:before="100" w:line="320"/>
      </w:pPr>
      <w:r>
        <w:rPr>
          <w:rFonts w:ascii="Georgia" w:cs="Georgia" w:eastAsia="Georgia" w:hAnsi="Georgia"/>
          <w:sz w:val="22"/>
          <w:szCs w:val="22"/>
        </w:rPr>
        <w:t xml:space="preserve">The Translation audit per entity becomes:</w:t>
      </w:r>
    </w:p>
    <w:p>
      <w:pPr>
        <w:pStyle w:val="ListParagraph"/>
        <w:numPr>
          <w:ilvl w:val="0"/>
          <w:numId w:val="2"/>
        </w:numPr>
        <w:spacing w:after="60" w:before="60"/>
      </w:pPr>
      <w:r>
        <w:rPr>
          <w:rFonts w:ascii="Georgia" w:cs="Georgia" w:eastAsia="Georgia" w:hAnsi="Georgia"/>
          <w:sz w:val="22"/>
          <w:szCs w:val="22"/>
        </w:rPr>
        <w:t xml:space="preserve">Γ₂ direction (expanding or contracting possibility production)</w:t>
      </w:r>
    </w:p>
    <w:p>
      <w:pPr>
        <w:pStyle w:val="ListParagraph"/>
        <w:numPr>
          <w:ilvl w:val="0"/>
          <w:numId w:val="2"/>
        </w:numPr>
        <w:spacing w:after="60" w:before="60"/>
      </w:pPr>
      <w:r>
        <w:rPr>
          <w:rFonts w:ascii="Georgia" w:cs="Georgia" w:eastAsia="Georgia" w:hAnsi="Georgia"/>
          <w:sz w:val="22"/>
          <w:szCs w:val="22"/>
        </w:rPr>
        <w:t xml:space="preserve">DRM direction (growing or shrinking substrate intensity)</w:t>
      </w:r>
    </w:p>
    <w:p>
      <w:pPr>
        <w:pStyle w:val="ListParagraph"/>
        <w:numPr>
          <w:ilvl w:val="0"/>
          <w:numId w:val="2"/>
        </w:numPr>
        <w:spacing w:after="60" w:before="60"/>
      </w:pPr>
      <w:r>
        <w:rPr>
          <w:rFonts w:ascii="Georgia" w:cs="Georgia" w:eastAsia="Georgia" w:hAnsi="Georgia"/>
          <w:sz w:val="22"/>
          <w:szCs w:val="22"/>
        </w:rPr>
        <w:t xml:space="preserve">Translation direction (strengthening or failing value capture)</w:t>
      </w:r>
    </w:p>
    <w:p>
      <w:pPr>
        <w:spacing w:after="140" w:before="100" w:line="320"/>
      </w:pPr>
      <w:r>
        <w:rPr>
          <w:rFonts w:ascii="Georgia" w:cs="Georgia" w:eastAsia="Georgia" w:hAnsi="Georgia"/>
          <w:sz w:val="22"/>
          <w:szCs w:val="22"/>
        </w:rPr>
        <w:t xml:space="preserve">All three directions together determine framework status: strengthening, weakening, or diverging.</w:t>
      </w:r>
    </w:p>
    <w:p>
      <w:pPr>
        <w:spacing w:after="100" w:before="400"/>
      </w:pPr>
      <w:r>
        <w:rPr>
          <w:rFonts w:ascii="Arial" w:cs="Arial" w:eastAsia="Arial" w:hAnsi="Arial"/>
          <w:b/>
          <w:bCs/>
          <w:caps/>
          <w:color w:val="0F3460"/>
          <w:sz w:val="28"/>
          <w:szCs w:val="28"/>
        </w:rPr>
        <w:t xml:space="preserve">PART IV: OPERATIONAL IMPLEMENTATION</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8. Architecture Intelligence Terminal (AIT)</w:t>
      </w:r>
    </w:p>
    <w:p>
      <w:pPr>
        <w:spacing w:after="140" w:before="100" w:line="320"/>
      </w:pPr>
      <w:r>
        <w:rPr>
          <w:rFonts w:ascii="Georgia" w:cs="Georgia" w:eastAsia="Georgia" w:hAnsi="Georgia"/>
          <w:sz w:val="22"/>
          <w:szCs w:val="22"/>
        </w:rPr>
        <w:t xml:space="preserve">The AIT is the proposed software implementation of the unified framework. It is not a trading platform, stock screener, or portfolio optimizer. It is a structural intelligence operating environment: the equivalent of Bloomberg Terminal for constraint architecture analysis.</w:t>
      </w:r>
    </w:p>
    <w:p>
      <w:pPr>
        <w:pStyle w:val="Heading2"/>
        <w:spacing w:after="160" w:before="320"/>
      </w:pPr>
      <w:r>
        <w:rPr>
          <w:rFonts w:ascii="Arial" w:cs="Arial" w:eastAsia="Arial" w:hAnsi="Arial"/>
          <w:b/>
          <w:bCs/>
          <w:color w:val="16213E"/>
          <w:sz w:val="26"/>
          <w:szCs w:val="26"/>
        </w:rPr>
        <w:t xml:space="preserve">8.1 Positioning</w:t>
      </w:r>
    </w:p>
    <w:p>
      <w:pPr>
        <w:spacing w:after="140" w:before="100" w:line="320"/>
      </w:pPr>
      <w:r>
        <w:rPr>
          <w:rFonts w:ascii="Georgia" w:cs="Georgia" w:eastAsia="Georgia" w:hAnsi="Georgia"/>
          <w:sz w:val="22"/>
          <w:szCs w:val="22"/>
        </w:rPr>
        <w:t xml:space="preserve">Existing tools (Bloomberg, Palantir, Stratfor, Gartner) organize information around:</w:t>
      </w:r>
    </w:p>
    <w:p>
      <w:pPr>
        <w:spacing w:after="120" w:before="120"/>
        <w:jc w:val="center"/>
      </w:pPr>
      <w:r>
        <w:rPr>
          <w:rFonts w:ascii="Courier New" w:cs="Courier New" w:eastAsia="Courier New" w:hAnsi="Courier New"/>
          <w:color w:val="333333"/>
          <w:sz w:val="20"/>
          <w:szCs w:val="20"/>
        </w:rPr>
        <w:t xml:space="preserve">Asset → Price → News → Fundamentals</w:t>
      </w:r>
    </w:p>
    <w:p>
      <w:pPr>
        <w:spacing w:after="140" w:before="100" w:line="320"/>
      </w:pPr>
      <w:r>
        <w:rPr>
          <w:rFonts w:ascii="Georgia" w:cs="Georgia" w:eastAsia="Georgia" w:hAnsi="Georgia"/>
          <w:sz w:val="22"/>
          <w:szCs w:val="22"/>
        </w:rPr>
        <w:t xml:space="preserve">AIT organizes information around:</w:t>
      </w:r>
    </w:p>
    <w:p>
      <w:pPr>
        <w:spacing w:after="120" w:before="120"/>
        <w:jc w:val="center"/>
      </w:pPr>
      <w:r>
        <w:rPr>
          <w:rFonts w:ascii="Courier New" w:cs="Courier New" w:eastAsia="Courier New" w:hAnsi="Courier New"/>
          <w:color w:val="333333"/>
          <w:sz w:val="20"/>
          <w:szCs w:val="20"/>
        </w:rPr>
        <w:t xml:space="preserve">Constraint → Dependency → Necessity → Architecture → Outcome</w:t>
      </w:r>
    </w:p>
    <w:p>
      <w:pPr>
        <w:spacing w:after="140" w:before="100" w:line="320"/>
      </w:pPr>
      <w:r>
        <w:rPr>
          <w:rFonts w:ascii="Georgia" w:cs="Georgia" w:eastAsia="Georgia" w:hAnsi="Georgia"/>
          <w:sz w:val="22"/>
          <w:szCs w:val="22"/>
        </w:rPr>
        <w:t xml:space="preserve">The distinction is not cosmetic. The first organization surfaces consequences. The second organization surfaces causes. By the time consequences are visible in price, earnings, or news, the structural change has already been embedded.</w:t>
      </w:r>
    </w:p>
    <w:p>
      <w:pPr>
        <w:pStyle w:val="Heading2"/>
        <w:spacing w:after="160" w:before="320"/>
      </w:pPr>
      <w:r>
        <w:rPr>
          <w:rFonts w:ascii="Arial" w:cs="Arial" w:eastAsia="Arial" w:hAnsi="Arial"/>
          <w:b/>
          <w:bCs/>
          <w:color w:val="16213E"/>
          <w:sz w:val="26"/>
          <w:szCs w:val="26"/>
        </w:rPr>
        <w:t xml:space="preserve">8.2 The Five Core Modules</w:t>
      </w:r>
    </w:p>
    <w:p>
      <w:pPr>
        <w:pStyle w:val="Heading3"/>
        <w:spacing w:after="100" w:before="200"/>
      </w:pPr>
      <w:r>
        <w:rPr>
          <w:rFonts w:ascii="Arial" w:cs="Arial" w:eastAsia="Arial" w:hAnsi="Arial"/>
          <w:b/>
          <w:bCs/>
          <w:color w:val="0F3460"/>
          <w:sz w:val="23"/>
          <w:szCs w:val="23"/>
        </w:rPr>
        <w:t xml:space="preserve">Module 1: Substrate Migration Monitor</w:t>
      </w:r>
    </w:p>
    <w:p>
      <w:pPr>
        <w:spacing w:after="140" w:before="100" w:line="320"/>
      </w:pPr>
      <w:r>
        <w:rPr>
          <w:rFonts w:ascii="Georgia" w:cs="Georgia" w:eastAsia="Georgia" w:hAnsi="Georgia"/>
          <w:sz w:val="22"/>
          <w:szCs w:val="22"/>
        </w:rPr>
        <w:t xml:space="preserve">Purpose: Detect structural gravity movement before it appears in financial data.</w:t>
      </w:r>
    </w:p>
    <w:p>
      <w:pPr>
        <w:spacing w:after="140" w:before="100" w:line="320"/>
      </w:pPr>
      <w:r>
        <w:rPr>
          <w:rFonts w:ascii="Georgia" w:cs="Georgia" w:eastAsia="Georgia" w:hAnsi="Georgia"/>
          <w:sz w:val="22"/>
          <w:szCs w:val="22"/>
        </w:rPr>
        <w:t xml:space="preserve">Core output: SGI momentum per entity (positive = gaining structural gravity, negative = losing it). NVIDIA +0.42. Apple −0.17. This is not stock momentum. It is structural momentum.</w:t>
      </w:r>
    </w:p>
    <w:p>
      <w:pPr>
        <w:pStyle w:val="Heading3"/>
        <w:spacing w:after="100" w:before="200"/>
      </w:pPr>
      <w:r>
        <w:rPr>
          <w:rFonts w:ascii="Arial" w:cs="Arial" w:eastAsia="Arial" w:hAnsi="Arial"/>
          <w:b/>
          <w:bCs/>
          <w:color w:val="0F3460"/>
          <w:sz w:val="23"/>
          <w:szCs w:val="23"/>
        </w:rPr>
        <w:t xml:space="preserve">Module 2: Translation Audit</w:t>
      </w:r>
    </w:p>
    <w:p>
      <w:pPr>
        <w:spacing w:after="140" w:before="100" w:line="320"/>
      </w:pPr>
      <w:r>
        <w:rPr>
          <w:rFonts w:ascii="Georgia" w:cs="Georgia" w:eastAsia="Georgia" w:hAnsi="Georgia"/>
          <w:sz w:val="22"/>
          <w:szCs w:val="22"/>
        </w:rPr>
        <w:t xml:space="preserve">Purpose: Determine whether ecosystem growth is becoming shareholder capture.</w:t>
      </w:r>
    </w:p>
    <w:p>
      <w:pPr>
        <w:spacing w:after="140" w:before="100" w:line="320"/>
      </w:pPr>
      <w:r>
        <w:rPr>
          <w:rFonts w:ascii="Georgia" w:cs="Georgia" w:eastAsia="Georgia" w:hAnsi="Georgia"/>
          <w:sz w:val="22"/>
          <w:szCs w:val="22"/>
        </w:rPr>
        <w:t xml:space="preserve">Per entity: Track Γ₂ growth, DRM growth, Translation growth simultaneously. Divergence between Γ₂ growth and Translation growth identifies Translation Failure—the entity is creating architectural value it cannot capture.</w:t>
      </w:r>
    </w:p>
    <w:p>
      <w:pPr>
        <w:pStyle w:val="Heading3"/>
        <w:spacing w:after="100" w:before="200"/>
      </w:pPr>
      <w:r>
        <w:rPr>
          <w:rFonts w:ascii="Arial" w:cs="Arial" w:eastAsia="Arial" w:hAnsi="Arial"/>
          <w:b/>
          <w:bCs/>
          <w:color w:val="0F3460"/>
          <w:sz w:val="23"/>
          <w:szCs w:val="23"/>
        </w:rPr>
        <w:t xml:space="preserve">Module 3: Dependency Dashboard</w:t>
      </w:r>
    </w:p>
    <w:p>
      <w:pPr>
        <w:spacing w:after="140" w:before="100" w:line="320"/>
      </w:pPr>
      <w:r>
        <w:rPr>
          <w:rFonts w:ascii="Georgia" w:cs="Georgia" w:eastAsia="Georgia" w:hAnsi="Georgia"/>
          <w:sz w:val="22"/>
          <w:szCs w:val="22"/>
        </w:rPr>
        <w:t xml:space="preserve">Purpose: Track the dependency network around each entity.</w:t>
      </w:r>
    </w:p>
    <w:p>
      <w:pPr>
        <w:spacing w:after="140" w:before="100" w:line="320"/>
      </w:pPr>
      <w:r>
        <w:rPr>
          <w:rFonts w:ascii="Georgia" w:cs="Georgia" w:eastAsia="Georgia" w:hAnsi="Georgia"/>
          <w:sz w:val="22"/>
          <w:szCs w:val="22"/>
        </w:rPr>
        <w:t xml:space="preserve">Core metrics: Developer count, enterprise adoption, API call volume, ecosystem revenue, third-party applications, infrastructure dependence. The question is not stock price. The question is: Are people building on top of this? Dependency accumulation precedes SGI growth by years.</w:t>
      </w:r>
    </w:p>
    <w:p>
      <w:pPr>
        <w:pStyle w:val="Heading3"/>
        <w:spacing w:after="100" w:before="200"/>
      </w:pPr>
      <w:r>
        <w:rPr>
          <w:rFonts w:ascii="Arial" w:cs="Arial" w:eastAsia="Arial" w:hAnsi="Arial"/>
          <w:b/>
          <w:bCs/>
          <w:color w:val="0F3460"/>
          <w:sz w:val="23"/>
          <w:szCs w:val="23"/>
        </w:rPr>
        <w:t xml:space="preserve">Module 4: Constraint Failure Monitor</w:t>
      </w:r>
    </w:p>
    <w:p>
      <w:pPr>
        <w:spacing w:after="140" w:before="100" w:line="320"/>
      </w:pPr>
      <w:r>
        <w:rPr>
          <w:rFonts w:ascii="Georgia" w:cs="Georgia" w:eastAsia="Georgia" w:hAnsi="Georgia"/>
          <w:sz w:val="22"/>
          <w:szCs w:val="22"/>
        </w:rPr>
        <w:t xml:space="preserve">Purpose: Identify what could destroy each bottleneck.</w:t>
      </w:r>
    </w:p>
    <w:p>
      <w:pPr>
        <w:spacing w:after="140" w:before="100" w:line="320"/>
      </w:pPr>
      <w:r>
        <w:rPr>
          <w:rFonts w:ascii="Georgia" w:cs="Georgia" w:eastAsia="Georgia" w:hAnsi="Georgia"/>
          <w:sz w:val="22"/>
          <w:szCs w:val="22"/>
        </w:rPr>
        <w:t xml:space="preserve">For every entity with high SGI, track the plausible substitution paths. For NVIDIA: CUDA portability, AMD CUDA-compatible adoption, custom ASIC share, open compute frameworks. For Visa: stablecoin settlement rails, real-time payment infrastructure, CBDC architecture. The framework must constantly ask what breaks the constraint, not what strengthens the company.</w:t>
      </w:r>
    </w:p>
    <w:p>
      <w:pPr>
        <w:pStyle w:val="Heading3"/>
        <w:spacing w:after="100" w:before="200"/>
      </w:pPr>
      <w:r>
        <w:rPr>
          <w:rFonts w:ascii="Arial" w:cs="Arial" w:eastAsia="Arial" w:hAnsi="Arial"/>
          <w:b/>
          <w:bCs/>
          <w:color w:val="0F3460"/>
          <w:sz w:val="23"/>
          <w:szCs w:val="23"/>
        </w:rPr>
        <w:t xml:space="preserve">Module 5: Attractor Velocity Engine</w:t>
      </w:r>
    </w:p>
    <w:p>
      <w:pPr>
        <w:spacing w:after="140" w:before="100" w:line="320"/>
      </w:pPr>
      <w:r>
        <w:rPr>
          <w:rFonts w:ascii="Georgia" w:cs="Georgia" w:eastAsia="Georgia" w:hAnsi="Georgia"/>
          <w:sz w:val="22"/>
          <w:szCs w:val="22"/>
        </w:rPr>
        <w:t xml:space="preserve">Purpose: Measure movement through possibility space over time.</w:t>
      </w:r>
    </w:p>
    <w:p>
      <w:pPr>
        <w:spacing w:after="140" w:before="100" w:line="320"/>
      </w:pPr>
      <w:r>
        <w:rPr>
          <w:rFonts w:ascii="Georgia" w:cs="Georgia" w:eastAsia="Georgia" w:hAnsi="Georgia"/>
          <w:sz w:val="22"/>
          <w:szCs w:val="22"/>
        </w:rPr>
        <w:t xml:space="preserve">Per entity: Current (Γ₂, SGI, Translation), Velocity (ΔΓ₂, ΔSGI), Acceleration (ΔVelocity). Output: ranking by attractor acceleration. This measures movement through possibility space rather than current status. Systems moving toward the upper-right quadrant of the landscape are the primary forward observation targets.</w:t>
      </w:r>
    </w:p>
    <w:p>
      <w:pPr>
        <w:pStyle w:val="Heading2"/>
        <w:spacing w:after="160" w:before="320"/>
      </w:pPr>
      <w:r>
        <w:rPr>
          <w:rFonts w:ascii="Arial" w:cs="Arial" w:eastAsia="Arial" w:hAnsi="Arial"/>
          <w:b/>
          <w:bCs/>
          <w:color w:val="16213E"/>
          <w:sz w:val="26"/>
          <w:szCs w:val="26"/>
        </w:rPr>
        <w:t xml:space="preserve">8.3 Daily Observation Output (Target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Top Attractor Acceleration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with highest positive Velocity and Acceleration in SGI × Γ₂ space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Top Translation Failures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with high Γ₂/DRM growth but declining Translation efficiency</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Top Gravity Losses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with negative ΔSGI — losing structural irreplaceability</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Emerging Substrates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in Lower Right quadrant moving toward Upper Right — high Γ₂ accumulating SGI</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Constraint Break Risks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Entities with high current SGI facing credible substitution paths</w:t>
            </w:r>
          </w:p>
        </w:tc>
      </w:tr>
    </w:tbl>
    <w:p>
      <w:pPr>
        <w:spacing w:after="60" w:before="60"/>
      </w:pPr>
      <w:r>
        <w:t xml:space="preserve"/>
      </w:r>
    </w:p>
    <w:p>
      <w:pPr>
        <w:pStyle w:val="Heading1"/>
        <w:spacing w:after="200" w:before="480"/>
      </w:pPr>
      <w:r>
        <w:rPr>
          <w:rFonts w:ascii="Arial" w:cs="Arial" w:eastAsia="Arial" w:hAnsi="Arial"/>
          <w:b/>
          <w:bCs/>
          <w:color w:val="1A1A2E"/>
          <w:sz w:val="32"/>
          <w:szCs w:val="32"/>
        </w:rPr>
        <w:t xml:space="preserve">9. Cross-Domain Applicability</w:t>
      </w:r>
    </w:p>
    <w:p>
      <w:pPr>
        <w:spacing w:after="140" w:before="100" w:line="320"/>
      </w:pPr>
      <w:r>
        <w:rPr>
          <w:rFonts w:ascii="Georgia" w:cs="Georgia" w:eastAsia="Georgia" w:hAnsi="Georgia"/>
          <w:sz w:val="22"/>
          <w:szCs w:val="22"/>
        </w:rPr>
        <w:t xml:space="preserve">A key property of the framework is that the causal chain is domain-invariant. The variables change names; the structure does not. This makes the framework applicable far beyond economics and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Domain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Γ₂ Analog</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Religion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Theological innovation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Political Ideology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Novel political framework</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Science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New explanatory framework</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Media / Narrative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Narrative innovation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Civilization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Innovation capacity</w:t>
            </w:r>
          </w:p>
        </w:tc>
      </w:tr>
    </w:tbl>
    <w:p>
      <w:pPr>
        <w:spacing w:after="60" w:before="60"/>
      </w:pPr>
      <w:r>
        <w:t xml:space="preserve"/>
      </w:r>
    </w:p>
    <w:p>
      <w:pPr>
        <w:spacing w:after="140" w:before="100" w:line="320"/>
      </w:pPr>
      <w:r>
        <w:rPr>
          <w:rFonts w:ascii="Georgia" w:cs="Georgia" w:eastAsia="Georgia" w:hAnsi="Georgia"/>
          <w:sz w:val="22"/>
          <w:szCs w:val="22"/>
        </w:rPr>
        <w:t xml:space="preserve">This domain-invariance is not analogy. It is the same causal mechanism operating at different scales. The framework claims that the same structural logic—Constraint → Architecture → Dependency → Translation—applies wherever adaptive systems compete for persistence.</w:t>
      </w:r>
    </w:p>
    <w:p>
      <w:pPr>
        <w:spacing w:after="100" w:before="400"/>
      </w:pPr>
      <w:r>
        <w:rPr>
          <w:rFonts w:ascii="Arial" w:cs="Arial" w:eastAsia="Arial" w:hAnsi="Arial"/>
          <w:b/>
          <w:bCs/>
          <w:caps/>
          <w:color w:val="0F3460"/>
          <w:sz w:val="28"/>
          <w:szCs w:val="28"/>
        </w:rPr>
        <w:t xml:space="preserve">PART V: VALIDATION AND FALSIFICATION</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10. Empirical Research Program and Validation</w:t>
      </w:r>
    </w:p>
    <w:p>
      <w:pPr>
        <w:pStyle w:val="Heading2"/>
        <w:spacing w:after="160" w:before="320"/>
      </w:pPr>
      <w:r>
        <w:rPr>
          <w:rFonts w:ascii="Arial" w:cs="Arial" w:eastAsia="Arial" w:hAnsi="Arial"/>
          <w:b/>
          <w:bCs/>
          <w:color w:val="16213E"/>
          <w:sz w:val="26"/>
          <w:szCs w:val="26"/>
        </w:rPr>
        <w:t xml:space="preserve">10.1 The Scientific Wager</w:t>
      </w:r>
    </w:p>
    <w:p>
      <w:pPr>
        <w:spacing w:after="140" w:before="100" w:line="320"/>
      </w:pPr>
      <w:r>
        <w:rPr>
          <w:rFonts w:ascii="Georgia" w:cs="Georgia" w:eastAsia="Georgia" w:hAnsi="Georgia"/>
          <w:sz w:val="22"/>
          <w:szCs w:val="22"/>
        </w:rPr>
        <w:t xml:space="preserve">The framework makes a specific falsifiable claim: structural fertility metrics (Γ, SGI, DRM, Translation) are causal drivers of long-term performance outcomes, not epiphenomena of popularity or size. The primary test is whether these variables, measured ex-ante (before observing outcomes), predict realized 5-year free cash flow CAGR, share of total industry profit pool capture, and total shareholder return better than conventional financial metrics.</w:t>
      </w:r>
    </w:p>
    <w:p>
      <w:pPr>
        <w:pStyle w:val="Heading2"/>
        <w:spacing w:after="160" w:before="320"/>
      </w:pPr>
      <w:r>
        <w:rPr>
          <w:rFonts w:ascii="Arial" w:cs="Arial" w:eastAsia="Arial" w:hAnsi="Arial"/>
          <w:b/>
          <w:bCs/>
          <w:color w:val="16213E"/>
          <w:sz w:val="26"/>
          <w:szCs w:val="26"/>
        </w:rPr>
        <w:t xml:space="preserve">10.2 Back-Cast Methodology</w:t>
      </w:r>
    </w:p>
    <w:p>
      <w:pPr>
        <w:spacing w:after="140" w:before="100" w:line="320"/>
      </w:pPr>
      <w:r>
        <w:rPr>
          <w:rFonts w:ascii="Georgia" w:cs="Georgia" w:eastAsia="Georgia" w:hAnsi="Georgia"/>
          <w:sz w:val="22"/>
          <w:szCs w:val="22"/>
        </w:rPr>
        <w:t xml:space="preserve">Before prospective testing, the framework should be validated retrospectively on known historical transitions:</w:t>
      </w:r>
    </w:p>
    <w:p>
      <w:pPr>
        <w:pStyle w:val="ListParagraph"/>
        <w:numPr>
          <w:ilvl w:val="0"/>
          <w:numId w:val="2"/>
        </w:numPr>
        <w:spacing w:after="60" w:before="60"/>
      </w:pPr>
      <w:r>
        <w:rPr>
          <w:rFonts w:ascii="Georgia" w:cs="Georgia" w:eastAsia="Georgia" w:hAnsi="Georgia"/>
          <w:sz w:val="22"/>
          <w:szCs w:val="22"/>
        </w:rPr>
        <w:t xml:space="preserve">TCP/IP adoption (1985–1995): Were constraint metrics predictive of which entities captured ecosystem value?</w:t>
      </w:r>
    </w:p>
    <w:p>
      <w:pPr>
        <w:pStyle w:val="ListParagraph"/>
        <w:numPr>
          <w:ilvl w:val="0"/>
          <w:numId w:val="2"/>
        </w:numPr>
        <w:spacing w:after="60" w:before="60"/>
      </w:pPr>
      <w:r>
        <w:rPr>
          <w:rFonts w:ascii="Georgia" w:cs="Georgia" w:eastAsia="Georgia" w:hAnsi="Georgia"/>
          <w:sz w:val="22"/>
          <w:szCs w:val="22"/>
        </w:rPr>
        <w:t xml:space="preserve">Linux foundation (1995–2010): Can framework explain the Dependency-to-Capture Divergence (maximum SGI, near-zero Translation)?</w:t>
      </w:r>
    </w:p>
    <w:p>
      <w:pPr>
        <w:pStyle w:val="ListParagraph"/>
        <w:numPr>
          <w:ilvl w:val="0"/>
          <w:numId w:val="2"/>
        </w:numPr>
        <w:spacing w:after="60" w:before="60"/>
      </w:pPr>
      <w:r>
        <w:rPr>
          <w:rFonts w:ascii="Georgia" w:cs="Georgia" w:eastAsia="Georgia" w:hAnsi="Georgia"/>
          <w:sz w:val="22"/>
          <w:szCs w:val="22"/>
        </w:rPr>
        <w:t xml:space="preserve">CUDA adoption (2007–2020): Did Γ₂ metrics identify NVIDIA's substrate trajectory before it became consensus?</w:t>
      </w:r>
    </w:p>
    <w:p>
      <w:pPr>
        <w:pStyle w:val="ListParagraph"/>
        <w:numPr>
          <w:ilvl w:val="0"/>
          <w:numId w:val="2"/>
        </w:numPr>
        <w:spacing w:after="60" w:before="60"/>
      </w:pPr>
      <w:r>
        <w:rPr>
          <w:rFonts w:ascii="Georgia" w:cs="Georgia" w:eastAsia="Georgia" w:hAnsi="Georgia"/>
          <w:sz w:val="22"/>
          <w:szCs w:val="22"/>
        </w:rPr>
        <w:t xml:space="preserve">Cloud infrastructure formation (2006–2015): Did SGI metrics identify Amazon Web Services' structural gravity accumulation?</w:t>
      </w:r>
    </w:p>
    <w:p>
      <w:pPr>
        <w:spacing w:after="140" w:before="100" w:line="320"/>
      </w:pPr>
      <w:r>
        <w:rPr>
          <w:rFonts w:ascii="Georgia" w:cs="Georgia" w:eastAsia="Georgia" w:hAnsi="Georgia"/>
          <w:sz w:val="22"/>
          <w:szCs w:val="22"/>
        </w:rPr>
        <w:t xml:space="preserve">Each back-cast provides: original constraint configuration, framework prediction (ex-ante reconstruction), realized outcome, and error analysis.</w:t>
      </w:r>
    </w:p>
    <w:p>
      <w:pPr>
        <w:pStyle w:val="Heading2"/>
        <w:spacing w:after="160" w:before="320"/>
      </w:pPr>
      <w:r>
        <w:rPr>
          <w:rFonts w:ascii="Arial" w:cs="Arial" w:eastAsia="Arial" w:hAnsi="Arial"/>
          <w:b/>
          <w:bCs/>
          <w:color w:val="16213E"/>
          <w:sz w:val="26"/>
          <w:szCs w:val="26"/>
        </w:rPr>
        <w:t xml:space="preserve">10.3 Forward Observation Methodology</w:t>
      </w:r>
    </w:p>
    <w:p>
      <w:pPr>
        <w:spacing w:after="140" w:before="100" w:line="320"/>
      </w:pPr>
      <w:r>
        <w:rPr>
          <w:rFonts w:ascii="Georgia" w:cs="Georgia" w:eastAsia="Georgia" w:hAnsi="Georgia"/>
          <w:sz w:val="22"/>
          <w:szCs w:val="22"/>
        </w:rPr>
        <w:t xml:space="preserve">The forward observation program identifies current Emerging Architects (Lower Right quadrant) and makes specific, time-stamped predictions about their trajectory toward substrate status. Each prediction includes:</w:t>
      </w:r>
    </w:p>
    <w:p>
      <w:pPr>
        <w:pStyle w:val="ListParagraph"/>
        <w:numPr>
          <w:ilvl w:val="0"/>
          <w:numId w:val="2"/>
        </w:numPr>
        <w:spacing w:after="60" w:before="60"/>
      </w:pPr>
      <w:r>
        <w:rPr>
          <w:rFonts w:ascii="Georgia" w:cs="Georgia" w:eastAsia="Georgia" w:hAnsi="Georgia"/>
          <w:sz w:val="22"/>
          <w:szCs w:val="22"/>
        </w:rPr>
        <w:t xml:space="preserve">Entity name and current (Γ₂, SGI, Translation) coordinates</w:t>
      </w:r>
    </w:p>
    <w:p>
      <w:pPr>
        <w:pStyle w:val="ListParagraph"/>
        <w:numPr>
          <w:ilvl w:val="0"/>
          <w:numId w:val="2"/>
        </w:numPr>
        <w:spacing w:after="60" w:before="60"/>
      </w:pPr>
      <w:r>
        <w:rPr>
          <w:rFonts w:ascii="Georgia" w:cs="Georgia" w:eastAsia="Georgia" w:hAnsi="Georgia"/>
          <w:sz w:val="22"/>
          <w:szCs w:val="22"/>
        </w:rPr>
        <w:t xml:space="preserve">Predicted trajectory toward or away from substrate status</w:t>
      </w:r>
    </w:p>
    <w:p>
      <w:pPr>
        <w:pStyle w:val="ListParagraph"/>
        <w:numPr>
          <w:ilvl w:val="0"/>
          <w:numId w:val="2"/>
        </w:numPr>
        <w:spacing w:after="60" w:before="60"/>
      </w:pPr>
      <w:r>
        <w:rPr>
          <w:rFonts w:ascii="Georgia" w:cs="Georgia" w:eastAsia="Georgia" w:hAnsi="Georgia"/>
          <w:sz w:val="22"/>
          <w:szCs w:val="22"/>
        </w:rPr>
        <w:t xml:space="preserve">Time horizon for trajectory realization (1-year, 3-year, 10-year)</w:t>
      </w:r>
    </w:p>
    <w:p>
      <w:pPr>
        <w:pStyle w:val="ListParagraph"/>
        <w:numPr>
          <w:ilvl w:val="0"/>
          <w:numId w:val="2"/>
        </w:numPr>
        <w:spacing w:after="60" w:before="60"/>
      </w:pPr>
      <w:r>
        <w:rPr>
          <w:rFonts w:ascii="Georgia" w:cs="Georgia" w:eastAsia="Georgia" w:hAnsi="Georgia"/>
          <w:sz w:val="22"/>
          <w:szCs w:val="22"/>
        </w:rPr>
        <w:t xml:space="preserve">Specific observable indicators that would confirm or disconfirm</w:t>
      </w:r>
    </w:p>
    <w:p>
      <w:pPr>
        <w:pStyle w:val="ListParagraph"/>
        <w:numPr>
          <w:ilvl w:val="0"/>
          <w:numId w:val="2"/>
        </w:numPr>
        <w:spacing w:after="60" w:before="60"/>
      </w:pPr>
      <w:r>
        <w:rPr>
          <w:rFonts w:ascii="Georgia" w:cs="Georgia" w:eastAsia="Georgia" w:hAnsi="Georgia"/>
          <w:sz w:val="22"/>
          <w:szCs w:val="22"/>
        </w:rPr>
        <w:t xml:space="preserve">Kill criteria: observations that immediately invalidate the prediction</w:t>
      </w:r>
    </w:p>
    <w:p>
      <w:pPr>
        <w:pStyle w:val="Heading2"/>
        <w:spacing w:after="160" w:before="320"/>
      </w:pPr>
      <w:r>
        <w:rPr>
          <w:rFonts w:ascii="Arial" w:cs="Arial" w:eastAsia="Arial" w:hAnsi="Arial"/>
          <w:b/>
          <w:bCs/>
          <w:color w:val="16213E"/>
          <w:sz w:val="26"/>
          <w:szCs w:val="26"/>
        </w:rPr>
        <w:t xml:space="preserve">10.4 Falsification Criteria</w:t>
      </w:r>
    </w:p>
    <w:p>
      <w:pPr>
        <w:spacing w:after="140" w:before="100" w:line="320"/>
      </w:pPr>
      <w:r>
        <w:rPr>
          <w:rFonts w:ascii="Georgia" w:cs="Georgia" w:eastAsia="Georgia" w:hAnsi="Georgia"/>
          <w:sz w:val="22"/>
          <w:szCs w:val="22"/>
        </w:rPr>
        <w:t xml:space="preserve">The framework is falsified under any of the following conditions:</w:t>
      </w:r>
    </w:p>
    <w:p>
      <w:pPr>
        <w:pStyle w:val="ListParagraph"/>
        <w:numPr>
          <w:ilvl w:val="0"/>
          <w:numId w:val="2"/>
        </w:numPr>
        <w:spacing w:after="60" w:before="60"/>
      </w:pPr>
      <w:r>
        <w:rPr>
          <w:rFonts w:ascii="Georgia" w:cs="Georgia" w:eastAsia="Georgia" w:hAnsi="Georgia"/>
          <w:sz w:val="22"/>
          <w:szCs w:val="22"/>
        </w:rPr>
        <w:t xml:space="preserve">Γ proves indistinguishable from simpler proxies (dependency count, GitHub stars, API call volume) when measured ex-ante.</w:t>
      </w:r>
    </w:p>
    <w:p>
      <w:pPr>
        <w:pStyle w:val="ListParagraph"/>
        <w:numPr>
          <w:ilvl w:val="0"/>
          <w:numId w:val="2"/>
        </w:numPr>
        <w:spacing w:after="60" w:before="60"/>
      </w:pPr>
      <w:r>
        <w:rPr>
          <w:rFonts w:ascii="Georgia" w:cs="Georgia" w:eastAsia="Georgia" w:hAnsi="Georgia"/>
          <w:sz w:val="22"/>
          <w:szCs w:val="22"/>
        </w:rPr>
        <w:t xml:space="preserve">SGI fails to predict routing difficulty—entities with high SGI are successfully routed around at rates comparable to low-SGI entities.</w:t>
      </w:r>
    </w:p>
    <w:p>
      <w:pPr>
        <w:pStyle w:val="ListParagraph"/>
        <w:numPr>
          <w:ilvl w:val="0"/>
          <w:numId w:val="2"/>
        </w:numPr>
        <w:spacing w:after="60" w:before="60"/>
      </w:pPr>
      <w:r>
        <w:rPr>
          <w:rFonts w:ascii="Georgia" w:cs="Georgia" w:eastAsia="Georgia" w:hAnsi="Georgia"/>
          <w:sz w:val="22"/>
          <w:szCs w:val="22"/>
        </w:rPr>
        <w:t xml:space="preserve">Translation fails to correlate with long-term free cash flow compounding at rates above base rates.</w:t>
      </w:r>
    </w:p>
    <w:p>
      <w:pPr>
        <w:pStyle w:val="ListParagraph"/>
        <w:numPr>
          <w:ilvl w:val="0"/>
          <w:numId w:val="2"/>
        </w:numPr>
        <w:spacing w:after="60" w:before="60"/>
      </w:pPr>
      <w:r>
        <w:rPr>
          <w:rFonts w:ascii="Georgia" w:cs="Georgia" w:eastAsia="Georgia" w:hAnsi="Georgia"/>
          <w:sz w:val="22"/>
          <w:szCs w:val="22"/>
        </w:rPr>
        <w:t xml:space="preserve">Inter-rater reliability on Γ measurement falls below threshold, indicating the variable is observer-dependent rather than objective.</w:t>
      </w:r>
    </w:p>
    <w:p>
      <w:pPr>
        <w:pStyle w:val="ListParagraph"/>
        <w:numPr>
          <w:ilvl w:val="0"/>
          <w:numId w:val="2"/>
        </w:numPr>
        <w:spacing w:after="60" w:before="60"/>
      </w:pPr>
      <w:r>
        <w:rPr>
          <w:rFonts w:ascii="Georgia" w:cs="Georgia" w:eastAsia="Georgia" w:hAnsi="Georgia"/>
          <w:sz w:val="22"/>
          <w:szCs w:val="22"/>
        </w:rPr>
        <w:t xml:space="preserve">The framework systematically fails in one domain (e.g., correctly identifies technology substrates but fails on institutional substrates), revealing domain-specific rather than universal mechanisms.</w:t>
      </w:r>
    </w:p>
    <w:p>
      <w:pPr>
        <w:pStyle w:val="Heading2"/>
        <w:spacing w:after="160" w:before="320"/>
      </w:pPr>
      <w:r>
        <w:rPr>
          <w:rFonts w:ascii="Arial" w:cs="Arial" w:eastAsia="Arial" w:hAnsi="Arial"/>
          <w:b/>
          <w:bCs/>
          <w:color w:val="16213E"/>
          <w:sz w:val="26"/>
          <w:szCs w:val="26"/>
        </w:rPr>
        <w:t xml:space="preserve">10.5 Known Failure Conditions</w:t>
      </w:r>
    </w:p>
    <w:p>
      <w:pPr>
        <w:spacing w:after="140" w:before="100" w:line="320"/>
      </w:pPr>
      <w:r>
        <w:rPr>
          <w:rFonts w:ascii="Georgia" w:cs="Georgia" w:eastAsia="Georgia" w:hAnsi="Georgia"/>
          <w:sz w:val="22"/>
          <w:szCs w:val="22"/>
        </w:rPr>
        <w:t xml:space="preserve">The framework explicitly acknowledges conditions under which it is likely to produce incorrect analyses:</w:t>
      </w:r>
    </w:p>
    <w:p>
      <w:pPr>
        <w:pStyle w:val="ListParagraph"/>
        <w:numPr>
          <w:ilvl w:val="0"/>
          <w:numId w:val="2"/>
        </w:numPr>
        <w:spacing w:after="60" w:before="60"/>
      </w:pPr>
      <w:r>
        <w:rPr>
          <w:rFonts w:ascii="Georgia" w:cs="Georgia" w:eastAsia="Georgia" w:hAnsi="Georgia"/>
          <w:sz w:val="22"/>
          <w:szCs w:val="22"/>
        </w:rPr>
        <w:t xml:space="preserve">Discontinuous constraint shifts: When external shocks (war, pandemic, regulatory revolution) abruptly reorganize the constraint architecture, historical SGI metrics become unreliable.</w:t>
      </w:r>
    </w:p>
    <w:p>
      <w:pPr>
        <w:pStyle w:val="ListParagraph"/>
        <w:numPr>
          <w:ilvl w:val="0"/>
          <w:numId w:val="2"/>
        </w:numPr>
        <w:spacing w:after="60" w:before="60"/>
      </w:pPr>
      <w:r>
        <w:rPr>
          <w:rFonts w:ascii="Georgia" w:cs="Georgia" w:eastAsia="Georgia" w:hAnsi="Georgia"/>
          <w:sz w:val="22"/>
          <w:szCs w:val="22"/>
        </w:rPr>
        <w:t xml:space="preserve">Regulatory override: Sufficiently large regulatory interventions can destroy structural gravity regardless of technical dependency (antitrust breakup, nationalization).</w:t>
      </w:r>
    </w:p>
    <w:p>
      <w:pPr>
        <w:pStyle w:val="ListParagraph"/>
        <w:numPr>
          <w:ilvl w:val="0"/>
          <w:numId w:val="2"/>
        </w:numPr>
        <w:spacing w:after="60" w:before="60"/>
      </w:pPr>
      <w:r>
        <w:rPr>
          <w:rFonts w:ascii="Georgia" w:cs="Georgia" w:eastAsia="Georgia" w:hAnsi="Georgia"/>
          <w:sz w:val="22"/>
          <w:szCs w:val="22"/>
        </w:rPr>
        <w:t xml:space="preserve">Paradigm incommensurability: When a new technology creates a new possibility landscape rather than expanding the existing one, prior substrate positions may be irrelevant rather than challenged.</w:t>
      </w:r>
    </w:p>
    <w:p>
      <w:pPr>
        <w:pStyle w:val="ListParagraph"/>
        <w:numPr>
          <w:ilvl w:val="0"/>
          <w:numId w:val="2"/>
        </w:numPr>
        <w:spacing w:after="60" w:before="60"/>
      </w:pPr>
      <w:r>
        <w:rPr>
          <w:rFonts w:ascii="Georgia" w:cs="Georgia" w:eastAsia="Georgia" w:hAnsi="Georgia"/>
          <w:sz w:val="22"/>
          <w:szCs w:val="22"/>
        </w:rPr>
        <w:t xml:space="preserve">Translation measurement lag: Short-term Translation metrics can misrepresent structural position during periods of deliberate non-capture (open-source substrate building).</w:t>
      </w:r>
    </w:p>
    <w:p>
      <w:pPr>
        <w:spacing w:after="100" w:before="400"/>
      </w:pPr>
      <w:r>
        <w:rPr>
          <w:rFonts w:ascii="Arial" w:cs="Arial" w:eastAsia="Arial" w:hAnsi="Arial"/>
          <w:b/>
          <w:bCs/>
          <w:caps/>
          <w:color w:val="0F3460"/>
          <w:sz w:val="28"/>
          <w:szCs w:val="28"/>
        </w:rPr>
        <w:t xml:space="preserve">PART VI: IMPLICATIONS AND FUTURE AGENDA</w:t>
      </w:r>
    </w:p>
    <w:p>
      <w:pPr>
        <w:pBdr>
          <w:bottom w:val="single" w:color="CCCCCC" w:sz="4" w:space="1"/>
        </w:pBdr>
        <w:spacing w:after="180" w:before="180"/>
      </w:pPr>
      <w:r>
        <w:t xml:space="preserve"/>
      </w:r>
    </w:p>
    <w:p>
      <w:pPr>
        <w:pStyle w:val="Heading1"/>
        <w:spacing w:after="200" w:before="480"/>
      </w:pPr>
      <w:r>
        <w:rPr>
          <w:rFonts w:ascii="Arial" w:cs="Arial" w:eastAsia="Arial" w:hAnsi="Arial"/>
          <w:b/>
          <w:bCs/>
          <w:color w:val="1A1A2E"/>
          <w:sz w:val="32"/>
          <w:szCs w:val="32"/>
        </w:rPr>
        <w:t xml:space="preserve">11. Implications by Domain</w:t>
      </w:r>
    </w:p>
    <w:p>
      <w:pPr>
        <w:pStyle w:val="Heading2"/>
        <w:spacing w:after="160" w:before="320"/>
      </w:pPr>
      <w:r>
        <w:rPr>
          <w:rFonts w:ascii="Arial" w:cs="Arial" w:eastAsia="Arial" w:hAnsi="Arial"/>
          <w:b/>
          <w:bCs/>
          <w:color w:val="16213E"/>
          <w:sz w:val="26"/>
          <w:szCs w:val="26"/>
        </w:rPr>
        <w:t xml:space="preserve">11.1 Implications for Economics</w:t>
      </w:r>
    </w:p>
    <w:p>
      <w:pPr>
        <w:spacing w:after="140" w:before="100" w:line="320"/>
      </w:pPr>
      <w:r>
        <w:rPr>
          <w:rFonts w:ascii="Georgia" w:cs="Georgia" w:eastAsia="Georgia" w:hAnsi="Georgia"/>
          <w:sz w:val="22"/>
          <w:szCs w:val="22"/>
        </w:rPr>
        <w:t xml:space="preserve">Standard economic analysis prices assets based on current earnings and projected growth. The framework argues this systematically underweights architectural position. An entity can have negative current earnings but high positive structural trajectory (Emerging Architect) or strong current earnings but deteriorating structural position (Extraction Endpoint). The most significant implication is the distinction between value creation and value capture: the entity that creates the most architectural value does not necessarily capture it. Translation failure is a structural phenomenon, not a management failure.</w:t>
      </w:r>
    </w:p>
    <w:p>
      <w:pPr>
        <w:pStyle w:val="Heading2"/>
        <w:spacing w:after="160" w:before="320"/>
      </w:pPr>
      <w:r>
        <w:rPr>
          <w:rFonts w:ascii="Arial" w:cs="Arial" w:eastAsia="Arial" w:hAnsi="Arial"/>
          <w:b/>
          <w:bCs/>
          <w:color w:val="16213E"/>
          <w:sz w:val="26"/>
          <w:szCs w:val="26"/>
        </w:rPr>
        <w:t xml:space="preserve">11.2 Implications for AI</w:t>
      </w:r>
    </w:p>
    <w:p>
      <w:pPr>
        <w:spacing w:after="140" w:before="100" w:line="320"/>
      </w:pPr>
      <w:r>
        <w:rPr>
          <w:rFonts w:ascii="Georgia" w:cs="Georgia" w:eastAsia="Georgia" w:hAnsi="Georgia"/>
          <w:sz w:val="22"/>
          <w:szCs w:val="22"/>
        </w:rPr>
        <w:t xml:space="preserve">Under the navigation efficiency reformulation of intelligence, AI capabilities should be evaluated not by benchmark performance but by reachability expansion: which problems become solvable that were previously unsolvable? AI systems that increase Γ₂ for human cognitive labor are architecture producers; those that merely improve existing task performance are efficiency gains within an existing architecture. The distinction has significant implications for which AI systems will achieve substrate status versus which will be replaced by successors.</w:t>
      </w:r>
    </w:p>
    <w:p>
      <w:pPr>
        <w:pStyle w:val="Heading2"/>
        <w:spacing w:after="160" w:before="320"/>
      </w:pPr>
      <w:r>
        <w:rPr>
          <w:rFonts w:ascii="Arial" w:cs="Arial" w:eastAsia="Arial" w:hAnsi="Arial"/>
          <w:b/>
          <w:bCs/>
          <w:color w:val="16213E"/>
          <w:sz w:val="26"/>
          <w:szCs w:val="26"/>
        </w:rPr>
        <w:t xml:space="preserve">11.3 Implications for Organizations</w:t>
      </w:r>
    </w:p>
    <w:p>
      <w:pPr>
        <w:spacing w:after="140" w:before="100" w:line="320"/>
      </w:pPr>
      <w:r>
        <w:rPr>
          <w:rFonts w:ascii="Georgia" w:cs="Georgia" w:eastAsia="Georgia" w:hAnsi="Georgia"/>
          <w:sz w:val="22"/>
          <w:szCs w:val="22"/>
        </w:rPr>
        <w:t xml:space="preserve">Most organizational strategy focuses on competitive positioning within existing constraint architectures (Porter's Five Forces, Blue Ocean, etc.). The framework suggests the higher-leverage question is: which organizations are producing new constraint architectures versus competing within existing ones? Organizations that become architecture producers achieve a qualitatively different strategic position—one that cannot be competed away through conventional market mechanisms.</w:t>
      </w:r>
    </w:p>
    <w:p>
      <w:pPr>
        <w:pStyle w:val="Heading2"/>
        <w:spacing w:after="160" w:before="320"/>
      </w:pPr>
      <w:r>
        <w:rPr>
          <w:rFonts w:ascii="Arial" w:cs="Arial" w:eastAsia="Arial" w:hAnsi="Arial"/>
          <w:b/>
          <w:bCs/>
          <w:color w:val="16213E"/>
          <w:sz w:val="26"/>
          <w:szCs w:val="26"/>
        </w:rPr>
        <w:t xml:space="preserve">11.4 Implications for Policy and Governance</w:t>
      </w:r>
    </w:p>
    <w:p>
      <w:pPr>
        <w:spacing w:after="140" w:before="100" w:line="320"/>
      </w:pPr>
      <w:r>
        <w:rPr>
          <w:rFonts w:ascii="Georgia" w:cs="Georgia" w:eastAsia="Georgia" w:hAnsi="Georgia"/>
          <w:sz w:val="22"/>
          <w:szCs w:val="22"/>
        </w:rPr>
        <w:t xml:space="preserve">Policy analysis consistently misidentifies dominant constraints, treating human (institutional) constraints as objective when they are changeable, and treating objective constraints as human when they are not. SNIE applied to policy questions would surface which constraints are actually binding, which proposed interventions address non-binding constraints, and which constraint changes are currently underway before legislative recognition.</w:t>
      </w:r>
    </w:p>
    <w:p>
      <w:pPr>
        <w:pStyle w:val="Heading2"/>
        <w:spacing w:after="160" w:before="320"/>
      </w:pPr>
      <w:r>
        <w:rPr>
          <w:rFonts w:ascii="Arial" w:cs="Arial" w:eastAsia="Arial" w:hAnsi="Arial"/>
          <w:b/>
          <w:bCs/>
          <w:color w:val="16213E"/>
          <w:sz w:val="26"/>
          <w:szCs w:val="26"/>
        </w:rPr>
        <w:t xml:space="preserve">11.5 Implications for Civilizational Development</w:t>
      </w:r>
    </w:p>
    <w:p>
      <w:pPr>
        <w:spacing w:after="140" w:before="100" w:line="320"/>
      </w:pPr>
      <w:r>
        <w:rPr>
          <w:rFonts w:ascii="Georgia" w:cs="Georgia" w:eastAsia="Georgia" w:hAnsi="Georgia"/>
          <w:sz w:val="22"/>
          <w:szCs w:val="22"/>
        </w:rPr>
        <w:t xml:space="preserve">At the civilizational scale, the framework predicts that the most consequential actors are those expanding the possibility landscape (high Γ₂ at civilizational scale) rather than those optimizing within it. Historical inflection points in civilization correspond to Γ₂ events: writing, mathematics, the printing press, the scientific method, industrial machinery, digital computation. Each expanded the reachable state space for all subsequent activity. The framework suggests the current highest-Γ₂ civilizational transition is the automation of navigation efficiency itself—AI systems that expand reachability for cognitive labor.</w:t>
      </w:r>
    </w:p>
    <w:p>
      <w:pPr>
        <w:pStyle w:val="Heading1"/>
        <w:spacing w:after="200" w:before="480"/>
      </w:pPr>
      <w:r>
        <w:rPr>
          <w:rFonts w:ascii="Arial" w:cs="Arial" w:eastAsia="Arial" w:hAnsi="Arial"/>
          <w:b/>
          <w:bCs/>
          <w:color w:val="1A1A2E"/>
          <w:sz w:val="32"/>
          <w:szCs w:val="32"/>
        </w:rPr>
        <w:t xml:space="preserve">12. Technical Implementation Roadmap</w:t>
      </w:r>
    </w:p>
    <w:p>
      <w:pPr>
        <w:pStyle w:val="Heading2"/>
        <w:spacing w:after="160" w:before="320"/>
      </w:pPr>
      <w:r>
        <w:rPr>
          <w:rFonts w:ascii="Arial" w:cs="Arial" w:eastAsia="Arial" w:hAnsi="Arial"/>
          <w:b/>
          <w:bCs/>
          <w:color w:val="16213E"/>
          <w:sz w:val="26"/>
          <w:szCs w:val="26"/>
        </w:rPr>
        <w:t xml:space="preserve">12.1 Phase 1: Measurement Instrument (Months 1–6)</w:t>
      </w:r>
    </w:p>
    <w:p>
      <w:pPr>
        <w:spacing w:after="140" w:before="100" w:line="320"/>
      </w:pPr>
      <w:r>
        <w:rPr>
          <w:rFonts w:ascii="Georgia" w:cs="Georgia" w:eastAsia="Georgia" w:hAnsi="Georgia"/>
          <w:sz w:val="22"/>
          <w:szCs w:val="22"/>
        </w:rPr>
        <w:t xml:space="preserve">The conceptual phase of the framework is complete. The primary outstanding requirement is the Stern-Gerlach apparatus: a measurement protocol (GGS-M1) that allows independent extraction of Γ, I_d, and adjacency graphs from real ecosystems with inter-rater reliability above threshold.</w:t>
      </w:r>
    </w:p>
    <w:p>
      <w:pPr>
        <w:pStyle w:val="ListParagraph"/>
        <w:numPr>
          <w:ilvl w:val="0"/>
          <w:numId w:val="2"/>
        </w:numPr>
        <w:spacing w:after="60" w:before="60"/>
      </w:pPr>
      <w:r>
        <w:rPr>
          <w:rFonts w:ascii="Georgia" w:cs="Georgia" w:eastAsia="Georgia" w:hAnsi="Georgia"/>
          <w:sz w:val="22"/>
          <w:szCs w:val="22"/>
        </w:rPr>
        <w:t xml:space="preserve">Define formal interface extraction rule (machine-extractable, automatable, observer-independent)</w:t>
      </w:r>
    </w:p>
    <w:p>
      <w:pPr>
        <w:pStyle w:val="ListParagraph"/>
        <w:numPr>
          <w:ilvl w:val="0"/>
          <w:numId w:val="2"/>
        </w:numPr>
        <w:spacing w:after="60" w:before="60"/>
      </w:pPr>
      <w:r>
        <w:rPr>
          <w:rFonts w:ascii="Georgia" w:cs="Georgia" w:eastAsia="Georgia" w:hAnsi="Georgia"/>
          <w:sz w:val="22"/>
          <w:szCs w:val="22"/>
        </w:rPr>
        <w:t xml:space="preserve">Define formal composition criterion (binary, observer-independent)</w:t>
      </w:r>
    </w:p>
    <w:p>
      <w:pPr>
        <w:pStyle w:val="ListParagraph"/>
        <w:numPr>
          <w:ilvl w:val="0"/>
          <w:numId w:val="2"/>
        </w:numPr>
        <w:spacing w:after="60" w:before="60"/>
      </w:pPr>
      <w:r>
        <w:rPr>
          <w:rFonts w:ascii="Georgia" w:cs="Georgia" w:eastAsia="Georgia" w:hAnsi="Georgia"/>
          <w:sz w:val="22"/>
          <w:szCs w:val="22"/>
        </w:rPr>
        <w:t xml:space="preserve">Build adjacency graph construction procedure for software ecosystems</w:t>
      </w:r>
    </w:p>
    <w:p>
      <w:pPr>
        <w:pStyle w:val="ListParagraph"/>
        <w:numPr>
          <w:ilvl w:val="0"/>
          <w:numId w:val="2"/>
        </w:numPr>
        <w:spacing w:after="60" w:before="60"/>
      </w:pPr>
      <w:r>
        <w:rPr>
          <w:rFonts w:ascii="Georgia" w:cs="Georgia" w:eastAsia="Georgia" w:hAnsi="Georgia"/>
          <w:sz w:val="22"/>
          <w:szCs w:val="22"/>
        </w:rPr>
        <w:t xml:space="preserve">Conduct inter-rater reliability study with three independent researchers</w:t>
      </w:r>
    </w:p>
    <w:p>
      <w:pPr>
        <w:pStyle w:val="ListParagraph"/>
        <w:numPr>
          <w:ilvl w:val="0"/>
          <w:numId w:val="2"/>
        </w:numPr>
        <w:spacing w:after="60" w:before="60"/>
      </w:pPr>
      <w:r>
        <w:rPr>
          <w:rFonts w:ascii="Georgia" w:cs="Georgia" w:eastAsia="Georgia" w:hAnsi="Georgia"/>
          <w:sz w:val="22"/>
          <w:szCs w:val="22"/>
        </w:rPr>
        <w:t xml:space="preserve">Establish proxy metrics for non-software domains (institutional, regulatory, physical)</w:t>
      </w:r>
    </w:p>
    <w:p>
      <w:pPr>
        <w:pStyle w:val="Heading2"/>
        <w:spacing w:after="160" w:before="320"/>
      </w:pPr>
      <w:r>
        <w:rPr>
          <w:rFonts w:ascii="Arial" w:cs="Arial" w:eastAsia="Arial" w:hAnsi="Arial"/>
          <w:b/>
          <w:bCs/>
          <w:color w:val="16213E"/>
          <w:sz w:val="26"/>
          <w:szCs w:val="26"/>
        </w:rPr>
        <w:t xml:space="preserve">12.2 Phase 2: Data Infrastructure (Months 6–12)</w:t>
      </w:r>
    </w:p>
    <w:p>
      <w:pPr>
        <w:pStyle w:val="ListParagraph"/>
        <w:numPr>
          <w:ilvl w:val="0"/>
          <w:numId w:val="2"/>
        </w:numPr>
        <w:spacing w:after="60" w:before="60"/>
      </w:pPr>
      <w:r>
        <w:rPr>
          <w:rFonts w:ascii="Georgia" w:cs="Georgia" w:eastAsia="Georgia" w:hAnsi="Georgia"/>
          <w:sz w:val="22"/>
          <w:szCs w:val="22"/>
        </w:rPr>
        <w:t xml:space="preserve">Build gamma_system_metrics.csv schema and data collection pipeline</w:t>
      </w:r>
    </w:p>
    <w:p>
      <w:pPr>
        <w:pStyle w:val="ListParagraph"/>
        <w:numPr>
          <w:ilvl w:val="0"/>
          <w:numId w:val="2"/>
        </w:numPr>
        <w:spacing w:after="60" w:before="60"/>
      </w:pPr>
      <w:r>
        <w:rPr>
          <w:rFonts w:ascii="Georgia" w:cs="Georgia" w:eastAsia="Georgia" w:hAnsi="Georgia"/>
          <w:sz w:val="22"/>
          <w:szCs w:val="22"/>
        </w:rPr>
        <w:t xml:space="preserve">Implement SGI calculation engine from proxy variables</w:t>
      </w:r>
    </w:p>
    <w:p>
      <w:pPr>
        <w:pStyle w:val="ListParagraph"/>
        <w:numPr>
          <w:ilvl w:val="0"/>
          <w:numId w:val="2"/>
        </w:numPr>
        <w:spacing w:after="60" w:before="60"/>
      </w:pPr>
      <w:r>
        <w:rPr>
          <w:rFonts w:ascii="Georgia" w:cs="Georgia" w:eastAsia="Georgia" w:hAnsi="Georgia"/>
          <w:sz w:val="22"/>
          <w:szCs w:val="22"/>
        </w:rPr>
        <w:t xml:space="preserve">Implement Translation and DRM calculation engines</w:t>
      </w:r>
    </w:p>
    <w:p>
      <w:pPr>
        <w:pStyle w:val="ListParagraph"/>
        <w:numPr>
          <w:ilvl w:val="0"/>
          <w:numId w:val="2"/>
        </w:numPr>
        <w:spacing w:after="60" w:before="60"/>
      </w:pPr>
      <w:r>
        <w:rPr>
          <w:rFonts w:ascii="Georgia" w:cs="Georgia" w:eastAsia="Georgia" w:hAnsi="Georgia"/>
          <w:sz w:val="22"/>
          <w:szCs w:val="22"/>
        </w:rPr>
        <w:t xml:space="preserve">Implement Velocity and Acceleration calculation from historical time-series</w:t>
      </w:r>
    </w:p>
    <w:p>
      <w:pPr>
        <w:pStyle w:val="ListParagraph"/>
        <w:numPr>
          <w:ilvl w:val="0"/>
          <w:numId w:val="2"/>
        </w:numPr>
        <w:spacing w:after="60" w:before="60"/>
      </w:pPr>
      <w:r>
        <w:rPr>
          <w:rFonts w:ascii="Georgia" w:cs="Georgia" w:eastAsia="Georgia" w:hAnsi="Georgia"/>
          <w:sz w:val="22"/>
          <w:szCs w:val="22"/>
        </w:rPr>
        <w:t xml:space="preserve">Build back-cast validation suite against known historical transitions</w:t>
      </w:r>
    </w:p>
    <w:p>
      <w:pPr>
        <w:pStyle w:val="Heading2"/>
        <w:spacing w:after="160" w:before="320"/>
      </w:pPr>
      <w:r>
        <w:rPr>
          <w:rFonts w:ascii="Arial" w:cs="Arial" w:eastAsia="Arial" w:hAnsi="Arial"/>
          <w:b/>
          <w:bCs/>
          <w:color w:val="16213E"/>
          <w:sz w:val="26"/>
          <w:szCs w:val="26"/>
        </w:rPr>
        <w:t xml:space="preserve">12.3 Phase 3: AIT Core Modules (Months 12–24)</w:t>
      </w:r>
    </w:p>
    <w:p>
      <w:pPr>
        <w:pStyle w:val="ListParagraph"/>
        <w:numPr>
          <w:ilvl w:val="0"/>
          <w:numId w:val="2"/>
        </w:numPr>
        <w:spacing w:after="60" w:before="60"/>
      </w:pPr>
      <w:r>
        <w:rPr>
          <w:rFonts w:ascii="Georgia" w:cs="Georgia" w:eastAsia="Georgia" w:hAnsi="Georgia"/>
          <w:sz w:val="22"/>
          <w:szCs w:val="22"/>
        </w:rPr>
        <w:t xml:space="preserve">Module 1: Substrate Migration Monitor — SGI momentum tracking</w:t>
      </w:r>
    </w:p>
    <w:p>
      <w:pPr>
        <w:pStyle w:val="ListParagraph"/>
        <w:numPr>
          <w:ilvl w:val="0"/>
          <w:numId w:val="2"/>
        </w:numPr>
        <w:spacing w:after="60" w:before="60"/>
      </w:pPr>
      <w:r>
        <w:rPr>
          <w:rFonts w:ascii="Georgia" w:cs="Georgia" w:eastAsia="Georgia" w:hAnsi="Georgia"/>
          <w:sz w:val="22"/>
          <w:szCs w:val="22"/>
        </w:rPr>
        <w:t xml:space="preserve">Module 2: Translation Audit — Γ₂/DRM/Translation direction per entity</w:t>
      </w:r>
    </w:p>
    <w:p>
      <w:pPr>
        <w:pStyle w:val="ListParagraph"/>
        <w:numPr>
          <w:ilvl w:val="0"/>
          <w:numId w:val="2"/>
        </w:numPr>
        <w:spacing w:after="60" w:before="60"/>
      </w:pPr>
      <w:r>
        <w:rPr>
          <w:rFonts w:ascii="Georgia" w:cs="Georgia" w:eastAsia="Georgia" w:hAnsi="Georgia"/>
          <w:sz w:val="22"/>
          <w:szCs w:val="22"/>
        </w:rPr>
        <w:t xml:space="preserve">Module 3: Dependency Dashboard — dependency network tracking</w:t>
      </w:r>
    </w:p>
    <w:p>
      <w:pPr>
        <w:pStyle w:val="ListParagraph"/>
        <w:numPr>
          <w:ilvl w:val="0"/>
          <w:numId w:val="2"/>
        </w:numPr>
        <w:spacing w:after="60" w:before="60"/>
      </w:pPr>
      <w:r>
        <w:rPr>
          <w:rFonts w:ascii="Georgia" w:cs="Georgia" w:eastAsia="Georgia" w:hAnsi="Georgia"/>
          <w:sz w:val="22"/>
          <w:szCs w:val="22"/>
        </w:rPr>
        <w:t xml:space="preserve">Module 4: Constraint Failure Monitor — substitution path analysis</w:t>
      </w:r>
    </w:p>
    <w:p>
      <w:pPr>
        <w:pStyle w:val="ListParagraph"/>
        <w:numPr>
          <w:ilvl w:val="0"/>
          <w:numId w:val="2"/>
        </w:numPr>
        <w:spacing w:after="60" w:before="60"/>
      </w:pPr>
      <w:r>
        <w:rPr>
          <w:rFonts w:ascii="Georgia" w:cs="Georgia" w:eastAsia="Georgia" w:hAnsi="Georgia"/>
          <w:sz w:val="22"/>
          <w:szCs w:val="22"/>
        </w:rPr>
        <w:t xml:space="preserve">Module 5: Attractor Velocity Engine — position and trajectory in (Γ₂, SGI) space</w:t>
      </w:r>
    </w:p>
    <w:p>
      <w:pPr>
        <w:pStyle w:val="ListParagraph"/>
        <w:numPr>
          <w:ilvl w:val="0"/>
          <w:numId w:val="2"/>
        </w:numPr>
        <w:spacing w:after="60" w:before="60"/>
      </w:pPr>
      <w:r>
        <w:rPr>
          <w:rFonts w:ascii="Georgia" w:cs="Georgia" w:eastAsia="Georgia" w:hAnsi="Georgia"/>
          <w:sz w:val="22"/>
          <w:szCs w:val="22"/>
        </w:rPr>
        <w:t xml:space="preserve">TNDS-XR prediction ledger — timestamped predictions with kill criteria</w:t>
      </w:r>
    </w:p>
    <w:p>
      <w:pPr>
        <w:pStyle w:val="ListParagraph"/>
        <w:numPr>
          <w:ilvl w:val="0"/>
          <w:numId w:val="2"/>
        </w:numPr>
        <w:spacing w:after="60" w:before="60"/>
      </w:pPr>
      <w:r>
        <w:rPr>
          <w:rFonts w:ascii="Georgia" w:cs="Georgia" w:eastAsia="Georgia" w:hAnsi="Georgia"/>
          <w:sz w:val="22"/>
          <w:szCs w:val="22"/>
        </w:rPr>
        <w:t xml:space="preserve">Adjudication History Database — calibration, timeline, and failure pattern scoring</w:t>
      </w:r>
    </w:p>
    <w:p>
      <w:pPr>
        <w:pStyle w:val="Heading2"/>
        <w:spacing w:after="160" w:before="320"/>
      </w:pPr>
      <w:r>
        <w:rPr>
          <w:rFonts w:ascii="Arial" w:cs="Arial" w:eastAsia="Arial" w:hAnsi="Arial"/>
          <w:b/>
          <w:bCs/>
          <w:color w:val="16213E"/>
          <w:sz w:val="26"/>
          <w:szCs w:val="26"/>
        </w:rPr>
        <w:t xml:space="preserve">12.4 Phase 4: Cross-Domain Extension (Months 24+)</w:t>
      </w:r>
    </w:p>
    <w:p>
      <w:pPr>
        <w:pStyle w:val="ListParagraph"/>
        <w:numPr>
          <w:ilvl w:val="0"/>
          <w:numId w:val="2"/>
        </w:numPr>
        <w:spacing w:after="60" w:before="60"/>
      </w:pPr>
      <w:r>
        <w:rPr>
          <w:rFonts w:ascii="Georgia" w:cs="Georgia" w:eastAsia="Georgia" w:hAnsi="Georgia"/>
          <w:sz w:val="22"/>
          <w:szCs w:val="22"/>
        </w:rPr>
        <w:t xml:space="preserve">Domain weighting engine (weight constraint types by domain)</w:t>
      </w:r>
    </w:p>
    <w:p>
      <w:pPr>
        <w:pStyle w:val="ListParagraph"/>
        <w:numPr>
          <w:ilvl w:val="0"/>
          <w:numId w:val="2"/>
        </w:numPr>
        <w:spacing w:after="60" w:before="60"/>
      </w:pPr>
      <w:r>
        <w:rPr>
          <w:rFonts w:ascii="Georgia" w:cs="Georgia" w:eastAsia="Georgia" w:hAnsi="Georgia"/>
          <w:sz w:val="22"/>
          <w:szCs w:val="22"/>
        </w:rPr>
        <w:t xml:space="preserve">Institutional and regulatory topology mapping</w:t>
      </w:r>
    </w:p>
    <w:p>
      <w:pPr>
        <w:pStyle w:val="ListParagraph"/>
        <w:numPr>
          <w:ilvl w:val="0"/>
          <w:numId w:val="2"/>
        </w:numPr>
        <w:spacing w:after="60" w:before="60"/>
      </w:pPr>
      <w:r>
        <w:rPr>
          <w:rFonts w:ascii="Georgia" w:cs="Georgia" w:eastAsia="Georgia" w:hAnsi="Georgia"/>
          <w:sz w:val="22"/>
          <w:szCs w:val="22"/>
        </w:rPr>
        <w:t xml:space="preserve">Scientific paradigm Γ₂ measurement</w:t>
      </w:r>
    </w:p>
    <w:p>
      <w:pPr>
        <w:pStyle w:val="ListParagraph"/>
        <w:numPr>
          <w:ilvl w:val="0"/>
          <w:numId w:val="2"/>
        </w:numPr>
        <w:spacing w:after="60" w:before="60"/>
      </w:pPr>
      <w:r>
        <w:rPr>
          <w:rFonts w:ascii="Georgia" w:cs="Georgia" w:eastAsia="Georgia" w:hAnsi="Georgia"/>
          <w:sz w:val="22"/>
          <w:szCs w:val="22"/>
        </w:rPr>
        <w:t xml:space="preserve">Civilizational substrate identification</w:t>
      </w:r>
    </w:p>
    <w:p>
      <w:pPr>
        <w:pStyle w:val="ListParagraph"/>
        <w:numPr>
          <w:ilvl w:val="0"/>
          <w:numId w:val="2"/>
        </w:numPr>
        <w:spacing w:after="60" w:before="60"/>
      </w:pPr>
      <w:r>
        <w:rPr>
          <w:rFonts w:ascii="Georgia" w:cs="Georgia" w:eastAsia="Georgia" w:hAnsi="Georgia"/>
          <w:sz w:val="22"/>
          <w:szCs w:val="22"/>
        </w:rPr>
        <w:t xml:space="preserve">API for third-party research integration</w:t>
      </w:r>
    </w:p>
    <w:p>
      <w:pPr>
        <w:pStyle w:val="Heading1"/>
        <w:spacing w:after="200" w:before="480"/>
      </w:pPr>
      <w:r>
        <w:rPr>
          <w:rFonts w:ascii="Arial" w:cs="Arial" w:eastAsia="Arial" w:hAnsi="Arial"/>
          <w:b/>
          <w:bCs/>
          <w:color w:val="1A1A2E"/>
          <w:sz w:val="32"/>
          <w:szCs w:val="32"/>
        </w:rPr>
        <w:t xml:space="preserve">13. Formal Definitions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Term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Definition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Admissible Composition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 composition νi ⊕ νj satisfying: κ &gt; 0 (constraint compatibility), β &gt; 0 (resource complementarity), ΔI_d &gt; 0 (generative gain).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Architecture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 stable constraint pattern that has achieved sufficient adoption to become the selection environment for subsequent variation.</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Attractor</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 region of state space that systems tend to converge toward. Attractors form within the space of reachable states, not within the full possibility space.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Constraint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 rule or boundary condition determining which state transitions are permitted. Primary types: Objective, Human, Informational.</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Dependency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 relationship in which entity B's function requires entity A. Dependency accumulation is the mechanism by which Γ₂ converts to SGI.</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Gamma (Γ)</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Recursive architecture production capacity. Formally: dI_d/dL — growth of interface dimensionality across compositional depth.</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Interface Dimensionality I_d</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Number of compositionally distinct contexts a structure can participate in. Analog across domains: binding sites, API endpoints, sentence positions.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Navigation Efficiency</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Ability to reach beneficial regions of reachable state space with minimum costly exploration. The framework's reformulation of intelligence.</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Possibility Space (Ω)</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complete set of all conceivable states. Fixed. Not created or destroyed by any agent or process.</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Reachable States R(t)</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subset of Ω accessible from the current system state under current constraints. The set that matters for any adaptive system.</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SGI (Structural Gravity Index)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Difficulty of routing around a structure: (Breadth × Depth × Replacement Cost)^(1/3). Measures non-replaceability.</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Substrate</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An architecture that has become mandatory infrastructure for a dependency class. High SGI, high DRM.</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Translation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 proportion of ecosystem value created that flows to a specific entity as captured value. Independent of value creation (Γ).</w:t>
            </w:r>
          </w:p>
        </w:tc>
      </w:tr>
      <w:tr>
        <w:tc>
          <w:tcPr>
            <w:tcW w:type="dxa" w:w="320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Georgia" w:cs="Georgia" w:eastAsia="Georgia" w:hAnsi="Georgia"/>
                <w:b/>
                <w:bCs/>
                <w:sz w:val="22"/>
                <w:szCs w:val="22"/>
              </w:rPr>
              <w:t xml:space="preserve">TNDS</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Georgia" w:cs="Georgia" w:eastAsia="Georgia" w:hAnsi="Georgia"/>
                <w:sz w:val="22"/>
                <w:szCs w:val="22"/>
              </w:rPr>
              <w:t xml:space="preserve">Thermodynamic Non-Equilibrium Dissipative Systems. Foundational ontology modeling reality as layered constraint architectures evolving toward increasing navigation efficiency.</w:t>
            </w:r>
          </w:p>
        </w:tc>
      </w:tr>
    </w:tbl>
    <w:p>
      <w:pPr>
        <w:spacing w:after="60" w:before="60"/>
      </w:pPr>
      <w:r>
        <w:t xml:space="preserve"/>
      </w:r>
    </w:p>
    <w:p>
      <w:pPr>
        <w:pStyle w:val="Heading1"/>
        <w:spacing w:after="200" w:before="480"/>
      </w:pPr>
      <w:r>
        <w:rPr>
          <w:rFonts w:ascii="Arial" w:cs="Arial" w:eastAsia="Arial" w:hAnsi="Arial"/>
          <w:b/>
          <w:bCs/>
          <w:color w:val="1A1A2E"/>
          <w:sz w:val="32"/>
          <w:szCs w:val="32"/>
        </w:rPr>
        <w:t xml:space="preserve">14. Conclusion</w:t>
      </w:r>
    </w:p>
    <w:p>
      <w:pPr>
        <w:spacing w:after="140" w:before="100" w:line="320"/>
      </w:pPr>
      <w:r>
        <w:rPr>
          <w:rFonts w:ascii="Georgia" w:cs="Georgia" w:eastAsia="Georgia" w:hAnsi="Georgia"/>
          <w:sz w:val="22"/>
          <w:szCs w:val="22"/>
        </w:rPr>
        <w:t xml:space="preserve">The research program presented here is unified by a single ontological claim: the deepest variable in any adaptive system is not its current state, its size, its performance, or its growth rate. It is the set of futures it can actually reach from where it currently stands.</w:t>
      </w:r>
    </w:p>
    <w:p>
      <w:pPr>
        <w:spacing w:after="140" w:before="100" w:line="320"/>
      </w:pPr>
      <w:r>
        <w:rPr>
          <w:rFonts w:ascii="Georgia" w:cs="Georgia" w:eastAsia="Georgia" w:hAnsi="Georgia"/>
          <w:sz w:val="22"/>
          <w:szCs w:val="22"/>
        </w:rPr>
        <w:t xml:space="preserve">Constraints define reachability. Architectures stabilize reachability. Dependencies entrench architectures. Translation captures the value differential between what a system enables and what it appropriates. Intelligence, at every scale from membrane to civilization, is the increasing efficiency of navigation through this landscape.</w:t>
      </w:r>
    </w:p>
    <w:p>
      <w:pPr>
        <w:spacing w:after="140" w:before="100" w:line="320"/>
      </w:pPr>
      <w:r>
        <w:rPr>
          <w:rFonts w:ascii="Georgia" w:cs="Georgia" w:eastAsia="Georgia" w:hAnsi="Georgia"/>
          <w:sz w:val="22"/>
          <w:szCs w:val="22"/>
        </w:rPr>
        <w:t xml:space="preserve">The practical implication is that most analytical frameworks—financial, strategic, political, scientific—are systematically late because they observe consequences rather than causes. The AIT is designed to invert this: to observe which constraints are changing, which new architectures are forming, and which dependency structures are crystallizing, before these changes become visible in the metrics that conventional analysis tracks.</w:t>
      </w:r>
    </w:p>
    <w:p>
      <w:pPr>
        <w:spacing w:after="140" w:before="100" w:line="320"/>
      </w:pPr>
      <w:r>
        <w:rPr>
          <w:rFonts w:ascii="Georgia" w:cs="Georgia" w:eastAsia="Georgia" w:hAnsi="Georgia"/>
          <w:sz w:val="22"/>
          <w:szCs w:val="22"/>
        </w:rPr>
        <w:t xml:space="preserve">The framework is currently conceptually complete and operationally incomplete. The primary remaining challenge is measurement: building the Stern-Gerlach apparatus that converts the theoretical variable Γ into a number that independent researchers can extract from real ecosystems without subjective judgment. Until that is achieved, the framework is a map with a clear geography but no GPS coordinates. With it, structural intelligence becomes a reproducible, falsifiable, and improvable science.</w:t>
      </w:r>
    </w:p>
    <w:p>
      <w:pPr>
        <w:spacing w:after="140" w:before="100" w:line="320"/>
      </w:pPr>
      <w:r>
        <w:rPr>
          <w:rFonts w:ascii="Georgia" w:cs="Georgia" w:eastAsia="Georgia" w:hAnsi="Georgia"/>
          <w:sz w:val="22"/>
          <w:szCs w:val="22"/>
        </w:rPr>
        <w:t xml:space="preserve">The agenda is clear. The measurement protocol comes first. Everything else follows.</w:t>
      </w:r>
    </w:p>
    <w:p>
      <w:pPr>
        <w:pBdr>
          <w:bottom w:val="single" w:color="CCCCCC" w:sz="4" w:space="1"/>
        </w:pBdr>
        <w:spacing w:after="180" w:before="180"/>
      </w:pPr>
      <w:r>
        <w:t xml:space="preserve"/>
      </w:r>
    </w:p>
    <w:p>
      <w:pPr>
        <w:spacing w:after="100" w:before="200"/>
        <w:jc w:val="center"/>
      </w:pPr>
      <w:r>
        <w:rPr>
          <w:rFonts w:ascii="Georgia" w:cs="Georgia" w:eastAsia="Georgia" w:hAnsi="Georgia"/>
          <w:i/>
          <w:iCs/>
          <w:color w:val="888888"/>
          <w:sz w:val="20"/>
          <w:szCs w:val="20"/>
        </w:rPr>
        <w:t xml:space="preserve">— End of Monograph —</w:t>
      </w:r>
    </w:p>
    <w:p>
      <w:pPr>
        <w:spacing w:before="60"/>
        <w:jc w:val="center"/>
      </w:pPr>
      <w:r>
        <w:rPr>
          <w:rFonts w:ascii="Arial" w:cs="Arial" w:eastAsia="Arial" w:hAnsi="Arial"/>
          <w:color w:val="AAAAAA"/>
          <w:sz w:val="18"/>
          <w:szCs w:val="18"/>
        </w:rPr>
        <w:t xml:space="preserve">Constraint Architecture Theory · Working Paper · For Research and Development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2026-06-09T05:45:21.109Z</dcterms:created>
  <dcterms:modified xsi:type="dcterms:W3CDTF">2026-06-09T05:45:21.110Z</dcterms:modified>
</cp:coreProperties>
</file>

<file path=docProps/custom.xml><?xml version="1.0" encoding="utf-8"?>
<Properties xmlns="http://schemas.openxmlformats.org/officeDocument/2006/custom-properties" xmlns:vt="http://schemas.openxmlformats.org/officeDocument/2006/docPropsVTypes"/>
</file>