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0178F3" w14:textId="77777777" w:rsidR="00F52056" w:rsidRDefault="00000000">
      <w:pPr>
        <w:pStyle w:val="Title"/>
        <w:jc w:val="center"/>
      </w:pPr>
      <w:r>
        <w:t>Economic Impact of Local Food Import Substitution in Canada</w:t>
      </w:r>
    </w:p>
    <w:p w14:paraId="7289C8A2" w14:textId="77777777" w:rsidR="00F52056" w:rsidRDefault="00000000">
      <w:pPr>
        <w:jc w:val="center"/>
      </w:pPr>
      <w:r>
        <w:rPr>
          <w:color w:val="646464"/>
          <w:sz w:val="24"/>
        </w:rPr>
        <w:t>Methodology Working Paper</w:t>
      </w:r>
      <w:r>
        <w:rPr>
          <w:color w:val="646464"/>
          <w:sz w:val="24"/>
        </w:rPr>
        <w:br/>
        <w:t>Ontario Federation of Agriculture</w:t>
      </w:r>
      <w:r>
        <w:rPr>
          <w:color w:val="646464"/>
          <w:sz w:val="24"/>
        </w:rPr>
        <w:br/>
        <w:t>May 2026</w:t>
      </w:r>
    </w:p>
    <w:p w14:paraId="2AE2DE32" w14:textId="77777777" w:rsidR="00F52056" w:rsidRDefault="00000000">
      <w:r>
        <w:br w:type="page"/>
      </w:r>
    </w:p>
    <w:p w14:paraId="5C72FB01" w14:textId="77777777" w:rsidR="00F52056" w:rsidRDefault="00000000">
      <w:pPr>
        <w:pStyle w:val="Heading1"/>
      </w:pPr>
      <w:r>
        <w:lastRenderedPageBreak/>
        <w:t>Table of Contents</w:t>
      </w:r>
    </w:p>
    <w:p w14:paraId="42144335" w14:textId="77777777" w:rsidR="00F52056" w:rsidRDefault="00000000">
      <w:pPr>
        <w:pStyle w:val="ListNumber"/>
      </w:pPr>
      <w:r>
        <w:t>1. Research Objective</w:t>
      </w:r>
    </w:p>
    <w:p w14:paraId="1E632D09" w14:textId="77777777" w:rsidR="00F52056" w:rsidRDefault="00000000">
      <w:pPr>
        <w:pStyle w:val="ListNumber"/>
      </w:pPr>
      <w:r>
        <w:t>2. Literature Review</w:t>
      </w:r>
    </w:p>
    <w:p w14:paraId="5DC37182" w14:textId="77777777" w:rsidR="00F52056" w:rsidRDefault="00000000">
      <w:pPr>
        <w:pStyle w:val="ListBullet"/>
      </w:pPr>
      <w:r>
        <w:t xml:space="preserve">   2.1 Database Query Results</w:t>
      </w:r>
    </w:p>
    <w:p w14:paraId="2DE66DC1" w14:textId="77777777" w:rsidR="00F52056" w:rsidRDefault="00000000">
      <w:pPr>
        <w:pStyle w:val="ListBullet"/>
      </w:pPr>
      <w:r>
        <w:t xml:space="preserve">   2.2 Deep Dive: Krasnoff, Schmit &amp; Bilinski (2023)</w:t>
      </w:r>
    </w:p>
    <w:p w14:paraId="7C0D63AB" w14:textId="77777777" w:rsidR="00F52056" w:rsidRDefault="00000000">
      <w:pPr>
        <w:pStyle w:val="ListBullet"/>
      </w:pPr>
      <w:r>
        <w:t xml:space="preserve">   2.3 FCC: The $12-Billion Trade Shift (2025)</w:t>
      </w:r>
    </w:p>
    <w:p w14:paraId="28B5A02B" w14:textId="77777777" w:rsidR="00F52056" w:rsidRDefault="00000000">
      <w:pPr>
        <w:pStyle w:val="ListNumber"/>
      </w:pPr>
      <w:r>
        <w:t>3. Proposed Methodology for a Canadian Analysis</w:t>
      </w:r>
    </w:p>
    <w:p w14:paraId="5ACE4DA3" w14:textId="77777777" w:rsidR="00F52056" w:rsidRDefault="00000000">
      <w:pPr>
        <w:pStyle w:val="ListBullet"/>
      </w:pPr>
      <w:r>
        <w:t xml:space="preserve">   3.1 Step 1: Establish the Import Substitution Target</w:t>
      </w:r>
    </w:p>
    <w:p w14:paraId="37855303" w14:textId="77777777" w:rsidR="00F52056" w:rsidRDefault="00000000">
      <w:pPr>
        <w:pStyle w:val="ListBullet"/>
      </w:pPr>
      <w:r>
        <w:t xml:space="preserve">   3.2 Step 2: Sector Allocation Using Trade Data</w:t>
      </w:r>
    </w:p>
    <w:p w14:paraId="10CE6A0B" w14:textId="77777777" w:rsidR="00F52056" w:rsidRDefault="00000000">
      <w:pPr>
        <w:pStyle w:val="ListBullet"/>
      </w:pPr>
      <w:r>
        <w:t xml:space="preserve">   3.3 Step 3: Apply Commodity Margins</w:t>
      </w:r>
    </w:p>
    <w:p w14:paraId="59C6D434" w14:textId="77777777" w:rsidR="00F52056" w:rsidRDefault="00000000">
      <w:pPr>
        <w:pStyle w:val="ListNumber"/>
      </w:pPr>
      <w:r>
        <w:t>4. Preliminary Results (Steps 1-3)</w:t>
      </w:r>
    </w:p>
    <w:p w14:paraId="3BC7AF2D" w14:textId="77777777" w:rsidR="00F52056" w:rsidRDefault="00000000">
      <w:pPr>
        <w:pStyle w:val="ListNumber"/>
      </w:pPr>
      <w:r>
        <w:t>5. Remaining Steps &amp; Next Actions</w:t>
      </w:r>
    </w:p>
    <w:p w14:paraId="7698147B" w14:textId="77777777" w:rsidR="00F52056" w:rsidRDefault="00000000">
      <w:pPr>
        <w:pStyle w:val="ListNumber"/>
      </w:pPr>
      <w:r>
        <w:t>6. References</w:t>
      </w:r>
    </w:p>
    <w:p w14:paraId="4356A94C" w14:textId="77777777" w:rsidR="00F52056" w:rsidRDefault="00000000">
      <w:r>
        <w:br w:type="page"/>
      </w:r>
    </w:p>
    <w:p w14:paraId="6EA990C3" w14:textId="77777777" w:rsidR="00F52056" w:rsidRDefault="00000000">
      <w:pPr>
        <w:pStyle w:val="Heading1"/>
      </w:pPr>
      <w:r>
        <w:lastRenderedPageBreak/>
        <w:t>1. Research Objective</w:t>
      </w:r>
    </w:p>
    <w:p w14:paraId="7A2385F8" w14:textId="77777777" w:rsidR="00F52056" w:rsidRDefault="00000000">
      <w:r>
        <w:t>The objective of this research is to produce a credible, defensible estimate of the economic impact on the Canadian economy if a greater share of domestic food and beverage consumption were sourced from Canadian producers (farmers and processors) rather than imported from the United States.</w:t>
      </w:r>
    </w:p>
    <w:p w14:paraId="3FD7621F" w14:textId="77777777" w:rsidR="00F52056" w:rsidRDefault="00000000">
      <w:r>
        <w:t>Specifically, this paper develops a methodology to quantify the GDP contribution, employment creation (FTEs), and labour income gains that would result from replacing $2.6 billion CAD in U.S. food imports with Canadian-sourced equivalents—a target identified by Farm Credit Canada in their September 2025 report "The $12-Billion Trade Shift."</w:t>
      </w:r>
    </w:p>
    <w:p w14:paraId="44DC0FCF" w14:textId="77777777" w:rsidR="00F52056" w:rsidRDefault="00000000">
      <w:r>
        <w:t>The methodology draws on established Input-Output (IO) multiplier analysis, informed by a systematic review of the academic literature on local food economic impact assessment. The analysis is designed to be executed using the OFA’s existing Agri-Food Economic Dashboard IO Multiplier Engine, which is calibrated with Statistics Canada provincial and national multipliers.</w:t>
      </w:r>
    </w:p>
    <w:p w14:paraId="49575C27" w14:textId="77777777" w:rsidR="00F52056" w:rsidRDefault="00000000">
      <w:pPr>
        <w:pStyle w:val="Heading1"/>
      </w:pPr>
      <w:r>
        <w:t>2. Literature Review</w:t>
      </w:r>
    </w:p>
    <w:p w14:paraId="377729D9" w14:textId="77777777" w:rsidR="00F52056" w:rsidRDefault="00000000">
      <w:pPr>
        <w:pStyle w:val="Heading2"/>
      </w:pPr>
      <w:r>
        <w:t>2.1 Database Query Results</w:t>
      </w:r>
    </w:p>
    <w:p w14:paraId="718D2FF6" w14:textId="77777777" w:rsidR="00F52056" w:rsidRDefault="00000000">
      <w:r>
        <w:t>A comprehensive query of the OFA Agricultural Economics Research Database identified 10 reports matching criteria related to local food economic impacts. Of these, six were directly relevant to measuring the economic footprint of local food systems:</w:t>
      </w:r>
    </w:p>
    <w:tbl>
      <w:tblPr>
        <w:tblStyle w:val="LightShading-Accent1"/>
        <w:tblW w:w="0" w:type="auto"/>
        <w:tblLook w:val="04A0" w:firstRow="1" w:lastRow="0" w:firstColumn="1" w:lastColumn="0" w:noHBand="0" w:noVBand="1"/>
      </w:tblPr>
      <w:tblGrid>
        <w:gridCol w:w="2160"/>
        <w:gridCol w:w="2160"/>
        <w:gridCol w:w="2160"/>
        <w:gridCol w:w="2160"/>
      </w:tblGrid>
      <w:tr w:rsidR="00F52056" w14:paraId="07FB7F0D" w14:textId="77777777" w:rsidTr="00F5205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075F12B" w14:textId="77777777" w:rsidR="00F52056" w:rsidRDefault="00000000">
            <w:r>
              <w:t>Title</w:t>
            </w:r>
          </w:p>
        </w:tc>
        <w:tc>
          <w:tcPr>
            <w:tcW w:w="2160" w:type="dxa"/>
          </w:tcPr>
          <w:p w14:paraId="57B1E1C0" w14:textId="77777777" w:rsidR="00F52056" w:rsidRDefault="00000000">
            <w:pPr>
              <w:cnfStyle w:val="100000000000" w:firstRow="1" w:lastRow="0" w:firstColumn="0" w:lastColumn="0" w:oddVBand="0" w:evenVBand="0" w:oddHBand="0" w:evenHBand="0" w:firstRowFirstColumn="0" w:firstRowLastColumn="0" w:lastRowFirstColumn="0" w:lastRowLastColumn="0"/>
            </w:pPr>
            <w:r>
              <w:t>Year</w:t>
            </w:r>
          </w:p>
        </w:tc>
        <w:tc>
          <w:tcPr>
            <w:tcW w:w="2160" w:type="dxa"/>
          </w:tcPr>
          <w:p w14:paraId="5E2E6880" w14:textId="77777777" w:rsidR="00F52056" w:rsidRDefault="00000000">
            <w:pPr>
              <w:cnfStyle w:val="100000000000" w:firstRow="1" w:lastRow="0" w:firstColumn="0" w:lastColumn="0" w:oddVBand="0" w:evenVBand="0" w:oddHBand="0" w:evenHBand="0" w:firstRowFirstColumn="0" w:firstRowLastColumn="0" w:lastRowFirstColumn="0" w:lastRowLastColumn="0"/>
            </w:pPr>
            <w:r>
              <w:t>Source</w:t>
            </w:r>
          </w:p>
        </w:tc>
        <w:tc>
          <w:tcPr>
            <w:tcW w:w="2160" w:type="dxa"/>
          </w:tcPr>
          <w:p w14:paraId="356BE9F7" w14:textId="77777777" w:rsidR="00F52056" w:rsidRDefault="00000000">
            <w:pPr>
              <w:cnfStyle w:val="100000000000" w:firstRow="1" w:lastRow="0" w:firstColumn="0" w:lastColumn="0" w:oddVBand="0" w:evenVBand="0" w:oddHBand="0" w:evenHBand="0" w:firstRowFirstColumn="0" w:firstRowLastColumn="0" w:lastRowFirstColumn="0" w:lastRowLastColumn="0"/>
            </w:pPr>
            <w:r>
              <w:t>Method</w:t>
            </w:r>
          </w:p>
        </w:tc>
      </w:tr>
      <w:tr w:rsidR="00F52056" w14:paraId="7B8CC590" w14:textId="77777777" w:rsidTr="00F520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645D2CA" w14:textId="77777777" w:rsidR="00F52056" w:rsidRDefault="00000000">
            <w:r>
              <w:t>Economic impact assessment of public incentives to support farm-to-school food purchases</w:t>
            </w:r>
          </w:p>
        </w:tc>
        <w:tc>
          <w:tcPr>
            <w:tcW w:w="2160" w:type="dxa"/>
          </w:tcPr>
          <w:p w14:paraId="4FB46AA5" w14:textId="77777777" w:rsidR="00F52056" w:rsidRDefault="00000000">
            <w:pPr>
              <w:cnfStyle w:val="000000100000" w:firstRow="0" w:lastRow="0" w:firstColumn="0" w:lastColumn="0" w:oddVBand="0" w:evenVBand="0" w:oddHBand="1" w:evenHBand="0" w:firstRowFirstColumn="0" w:firstRowLastColumn="0" w:lastRowFirstColumn="0" w:lastRowLastColumn="0"/>
            </w:pPr>
            <w:r>
              <w:t>2023</w:t>
            </w:r>
          </w:p>
        </w:tc>
        <w:tc>
          <w:tcPr>
            <w:tcW w:w="2160" w:type="dxa"/>
          </w:tcPr>
          <w:p w14:paraId="576C1EEC" w14:textId="77777777" w:rsidR="00F52056" w:rsidRDefault="00000000">
            <w:pPr>
              <w:cnfStyle w:val="000000100000" w:firstRow="0" w:lastRow="0" w:firstColumn="0" w:lastColumn="0" w:oddVBand="0" w:evenVBand="0" w:oddHBand="1" w:evenHBand="0" w:firstRowFirstColumn="0" w:firstRowLastColumn="0" w:lastRowFirstColumn="0" w:lastRowLastColumn="0"/>
            </w:pPr>
            <w:r>
              <w:t>Food Policy</w:t>
            </w:r>
          </w:p>
        </w:tc>
        <w:tc>
          <w:tcPr>
            <w:tcW w:w="2160" w:type="dxa"/>
          </w:tcPr>
          <w:p w14:paraId="69EB1B8C" w14:textId="77777777" w:rsidR="00F52056" w:rsidRDefault="00000000">
            <w:pPr>
              <w:cnfStyle w:val="000000100000" w:firstRow="0" w:lastRow="0" w:firstColumn="0" w:lastColumn="0" w:oddVBand="0" w:evenVBand="0" w:oddHBand="1" w:evenHBand="0" w:firstRowFirstColumn="0" w:firstRowLastColumn="0" w:lastRowFirstColumn="0" w:lastRowLastColumn="0"/>
            </w:pPr>
            <w:r>
              <w:t>Customized IMPLAN SAM model with margining of vendor data; quasi-experimental before/after analysis of school district food procurement.</w:t>
            </w:r>
          </w:p>
        </w:tc>
      </w:tr>
      <w:tr w:rsidR="00F52056" w14:paraId="1897CED8" w14:textId="77777777" w:rsidTr="00F52056">
        <w:tc>
          <w:tcPr>
            <w:cnfStyle w:val="001000000000" w:firstRow="0" w:lastRow="0" w:firstColumn="1" w:lastColumn="0" w:oddVBand="0" w:evenVBand="0" w:oddHBand="0" w:evenHBand="0" w:firstRowFirstColumn="0" w:firstRowLastColumn="0" w:lastRowFirstColumn="0" w:lastRowLastColumn="0"/>
            <w:tcW w:w="2160" w:type="dxa"/>
          </w:tcPr>
          <w:p w14:paraId="6284213E" w14:textId="77777777" w:rsidR="00F52056" w:rsidRDefault="00000000">
            <w:r>
              <w:t>Local and Regional Food Systems in Florida: Values and Economic Impacts</w:t>
            </w:r>
          </w:p>
        </w:tc>
        <w:tc>
          <w:tcPr>
            <w:tcW w:w="2160" w:type="dxa"/>
          </w:tcPr>
          <w:p w14:paraId="01FC3227" w14:textId="77777777" w:rsidR="00F52056" w:rsidRDefault="00000000">
            <w:pPr>
              <w:cnfStyle w:val="000000000000" w:firstRow="0" w:lastRow="0" w:firstColumn="0" w:lastColumn="0" w:oddVBand="0" w:evenVBand="0" w:oddHBand="0" w:evenHBand="0" w:firstRowFirstColumn="0" w:firstRowLastColumn="0" w:lastRowFirstColumn="0" w:lastRowLastColumn="0"/>
            </w:pPr>
            <w:r>
              <w:t>2014</w:t>
            </w:r>
          </w:p>
        </w:tc>
        <w:tc>
          <w:tcPr>
            <w:tcW w:w="2160" w:type="dxa"/>
          </w:tcPr>
          <w:p w14:paraId="431CA17D" w14:textId="77777777" w:rsidR="00F52056" w:rsidRDefault="00000000">
            <w:pPr>
              <w:cnfStyle w:val="000000000000" w:firstRow="0" w:lastRow="0" w:firstColumn="0" w:lastColumn="0" w:oddVBand="0" w:evenVBand="0" w:oddHBand="0" w:evenHBand="0" w:firstRowFirstColumn="0" w:firstRowLastColumn="0" w:lastRowFirstColumn="0" w:lastRowLastColumn="0"/>
            </w:pPr>
            <w:r>
              <w:t>J. of Agricultural and Applied Economics</w:t>
            </w:r>
          </w:p>
        </w:tc>
        <w:tc>
          <w:tcPr>
            <w:tcW w:w="2160" w:type="dxa"/>
          </w:tcPr>
          <w:p w14:paraId="3C6C0F68" w14:textId="77777777" w:rsidR="00F52056" w:rsidRDefault="00000000">
            <w:pPr>
              <w:cnfStyle w:val="000000000000" w:firstRow="0" w:lastRow="0" w:firstColumn="0" w:lastColumn="0" w:oddVBand="0" w:evenVBand="0" w:oddHBand="0" w:evenHBand="0" w:firstRowFirstColumn="0" w:firstRowLastColumn="0" w:lastRowFirstColumn="0" w:lastRowLastColumn="0"/>
            </w:pPr>
            <w:r>
              <w:t>Large-scale household survey (n=1,599) combined with IMPLAN IO modeling of local food expenditures.</w:t>
            </w:r>
          </w:p>
        </w:tc>
      </w:tr>
      <w:tr w:rsidR="00F52056" w14:paraId="6A0286E7" w14:textId="77777777" w:rsidTr="00F520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2E6E194" w14:textId="77777777" w:rsidR="00F52056" w:rsidRDefault="00000000">
            <w:r>
              <w:t>An Evaluation of the Economic Impacts of Oklahoma Farmers Markets</w:t>
            </w:r>
          </w:p>
        </w:tc>
        <w:tc>
          <w:tcPr>
            <w:tcW w:w="2160" w:type="dxa"/>
          </w:tcPr>
          <w:p w14:paraId="3E68AB94" w14:textId="77777777" w:rsidR="00F52056" w:rsidRDefault="00000000">
            <w:pPr>
              <w:cnfStyle w:val="000000100000" w:firstRow="0" w:lastRow="0" w:firstColumn="0" w:lastColumn="0" w:oddVBand="0" w:evenVBand="0" w:oddHBand="1" w:evenHBand="0" w:firstRowFirstColumn="0" w:firstRowLastColumn="0" w:lastRowFirstColumn="0" w:lastRowLastColumn="0"/>
            </w:pPr>
            <w:r>
              <w:t>2009</w:t>
            </w:r>
          </w:p>
        </w:tc>
        <w:tc>
          <w:tcPr>
            <w:tcW w:w="2160" w:type="dxa"/>
          </w:tcPr>
          <w:p w14:paraId="508B2B2D" w14:textId="77777777" w:rsidR="00F52056" w:rsidRDefault="00000000">
            <w:pPr>
              <w:cnfStyle w:val="000000100000" w:firstRow="0" w:lastRow="0" w:firstColumn="0" w:lastColumn="0" w:oddVBand="0" w:evenVBand="0" w:oddHBand="1" w:evenHBand="0" w:firstRowFirstColumn="0" w:firstRowLastColumn="0" w:lastRowFirstColumn="0" w:lastRowLastColumn="0"/>
            </w:pPr>
            <w:r>
              <w:t>J. of Food Distribution Research</w:t>
            </w:r>
          </w:p>
        </w:tc>
        <w:tc>
          <w:tcPr>
            <w:tcW w:w="2160" w:type="dxa"/>
          </w:tcPr>
          <w:p w14:paraId="06043218" w14:textId="77777777" w:rsidR="00F52056" w:rsidRDefault="00000000">
            <w:pPr>
              <w:cnfStyle w:val="000000100000" w:firstRow="0" w:lastRow="0" w:firstColumn="0" w:lastColumn="0" w:oddVBand="0" w:evenVBand="0" w:oddHBand="1" w:evenHBand="0" w:firstRowFirstColumn="0" w:firstRowLastColumn="0" w:lastRowFirstColumn="0" w:lastRowLastColumn="0"/>
            </w:pPr>
            <w:r>
              <w:t>Intercept surveys at farmers markets; IO multiplier analysis of direct vendor sales.</w:t>
            </w:r>
          </w:p>
        </w:tc>
      </w:tr>
      <w:tr w:rsidR="00F52056" w14:paraId="69806194" w14:textId="77777777" w:rsidTr="00F52056">
        <w:tc>
          <w:tcPr>
            <w:cnfStyle w:val="001000000000" w:firstRow="0" w:lastRow="0" w:firstColumn="1" w:lastColumn="0" w:oddVBand="0" w:evenVBand="0" w:oddHBand="0" w:evenHBand="0" w:firstRowFirstColumn="0" w:firstRowLastColumn="0" w:lastRowFirstColumn="0" w:lastRowLastColumn="0"/>
            <w:tcW w:w="2160" w:type="dxa"/>
          </w:tcPr>
          <w:p w14:paraId="7DFE30FE" w14:textId="77777777" w:rsidR="00F52056" w:rsidRDefault="00000000">
            <w:r>
              <w:t xml:space="preserve">Local Food Wholesale </w:t>
            </w:r>
            <w:r>
              <w:lastRenderedPageBreak/>
              <w:t>Infrastructure in New York State</w:t>
            </w:r>
          </w:p>
        </w:tc>
        <w:tc>
          <w:tcPr>
            <w:tcW w:w="2160" w:type="dxa"/>
          </w:tcPr>
          <w:p w14:paraId="1BAA81C1" w14:textId="77777777" w:rsidR="00F52056" w:rsidRDefault="00000000">
            <w:pPr>
              <w:cnfStyle w:val="000000000000" w:firstRow="0" w:lastRow="0" w:firstColumn="0" w:lastColumn="0" w:oddVBand="0" w:evenVBand="0" w:oddHBand="0" w:evenHBand="0" w:firstRowFirstColumn="0" w:firstRowLastColumn="0" w:lastRowFirstColumn="0" w:lastRowLastColumn="0"/>
            </w:pPr>
            <w:r>
              <w:lastRenderedPageBreak/>
              <w:t>2012</w:t>
            </w:r>
          </w:p>
        </w:tc>
        <w:tc>
          <w:tcPr>
            <w:tcW w:w="2160" w:type="dxa"/>
          </w:tcPr>
          <w:p w14:paraId="774077CA" w14:textId="77777777" w:rsidR="00F52056" w:rsidRDefault="00000000">
            <w:pPr>
              <w:cnfStyle w:val="000000000000" w:firstRow="0" w:lastRow="0" w:firstColumn="0" w:lastColumn="0" w:oddVBand="0" w:evenVBand="0" w:oddHBand="0" w:evenHBand="0" w:firstRowFirstColumn="0" w:firstRowLastColumn="0" w:lastRowFirstColumn="0" w:lastRowLastColumn="0"/>
            </w:pPr>
            <w:r>
              <w:t>AgEcon Search</w:t>
            </w:r>
          </w:p>
        </w:tc>
        <w:tc>
          <w:tcPr>
            <w:tcW w:w="2160" w:type="dxa"/>
          </w:tcPr>
          <w:p w14:paraId="7F4086CD" w14:textId="77777777" w:rsidR="00F52056" w:rsidRDefault="00000000">
            <w:pPr>
              <w:cnfStyle w:val="000000000000" w:firstRow="0" w:lastRow="0" w:firstColumn="0" w:lastColumn="0" w:oddVBand="0" w:evenVBand="0" w:oddHBand="0" w:evenHBand="0" w:firstRowFirstColumn="0" w:firstRowLastColumn="0" w:lastRowFirstColumn="0" w:lastRowLastColumn="0"/>
            </w:pPr>
            <w:r>
              <w:t xml:space="preserve">Supply chain analysis with regional </w:t>
            </w:r>
            <w:r>
              <w:lastRenderedPageBreak/>
              <w:t>purchase coefficients estimating financial leakage prevention.</w:t>
            </w:r>
          </w:p>
        </w:tc>
      </w:tr>
      <w:tr w:rsidR="00F52056" w14:paraId="333BF4AE" w14:textId="77777777" w:rsidTr="00F520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D2C5563" w14:textId="77777777" w:rsidR="00F52056" w:rsidRDefault="00000000">
            <w:r>
              <w:lastRenderedPageBreak/>
              <w:t>Buying Local? Barriers to local food sales from intermediary buyers</w:t>
            </w:r>
          </w:p>
        </w:tc>
        <w:tc>
          <w:tcPr>
            <w:tcW w:w="2160" w:type="dxa"/>
          </w:tcPr>
          <w:p w14:paraId="28D4A303" w14:textId="77777777" w:rsidR="00F52056" w:rsidRDefault="00000000">
            <w:pPr>
              <w:cnfStyle w:val="000000100000" w:firstRow="0" w:lastRow="0" w:firstColumn="0" w:lastColumn="0" w:oddVBand="0" w:evenVBand="0" w:oddHBand="1" w:evenHBand="0" w:firstRowFirstColumn="0" w:firstRowLastColumn="0" w:lastRowFirstColumn="0" w:lastRowLastColumn="0"/>
            </w:pPr>
            <w:r>
              <w:t>2015</w:t>
            </w:r>
          </w:p>
        </w:tc>
        <w:tc>
          <w:tcPr>
            <w:tcW w:w="2160" w:type="dxa"/>
          </w:tcPr>
          <w:p w14:paraId="007E813C" w14:textId="77777777" w:rsidR="00F52056" w:rsidRDefault="00000000">
            <w:pPr>
              <w:cnfStyle w:val="000000100000" w:firstRow="0" w:lastRow="0" w:firstColumn="0" w:lastColumn="0" w:oddVBand="0" w:evenVBand="0" w:oddHBand="1" w:evenHBand="0" w:firstRowFirstColumn="0" w:firstRowLastColumn="0" w:lastRowFirstColumn="0" w:lastRowLastColumn="0"/>
            </w:pPr>
            <w:r>
              <w:t>AgEcon Search</w:t>
            </w:r>
          </w:p>
        </w:tc>
        <w:tc>
          <w:tcPr>
            <w:tcW w:w="2160" w:type="dxa"/>
          </w:tcPr>
          <w:p w14:paraId="103097CB" w14:textId="77777777" w:rsidR="00F52056" w:rsidRDefault="00000000">
            <w:pPr>
              <w:cnfStyle w:val="000000100000" w:firstRow="0" w:lastRow="0" w:firstColumn="0" w:lastColumn="0" w:oddVBand="0" w:evenVBand="0" w:oddHBand="1" w:evenHBand="0" w:firstRowFirstColumn="0" w:firstRowLastColumn="0" w:lastRowFirstColumn="0" w:lastRowLastColumn="0"/>
            </w:pPr>
            <w:r>
              <w:t>Exploratory analysis of supply chain bottlenecks preventing local multiplier realization.</w:t>
            </w:r>
          </w:p>
        </w:tc>
      </w:tr>
      <w:tr w:rsidR="00F52056" w14:paraId="6F42D3E7" w14:textId="77777777" w:rsidTr="00F52056">
        <w:tc>
          <w:tcPr>
            <w:cnfStyle w:val="001000000000" w:firstRow="0" w:lastRow="0" w:firstColumn="1" w:lastColumn="0" w:oddVBand="0" w:evenVBand="0" w:oddHBand="0" w:evenHBand="0" w:firstRowFirstColumn="0" w:firstRowLastColumn="0" w:lastRowFirstColumn="0" w:lastRowLastColumn="0"/>
            <w:tcW w:w="2160" w:type="dxa"/>
          </w:tcPr>
          <w:p w14:paraId="1E268374" w14:textId="77777777" w:rsidR="00F52056" w:rsidRDefault="00000000">
            <w:r>
              <w:t>Impact of Access to Healthy Food and Lifestyle on Obesity</w:t>
            </w:r>
          </w:p>
        </w:tc>
        <w:tc>
          <w:tcPr>
            <w:tcW w:w="2160" w:type="dxa"/>
          </w:tcPr>
          <w:p w14:paraId="468DB8DE" w14:textId="77777777" w:rsidR="00F52056" w:rsidRDefault="00000000">
            <w:pPr>
              <w:cnfStyle w:val="000000000000" w:firstRow="0" w:lastRow="0" w:firstColumn="0" w:lastColumn="0" w:oddVBand="0" w:evenVBand="0" w:oddHBand="0" w:evenHBand="0" w:firstRowFirstColumn="0" w:firstRowLastColumn="0" w:lastRowFirstColumn="0" w:lastRowLastColumn="0"/>
            </w:pPr>
            <w:r>
              <w:t>2015</w:t>
            </w:r>
          </w:p>
        </w:tc>
        <w:tc>
          <w:tcPr>
            <w:tcW w:w="2160" w:type="dxa"/>
          </w:tcPr>
          <w:p w14:paraId="45F9F5ED" w14:textId="77777777" w:rsidR="00F52056" w:rsidRDefault="00000000">
            <w:pPr>
              <w:cnfStyle w:val="000000000000" w:firstRow="0" w:lastRow="0" w:firstColumn="0" w:lastColumn="0" w:oddVBand="0" w:evenVBand="0" w:oddHBand="0" w:evenHBand="0" w:firstRowFirstColumn="0" w:firstRowLastColumn="0" w:lastRowFirstColumn="0" w:lastRowLastColumn="0"/>
            </w:pPr>
            <w:r>
              <w:t>AgEcon Search</w:t>
            </w:r>
          </w:p>
        </w:tc>
        <w:tc>
          <w:tcPr>
            <w:tcW w:w="2160" w:type="dxa"/>
          </w:tcPr>
          <w:p w14:paraId="215C5C04" w14:textId="77777777" w:rsidR="00F52056" w:rsidRDefault="00000000">
            <w:pPr>
              <w:cnfStyle w:val="000000000000" w:firstRow="0" w:lastRow="0" w:firstColumn="0" w:lastColumn="0" w:oddVBand="0" w:evenVBand="0" w:oddHBand="0" w:evenHBand="0" w:firstRowFirstColumn="0" w:firstRowLastColumn="0" w:lastRowFirstColumn="0" w:lastRowLastColumn="0"/>
            </w:pPr>
            <w:r>
              <w:t>Linear regression econometrics on economic impact of food access on health outcomes.</w:t>
            </w:r>
          </w:p>
        </w:tc>
      </w:tr>
    </w:tbl>
    <w:p w14:paraId="71C82593" w14:textId="77777777" w:rsidR="00F52056" w:rsidRDefault="00F52056"/>
    <w:p w14:paraId="26565E88" w14:textId="77777777" w:rsidR="00F52056" w:rsidRDefault="00000000">
      <w:r>
        <w:t>Key Finding: Across the literature, the standard methodology for evaluating local food economic impact involves two steps: (1) primary data collection to quantify direct expenditures, and (2) Input-Output modeling to estimate indirect and induced multiplier effects. The most rigorous studies (particularly Krasnoff et al., 2023) also apply "margining" to prevent overcounting and calculate net impacts after accounting for taxpayer costs.</w:t>
      </w:r>
    </w:p>
    <w:p w14:paraId="5A75510F" w14:textId="77777777" w:rsidR="00F52056" w:rsidRDefault="00000000">
      <w:pPr>
        <w:pStyle w:val="Heading2"/>
      </w:pPr>
      <w:r>
        <w:t>2.2 Deep Dive: Krasnoff, Schmit &amp; Bilinski (2023)</w:t>
      </w:r>
    </w:p>
    <w:p w14:paraId="61B39B7E" w14:textId="77777777" w:rsidR="00F52056" w:rsidRDefault="00000000">
      <w:r>
        <w:t>This study, published in Food Policy, was identified as the methodological gold standard for our purposes. The full text was obtained and analyzed line-by-line. Key methodological innovations include:</w:t>
      </w:r>
    </w:p>
    <w:p w14:paraId="426111F5" w14:textId="77777777" w:rsidR="00F52056" w:rsidRDefault="00000000">
      <w:r>
        <w:rPr>
          <w:b/>
        </w:rPr>
        <w:t xml:space="preserve">Margining of Vendor Data: </w:t>
      </w:r>
      <w:r>
        <w:t>Rather than counting the full purchase price as "local impact," the researchers split each dollar into its constituent components: producer value (farm-gate or factory-gate), wholesale margin, and transport margin. Each component was then independently coded as local or non-local based on the actual location of the wholesaler, processor, and transporter. This prevents the common error of double-counting wholesale and transport activity that is already domestic.</w:t>
      </w:r>
    </w:p>
    <w:p w14:paraId="20FAAE09" w14:textId="77777777" w:rsidR="00F52056" w:rsidRDefault="00000000">
      <w:r>
        <w:rPr>
          <w:b/>
        </w:rPr>
        <w:t xml:space="preserve">Customized IMPLAN SAM Model: </w:t>
      </w:r>
      <w:r>
        <w:t>Product purchases were mapped to IMPLAN industry codes using the NAICS/IMPLAN crosswalk. Each margined component was assigned a Local Purchasing Percentage (LPP). Where specific information was available (e.g., an eggroll made with 57% NYS ingredients), production functions were manually customized to reflect the actual local content.</w:t>
      </w:r>
    </w:p>
    <w:p w14:paraId="4BF3546E" w14:textId="77777777" w:rsidR="00F52056" w:rsidRDefault="00000000">
      <w:r>
        <w:rPr>
          <w:b/>
        </w:rPr>
        <w:t xml:space="preserve">Net Impact (Tax Effect): </w:t>
      </w:r>
      <w:r>
        <w:t>The study modeled both the positive economic ripple of local food purchases AND the negative ripple of the taxpayer cost ($1.002M in additional reimbursements). The tax burden was applied as a negative household income shock to middle-income spending patterns. Result: for every $1.00 in GDP lost to taxpayers, $1.06 in GDP was added from local food purchases (benefit-cost ratio of 1.06:1).</w:t>
      </w:r>
    </w:p>
    <w:p w14:paraId="50FACC89" w14:textId="77777777" w:rsidR="00F52056" w:rsidRDefault="00000000">
      <w:r>
        <w:rPr>
          <w:b/>
        </w:rPr>
        <w:lastRenderedPageBreak/>
        <w:t xml:space="preserve">Displacement Caveat (67% Threshold): </w:t>
      </w:r>
      <w:r>
        <w:t>The researchers calculated that at least 67% of the increase in local food spending must represent genuinely new farm production (not reallocation from other local buyers) for the policy to remain a net positive investment. This threshold was validated against USDA survey data showing only ~18% reallocation in practice.</w:t>
      </w:r>
    </w:p>
    <w:p w14:paraId="40859609" w14:textId="77777777" w:rsidR="00F52056" w:rsidRDefault="00000000">
      <w:pPr>
        <w:pStyle w:val="Heading2"/>
      </w:pPr>
      <w:r>
        <w:t>2.3 FCC: The $12-Billion Trade Shift (2025)</w:t>
      </w:r>
    </w:p>
    <w:p w14:paraId="5FD9B12F" w14:textId="77777777" w:rsidR="00F52056" w:rsidRDefault="00000000">
      <w:r>
        <w:t>Farm Credit Canada’s September 2025 report "The $12-Billion Trade Shift: Canada’s Opportunity to Diversify Food Exports Beyond the U.S." provides the strategic framework and baseline target for this analysis.</w:t>
      </w:r>
    </w:p>
    <w:p w14:paraId="3D6F30B7" w14:textId="77777777" w:rsidR="00F52056" w:rsidRDefault="00000000">
      <w:r>
        <w:rPr>
          <w:b/>
        </w:rPr>
        <w:t xml:space="preserve">The Problem: </w:t>
      </w:r>
      <w:r>
        <w:t>In 2023, 76% of Canadian food and beverage exports were destined for the U.S., while 65% of food/beverage imports and 78% of primary agriculture imports came from the U.S. This extreme concentration creates vulnerability to trade disruptions.</w:t>
      </w:r>
    </w:p>
    <w:p w14:paraId="6DACB1BF" w14:textId="77777777" w:rsidR="00F52056" w:rsidRDefault="00000000">
      <w:r>
        <w:rPr>
          <w:b/>
        </w:rPr>
        <w:t xml:space="preserve">The $12B Strategy (Three Pillars): </w:t>
      </w:r>
    </w:p>
    <w:p w14:paraId="152BE15A" w14:textId="77777777" w:rsidR="00F52056" w:rsidRDefault="00000000">
      <w:pPr>
        <w:pStyle w:val="ListBullet"/>
      </w:pPr>
      <w:r>
        <w:t>Pillar 1 – Interprovincial Trade: $2.6 billion – Replace U.S. imports with Canadian products.</w:t>
      </w:r>
    </w:p>
    <w:p w14:paraId="4F710200" w14:textId="77777777" w:rsidR="00F52056" w:rsidRDefault="00000000">
      <w:pPr>
        <w:pStyle w:val="ListBullet"/>
      </w:pPr>
      <w:r>
        <w:t>Pillar 2 – Existing Trade Agreements: Leverage 15 FTAs covering 51 countries.</w:t>
      </w:r>
    </w:p>
    <w:p w14:paraId="3D669EB4" w14:textId="77777777" w:rsidR="00F52056" w:rsidRDefault="00000000">
      <w:pPr>
        <w:pStyle w:val="ListBullet"/>
      </w:pPr>
      <w:r>
        <w:t>Pillar 3 – New Markets: Pursue $9.4 billion in growth in Europe, Asia, Latin America.</w:t>
      </w:r>
    </w:p>
    <w:p w14:paraId="24E33E07" w14:textId="77777777" w:rsidR="00F52056" w:rsidRDefault="00000000">
      <w:r>
        <w:rPr>
          <w:b/>
        </w:rPr>
        <w:t xml:space="preserve">Key Insight for This Analysis: </w:t>
      </w:r>
      <w:r>
        <w:t>Pillar 1 ($2.6B) is the import substitution component—the portion that creates genuinely new domestic economic activity measurable through IO multipliers. Pillars 2 and 3 redirect existing exports to different destinations, which affects trade balance but does not generate new domestic supply chain activity in the same way. FCC did not publish a commodity-level breakdown of the $2.6B, nor a split between primary agriculture and processed food. However, because the strategy targets the food &amp; beverage stream (76% U.S. dependent) rather than primary agriculture (only 31%), the $2.6B is overwhelmingly processed food and beverage products.</w:t>
      </w:r>
    </w:p>
    <w:p w14:paraId="3CCF55D4" w14:textId="77777777" w:rsidR="00F52056" w:rsidRDefault="00000000">
      <w:pPr>
        <w:pStyle w:val="Heading1"/>
      </w:pPr>
      <w:r>
        <w:t>3. Proposed Methodology for a Canadian Analysis</w:t>
      </w:r>
    </w:p>
    <w:p w14:paraId="791C8433" w14:textId="77777777" w:rsidR="00F52056" w:rsidRDefault="00000000">
      <w:r>
        <w:t>Drawing on the Krasnoff et al. (2023) margining methodology and the FCC import substitution target, we propose a five-step process to estimate the economic impact. Steps 1-3 have been completed; Steps 4-5 require execution through the OFA IO Multiplier Engine.</w:t>
      </w:r>
    </w:p>
    <w:p w14:paraId="56087EBA" w14:textId="77777777" w:rsidR="00F52056" w:rsidRDefault="00000000">
      <w:pPr>
        <w:pStyle w:val="Heading2"/>
      </w:pPr>
      <w:r>
        <w:t>3.1 Step 1: Establish the Import Substitution Target</w:t>
      </w:r>
    </w:p>
    <w:p w14:paraId="1EF29C7C" w14:textId="77777777" w:rsidR="00F52056" w:rsidRDefault="00000000">
      <w:r>
        <w:t>Source: FCC (2025), "The $12-Billion Trade Shift"</w:t>
      </w:r>
    </w:p>
    <w:p w14:paraId="5C69FEA3" w14:textId="77777777" w:rsidR="00F52056" w:rsidRDefault="00000000">
      <w:r>
        <w:t>Target: $2.6 billion CAD in U.S. food imports to be replaced with Canadian-sourced products.</w:t>
      </w:r>
    </w:p>
    <w:p w14:paraId="695A98E4" w14:textId="77777777" w:rsidR="00F52056" w:rsidRDefault="00000000">
      <w:r>
        <w:t>This figure represents FCC’s estimate of the interprovincial trade opportunity—the amount of food currently imported from the U.S. that could realistically be sourced from Canadian producers. It is a model, not a prediction, designed to focus industry on diversification priorities.</w:t>
      </w:r>
    </w:p>
    <w:p w14:paraId="53A84F53" w14:textId="77777777" w:rsidR="00F52056" w:rsidRDefault="00000000">
      <w:pPr>
        <w:pStyle w:val="Heading2"/>
      </w:pPr>
      <w:r>
        <w:lastRenderedPageBreak/>
        <w:t>3.2 Step 2: Sector Allocation Using Trade Data</w:t>
      </w:r>
    </w:p>
    <w:p w14:paraId="7AF7FD96" w14:textId="77777777" w:rsidR="00F52056" w:rsidRDefault="00000000">
      <w:r>
        <w:t>Source: USDA Foreign Agricultural Service GATS database (2023 data)</w:t>
      </w:r>
    </w:p>
    <w:p w14:paraId="16C86CEA" w14:textId="77777777" w:rsidR="00F52056" w:rsidRDefault="00000000">
      <w:r>
        <w:t>Since FCC did not publish a commodity breakdown of the $2.6B, we constructed one using actual U.S.-to-Canada food trade data from the USDA. The top 10 categories of U.S. consumer food exports to Canada total $18.6 billion CAD. Each category was assigned a substitutability score (0-100%) based on whether Canada has existing production capacity to replace the imports.</w:t>
      </w:r>
    </w:p>
    <w:tbl>
      <w:tblPr>
        <w:tblStyle w:val="LightShading-Accent1"/>
        <w:tblW w:w="0" w:type="auto"/>
        <w:tblLook w:val="04A0" w:firstRow="1" w:lastRow="0" w:firstColumn="1" w:lastColumn="0" w:noHBand="0" w:noVBand="1"/>
      </w:tblPr>
      <w:tblGrid>
        <w:gridCol w:w="1728"/>
        <w:gridCol w:w="1728"/>
        <w:gridCol w:w="1728"/>
        <w:gridCol w:w="1728"/>
        <w:gridCol w:w="1728"/>
      </w:tblGrid>
      <w:tr w:rsidR="00F52056" w14:paraId="1116B5BD" w14:textId="77777777" w:rsidTr="00F5205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2070595" w14:textId="77777777" w:rsidR="00F52056" w:rsidRDefault="00000000">
            <w:r>
              <w:t>NAICS</w:t>
            </w:r>
          </w:p>
        </w:tc>
        <w:tc>
          <w:tcPr>
            <w:tcW w:w="1728" w:type="dxa"/>
          </w:tcPr>
          <w:p w14:paraId="026DDDEE" w14:textId="77777777" w:rsidR="00F52056" w:rsidRDefault="00000000">
            <w:pPr>
              <w:cnfStyle w:val="100000000000" w:firstRow="1" w:lastRow="0" w:firstColumn="0" w:lastColumn="0" w:oddVBand="0" w:evenVBand="0" w:oddHBand="0" w:evenHBand="0" w:firstRowFirstColumn="0" w:firstRowLastColumn="0" w:lastRowFirstColumn="0" w:lastRowLastColumn="0"/>
            </w:pPr>
            <w:r>
              <w:t>Industry</w:t>
            </w:r>
          </w:p>
        </w:tc>
        <w:tc>
          <w:tcPr>
            <w:tcW w:w="1728" w:type="dxa"/>
          </w:tcPr>
          <w:p w14:paraId="4BE79ACC" w14:textId="77777777" w:rsidR="00F52056" w:rsidRDefault="00000000">
            <w:pPr>
              <w:cnfStyle w:val="100000000000" w:firstRow="1" w:lastRow="0" w:firstColumn="0" w:lastColumn="0" w:oddVBand="0" w:evenVBand="0" w:oddHBand="0" w:evenHBand="0" w:firstRowFirstColumn="0" w:firstRowLastColumn="0" w:lastRowFirstColumn="0" w:lastRowLastColumn="0"/>
            </w:pPr>
            <w:r>
              <w:t>Allocated ($M CAD)</w:t>
            </w:r>
          </w:p>
        </w:tc>
        <w:tc>
          <w:tcPr>
            <w:tcW w:w="1728" w:type="dxa"/>
          </w:tcPr>
          <w:p w14:paraId="0F2A6BD1" w14:textId="77777777" w:rsidR="00F52056" w:rsidRDefault="00000000">
            <w:pPr>
              <w:cnfStyle w:val="100000000000" w:firstRow="1" w:lastRow="0" w:firstColumn="0" w:lastColumn="0" w:oddVBand="0" w:evenVBand="0" w:oddHBand="0" w:evenHBand="0" w:firstRowFirstColumn="0" w:firstRowLastColumn="0" w:lastRowFirstColumn="0" w:lastRowLastColumn="0"/>
            </w:pPr>
            <w:r>
              <w:t>Share</w:t>
            </w:r>
          </w:p>
        </w:tc>
        <w:tc>
          <w:tcPr>
            <w:tcW w:w="1728" w:type="dxa"/>
          </w:tcPr>
          <w:p w14:paraId="6976E406" w14:textId="77777777" w:rsidR="00F52056" w:rsidRDefault="00000000">
            <w:pPr>
              <w:cnfStyle w:val="100000000000" w:firstRow="1" w:lastRow="0" w:firstColumn="0" w:lastColumn="0" w:oddVBand="0" w:evenVBand="0" w:oddHBand="0" w:evenHBand="0" w:firstRowFirstColumn="0" w:firstRowLastColumn="0" w:lastRowFirstColumn="0" w:lastRowLastColumn="0"/>
            </w:pPr>
            <w:r>
              <w:t>Rationale</w:t>
            </w:r>
          </w:p>
        </w:tc>
      </w:tr>
      <w:tr w:rsidR="00F52056" w14:paraId="6C5E523D" w14:textId="77777777" w:rsidTr="00F520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F46DB4B" w14:textId="77777777" w:rsidR="00F52056" w:rsidRDefault="00000000">
            <w:r>
              <w:t>3118</w:t>
            </w:r>
          </w:p>
        </w:tc>
        <w:tc>
          <w:tcPr>
            <w:tcW w:w="1728" w:type="dxa"/>
          </w:tcPr>
          <w:p w14:paraId="4C579899" w14:textId="77777777" w:rsidR="00F52056" w:rsidRDefault="00000000">
            <w:pPr>
              <w:cnfStyle w:val="000000100000" w:firstRow="0" w:lastRow="0" w:firstColumn="0" w:lastColumn="0" w:oddVBand="0" w:evenVBand="0" w:oddHBand="1" w:evenHBand="0" w:firstRowFirstColumn="0" w:firstRowLastColumn="0" w:lastRowFirstColumn="0" w:lastRowLastColumn="0"/>
            </w:pPr>
            <w:r>
              <w:t>Bakeries &amp; tortilla mfg</w:t>
            </w:r>
          </w:p>
        </w:tc>
        <w:tc>
          <w:tcPr>
            <w:tcW w:w="1728" w:type="dxa"/>
          </w:tcPr>
          <w:p w14:paraId="578602F1" w14:textId="77777777" w:rsidR="00F52056" w:rsidRDefault="00000000">
            <w:pPr>
              <w:cnfStyle w:val="000000100000" w:firstRow="0" w:lastRow="0" w:firstColumn="0" w:lastColumn="0" w:oddVBand="0" w:evenVBand="0" w:oddHBand="1" w:evenHBand="0" w:firstRowFirstColumn="0" w:firstRowLastColumn="0" w:lastRowFirstColumn="0" w:lastRowLastColumn="0"/>
            </w:pPr>
            <w:r>
              <w:t>$660.3M</w:t>
            </w:r>
          </w:p>
        </w:tc>
        <w:tc>
          <w:tcPr>
            <w:tcW w:w="1728" w:type="dxa"/>
          </w:tcPr>
          <w:p w14:paraId="4B2BBDD4" w14:textId="77777777" w:rsidR="00F52056" w:rsidRDefault="00000000">
            <w:pPr>
              <w:cnfStyle w:val="000000100000" w:firstRow="0" w:lastRow="0" w:firstColumn="0" w:lastColumn="0" w:oddVBand="0" w:evenVBand="0" w:oddHBand="1" w:evenHBand="0" w:firstRowFirstColumn="0" w:firstRowLastColumn="0" w:lastRowFirstColumn="0" w:lastRowLastColumn="0"/>
            </w:pPr>
            <w:r>
              <w:t>25.4%</w:t>
            </w:r>
          </w:p>
        </w:tc>
        <w:tc>
          <w:tcPr>
            <w:tcW w:w="1728" w:type="dxa"/>
          </w:tcPr>
          <w:p w14:paraId="681E4588" w14:textId="77777777" w:rsidR="00F52056" w:rsidRDefault="00000000">
            <w:pPr>
              <w:cnfStyle w:val="000000100000" w:firstRow="0" w:lastRow="0" w:firstColumn="0" w:lastColumn="0" w:oddVBand="0" w:evenVBand="0" w:oddHBand="1" w:evenHBand="0" w:firstRowFirstColumn="0" w:firstRowLastColumn="0" w:lastRowFirstColumn="0" w:lastRowLastColumn="0"/>
            </w:pPr>
            <w:r>
              <w:t>Canada has massive grain/milling capacity</w:t>
            </w:r>
          </w:p>
        </w:tc>
      </w:tr>
      <w:tr w:rsidR="00F52056" w14:paraId="36C67570" w14:textId="77777777" w:rsidTr="00F52056">
        <w:tc>
          <w:tcPr>
            <w:cnfStyle w:val="001000000000" w:firstRow="0" w:lastRow="0" w:firstColumn="1" w:lastColumn="0" w:oddVBand="0" w:evenVBand="0" w:oddHBand="0" w:evenHBand="0" w:firstRowFirstColumn="0" w:firstRowLastColumn="0" w:lastRowFirstColumn="0" w:lastRowLastColumn="0"/>
            <w:tcW w:w="1728" w:type="dxa"/>
          </w:tcPr>
          <w:p w14:paraId="7985D436" w14:textId="77777777" w:rsidR="00F52056" w:rsidRDefault="00000000">
            <w:r>
              <w:t>3119</w:t>
            </w:r>
          </w:p>
        </w:tc>
        <w:tc>
          <w:tcPr>
            <w:tcW w:w="1728" w:type="dxa"/>
          </w:tcPr>
          <w:p w14:paraId="1E2B04BE" w14:textId="77777777" w:rsidR="00F52056" w:rsidRDefault="00000000">
            <w:pPr>
              <w:cnfStyle w:val="000000000000" w:firstRow="0" w:lastRow="0" w:firstColumn="0" w:lastColumn="0" w:oddVBand="0" w:evenVBand="0" w:oddHBand="0" w:evenHBand="0" w:firstRowFirstColumn="0" w:firstRowLastColumn="0" w:lastRowFirstColumn="0" w:lastRowLastColumn="0"/>
            </w:pPr>
            <w:r>
              <w:t>Other food manufacturing</w:t>
            </w:r>
          </w:p>
        </w:tc>
        <w:tc>
          <w:tcPr>
            <w:tcW w:w="1728" w:type="dxa"/>
          </w:tcPr>
          <w:p w14:paraId="7361C0DE" w14:textId="77777777" w:rsidR="00F52056" w:rsidRDefault="00000000">
            <w:pPr>
              <w:cnfStyle w:val="000000000000" w:firstRow="0" w:lastRow="0" w:firstColumn="0" w:lastColumn="0" w:oddVBand="0" w:evenVBand="0" w:oddHBand="0" w:evenHBand="0" w:firstRowFirstColumn="0" w:firstRowLastColumn="0" w:lastRowFirstColumn="0" w:lastRowLastColumn="0"/>
            </w:pPr>
            <w:r>
              <w:t>$512.6M</w:t>
            </w:r>
          </w:p>
        </w:tc>
        <w:tc>
          <w:tcPr>
            <w:tcW w:w="1728" w:type="dxa"/>
          </w:tcPr>
          <w:p w14:paraId="0830E84F" w14:textId="77777777" w:rsidR="00F52056" w:rsidRDefault="00000000">
            <w:pPr>
              <w:cnfStyle w:val="000000000000" w:firstRow="0" w:lastRow="0" w:firstColumn="0" w:lastColumn="0" w:oddVBand="0" w:evenVBand="0" w:oddHBand="0" w:evenHBand="0" w:firstRowFirstColumn="0" w:firstRowLastColumn="0" w:lastRowFirstColumn="0" w:lastRowLastColumn="0"/>
            </w:pPr>
            <w:r>
              <w:t>19.7%</w:t>
            </w:r>
          </w:p>
        </w:tc>
        <w:tc>
          <w:tcPr>
            <w:tcW w:w="1728" w:type="dxa"/>
          </w:tcPr>
          <w:p w14:paraId="574CC24A" w14:textId="77777777" w:rsidR="00F52056" w:rsidRDefault="00000000">
            <w:pPr>
              <w:cnfStyle w:val="000000000000" w:firstRow="0" w:lastRow="0" w:firstColumn="0" w:lastColumn="0" w:oddVBand="0" w:evenVBand="0" w:oddHBand="0" w:evenHBand="0" w:firstRowFirstColumn="0" w:firstRowLastColumn="0" w:lastRowFirstColumn="0" w:lastRowLastColumn="0"/>
            </w:pPr>
            <w:r>
              <w:t>Prepared foods, condiments, sauces</w:t>
            </w:r>
          </w:p>
        </w:tc>
      </w:tr>
      <w:tr w:rsidR="00F52056" w14:paraId="5A9E1A79" w14:textId="77777777" w:rsidTr="00F520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6941A62" w14:textId="77777777" w:rsidR="00F52056" w:rsidRDefault="00000000">
            <w:r>
              <w:t>3116</w:t>
            </w:r>
          </w:p>
        </w:tc>
        <w:tc>
          <w:tcPr>
            <w:tcW w:w="1728" w:type="dxa"/>
          </w:tcPr>
          <w:p w14:paraId="2AC5137F" w14:textId="77777777" w:rsidR="00F52056" w:rsidRDefault="00000000">
            <w:pPr>
              <w:cnfStyle w:val="000000100000" w:firstRow="0" w:lastRow="0" w:firstColumn="0" w:lastColumn="0" w:oddVBand="0" w:evenVBand="0" w:oddHBand="1" w:evenHBand="0" w:firstRowFirstColumn="0" w:firstRowLastColumn="0" w:lastRowFirstColumn="0" w:lastRowLastColumn="0"/>
            </w:pPr>
            <w:r>
              <w:t>Meat product manufacturing</w:t>
            </w:r>
          </w:p>
        </w:tc>
        <w:tc>
          <w:tcPr>
            <w:tcW w:w="1728" w:type="dxa"/>
          </w:tcPr>
          <w:p w14:paraId="6589A635" w14:textId="77777777" w:rsidR="00F52056" w:rsidRDefault="00000000">
            <w:pPr>
              <w:cnfStyle w:val="000000100000" w:firstRow="0" w:lastRow="0" w:firstColumn="0" w:lastColumn="0" w:oddVBand="0" w:evenVBand="0" w:oddHBand="1" w:evenHBand="0" w:firstRowFirstColumn="0" w:firstRowLastColumn="0" w:lastRowFirstColumn="0" w:lastRowLastColumn="0"/>
            </w:pPr>
            <w:r>
              <w:t>$442.8M</w:t>
            </w:r>
          </w:p>
        </w:tc>
        <w:tc>
          <w:tcPr>
            <w:tcW w:w="1728" w:type="dxa"/>
          </w:tcPr>
          <w:p w14:paraId="6CBA2C7F" w14:textId="77777777" w:rsidR="00F52056" w:rsidRDefault="00000000">
            <w:pPr>
              <w:cnfStyle w:val="000000100000" w:firstRow="0" w:lastRow="0" w:firstColumn="0" w:lastColumn="0" w:oddVBand="0" w:evenVBand="0" w:oddHBand="1" w:evenHBand="0" w:firstRowFirstColumn="0" w:firstRowLastColumn="0" w:lastRowFirstColumn="0" w:lastRowLastColumn="0"/>
            </w:pPr>
            <w:r>
              <w:t>17.0%</w:t>
            </w:r>
          </w:p>
        </w:tc>
        <w:tc>
          <w:tcPr>
            <w:tcW w:w="1728" w:type="dxa"/>
          </w:tcPr>
          <w:p w14:paraId="3D49FDE5" w14:textId="77777777" w:rsidR="00F52056" w:rsidRDefault="00000000">
            <w:pPr>
              <w:cnfStyle w:val="000000100000" w:firstRow="0" w:lastRow="0" w:firstColumn="0" w:lastColumn="0" w:oddVBand="0" w:evenVBand="0" w:oddHBand="1" w:evenHBand="0" w:firstRowFirstColumn="0" w:firstRowLastColumn="0" w:lastRowFirstColumn="0" w:lastRowLastColumn="0"/>
            </w:pPr>
            <w:r>
              <w:t>Canada is a net beef/pork exporter</w:t>
            </w:r>
          </w:p>
        </w:tc>
      </w:tr>
      <w:tr w:rsidR="00F52056" w14:paraId="19F65A84" w14:textId="77777777" w:rsidTr="00F52056">
        <w:tc>
          <w:tcPr>
            <w:cnfStyle w:val="001000000000" w:firstRow="0" w:lastRow="0" w:firstColumn="1" w:lastColumn="0" w:oddVBand="0" w:evenVBand="0" w:oddHBand="0" w:evenHBand="0" w:firstRowFirstColumn="0" w:firstRowLastColumn="0" w:lastRowFirstColumn="0" w:lastRowLastColumn="0"/>
            <w:tcW w:w="1728" w:type="dxa"/>
          </w:tcPr>
          <w:p w14:paraId="7E6A7D74" w14:textId="77777777" w:rsidR="00F52056" w:rsidRDefault="00000000">
            <w:r>
              <w:t>3121</w:t>
            </w:r>
          </w:p>
        </w:tc>
        <w:tc>
          <w:tcPr>
            <w:tcW w:w="1728" w:type="dxa"/>
          </w:tcPr>
          <w:p w14:paraId="565BC1C0" w14:textId="77777777" w:rsidR="00F52056" w:rsidRDefault="00000000">
            <w:pPr>
              <w:cnfStyle w:val="000000000000" w:firstRow="0" w:lastRow="0" w:firstColumn="0" w:lastColumn="0" w:oddVBand="0" w:evenVBand="0" w:oddHBand="0" w:evenHBand="0" w:firstRowFirstColumn="0" w:firstRowLastColumn="0" w:lastRowFirstColumn="0" w:lastRowLastColumn="0"/>
            </w:pPr>
            <w:r>
              <w:t>Beverage manufacturing</w:t>
            </w:r>
          </w:p>
        </w:tc>
        <w:tc>
          <w:tcPr>
            <w:tcW w:w="1728" w:type="dxa"/>
          </w:tcPr>
          <w:p w14:paraId="1924D146" w14:textId="77777777" w:rsidR="00F52056" w:rsidRDefault="00000000">
            <w:pPr>
              <w:cnfStyle w:val="000000000000" w:firstRow="0" w:lastRow="0" w:firstColumn="0" w:lastColumn="0" w:oddVBand="0" w:evenVBand="0" w:oddHBand="0" w:evenHBand="0" w:firstRowFirstColumn="0" w:firstRowLastColumn="0" w:lastRowFirstColumn="0" w:lastRowLastColumn="0"/>
            </w:pPr>
            <w:r>
              <w:t>$327.4M</w:t>
            </w:r>
          </w:p>
        </w:tc>
        <w:tc>
          <w:tcPr>
            <w:tcW w:w="1728" w:type="dxa"/>
          </w:tcPr>
          <w:p w14:paraId="347D1AD6" w14:textId="77777777" w:rsidR="00F52056" w:rsidRDefault="00000000">
            <w:pPr>
              <w:cnfStyle w:val="000000000000" w:firstRow="0" w:lastRow="0" w:firstColumn="0" w:lastColumn="0" w:oddVBand="0" w:evenVBand="0" w:oddHBand="0" w:evenHBand="0" w:firstRowFirstColumn="0" w:firstRowLastColumn="0" w:lastRowFirstColumn="0" w:lastRowLastColumn="0"/>
            </w:pPr>
            <w:r>
              <w:t>12.6%</w:t>
            </w:r>
          </w:p>
        </w:tc>
        <w:tc>
          <w:tcPr>
            <w:tcW w:w="1728" w:type="dxa"/>
          </w:tcPr>
          <w:p w14:paraId="3E7B4442" w14:textId="77777777" w:rsidR="00F52056" w:rsidRDefault="00000000">
            <w:pPr>
              <w:cnfStyle w:val="000000000000" w:firstRow="0" w:lastRow="0" w:firstColumn="0" w:lastColumn="0" w:oddVBand="0" w:evenVBand="0" w:oddHBand="0" w:evenHBand="0" w:firstRowFirstColumn="0" w:firstRowLastColumn="0" w:lastRowFirstColumn="0" w:lastRowLastColumn="0"/>
            </w:pPr>
            <w:r>
              <w:t>Processing capacity exists</w:t>
            </w:r>
          </w:p>
        </w:tc>
      </w:tr>
      <w:tr w:rsidR="00F52056" w14:paraId="18BD859F" w14:textId="77777777" w:rsidTr="00F520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AFB38D2" w14:textId="77777777" w:rsidR="00F52056" w:rsidRDefault="00000000">
            <w:r>
              <w:t>3115</w:t>
            </w:r>
          </w:p>
        </w:tc>
        <w:tc>
          <w:tcPr>
            <w:tcW w:w="1728" w:type="dxa"/>
          </w:tcPr>
          <w:p w14:paraId="32BF92FA" w14:textId="77777777" w:rsidR="00F52056" w:rsidRDefault="00000000">
            <w:pPr>
              <w:cnfStyle w:val="000000100000" w:firstRow="0" w:lastRow="0" w:firstColumn="0" w:lastColumn="0" w:oddVBand="0" w:evenVBand="0" w:oddHBand="1" w:evenHBand="0" w:firstRowFirstColumn="0" w:firstRowLastColumn="0" w:lastRowFirstColumn="0" w:lastRowLastColumn="0"/>
            </w:pPr>
            <w:r>
              <w:t>Dairy product manufacturing</w:t>
            </w:r>
          </w:p>
        </w:tc>
        <w:tc>
          <w:tcPr>
            <w:tcW w:w="1728" w:type="dxa"/>
          </w:tcPr>
          <w:p w14:paraId="7A764D9E" w14:textId="77777777" w:rsidR="00F52056" w:rsidRDefault="00000000">
            <w:pPr>
              <w:cnfStyle w:val="000000100000" w:firstRow="0" w:lastRow="0" w:firstColumn="0" w:lastColumn="0" w:oddVBand="0" w:evenVBand="0" w:oddHBand="1" w:evenHBand="0" w:firstRowFirstColumn="0" w:firstRowLastColumn="0" w:lastRowFirstColumn="0" w:lastRowLastColumn="0"/>
            </w:pPr>
            <w:r>
              <w:t>$273.3M</w:t>
            </w:r>
          </w:p>
        </w:tc>
        <w:tc>
          <w:tcPr>
            <w:tcW w:w="1728" w:type="dxa"/>
          </w:tcPr>
          <w:p w14:paraId="278CAD92" w14:textId="77777777" w:rsidR="00F52056" w:rsidRDefault="00000000">
            <w:pPr>
              <w:cnfStyle w:val="000000100000" w:firstRow="0" w:lastRow="0" w:firstColumn="0" w:lastColumn="0" w:oddVBand="0" w:evenVBand="0" w:oddHBand="1" w:evenHBand="0" w:firstRowFirstColumn="0" w:firstRowLastColumn="0" w:lastRowFirstColumn="0" w:lastRowLastColumn="0"/>
            </w:pPr>
            <w:r>
              <w:t>10.5%</w:t>
            </w:r>
          </w:p>
        </w:tc>
        <w:tc>
          <w:tcPr>
            <w:tcW w:w="1728" w:type="dxa"/>
          </w:tcPr>
          <w:p w14:paraId="5AEB8797" w14:textId="77777777" w:rsidR="00F52056" w:rsidRDefault="00000000">
            <w:pPr>
              <w:cnfStyle w:val="000000100000" w:firstRow="0" w:lastRow="0" w:firstColumn="0" w:lastColumn="0" w:oddVBand="0" w:evenVBand="0" w:oddHBand="1" w:evenHBand="0" w:firstRowFirstColumn="0" w:firstRowLastColumn="0" w:lastRowFirstColumn="0" w:lastRowLastColumn="0"/>
            </w:pPr>
            <w:r>
              <w:t>Supply management surplus capacity</w:t>
            </w:r>
          </w:p>
        </w:tc>
      </w:tr>
      <w:tr w:rsidR="00F52056" w14:paraId="53A1605D" w14:textId="77777777" w:rsidTr="00F52056">
        <w:tc>
          <w:tcPr>
            <w:cnfStyle w:val="001000000000" w:firstRow="0" w:lastRow="0" w:firstColumn="1" w:lastColumn="0" w:oddVBand="0" w:evenVBand="0" w:oddHBand="0" w:evenHBand="0" w:firstRowFirstColumn="0" w:firstRowLastColumn="0" w:lastRowFirstColumn="0" w:lastRowLastColumn="0"/>
            <w:tcW w:w="1728" w:type="dxa"/>
          </w:tcPr>
          <w:p w14:paraId="39BBEF77" w14:textId="77777777" w:rsidR="00F52056" w:rsidRDefault="00000000">
            <w:r>
              <w:t>1114/3114</w:t>
            </w:r>
          </w:p>
        </w:tc>
        <w:tc>
          <w:tcPr>
            <w:tcW w:w="1728" w:type="dxa"/>
          </w:tcPr>
          <w:p w14:paraId="79DE85BD" w14:textId="77777777" w:rsidR="00F52056" w:rsidRDefault="00000000">
            <w:pPr>
              <w:cnfStyle w:val="000000000000" w:firstRow="0" w:lastRow="0" w:firstColumn="0" w:lastColumn="0" w:oddVBand="0" w:evenVBand="0" w:oddHBand="0" w:evenHBand="0" w:firstRowFirstColumn="0" w:firstRowLastColumn="0" w:lastRowFirstColumn="0" w:lastRowLastColumn="0"/>
            </w:pPr>
            <w:r>
              <w:t>Fruit &amp; veg preserving</w:t>
            </w:r>
          </w:p>
        </w:tc>
        <w:tc>
          <w:tcPr>
            <w:tcW w:w="1728" w:type="dxa"/>
          </w:tcPr>
          <w:p w14:paraId="68BD97DF" w14:textId="77777777" w:rsidR="00F52056" w:rsidRDefault="00000000">
            <w:pPr>
              <w:cnfStyle w:val="000000000000" w:firstRow="0" w:lastRow="0" w:firstColumn="0" w:lastColumn="0" w:oddVBand="0" w:evenVBand="0" w:oddHBand="0" w:evenHBand="0" w:firstRowFirstColumn="0" w:firstRowLastColumn="0" w:lastRowFirstColumn="0" w:lastRowLastColumn="0"/>
            </w:pPr>
            <w:r>
              <w:t>$260.4M</w:t>
            </w:r>
          </w:p>
        </w:tc>
        <w:tc>
          <w:tcPr>
            <w:tcW w:w="1728" w:type="dxa"/>
          </w:tcPr>
          <w:p w14:paraId="4C783BB9" w14:textId="77777777" w:rsidR="00F52056" w:rsidRDefault="00000000">
            <w:pPr>
              <w:cnfStyle w:val="000000000000" w:firstRow="0" w:lastRow="0" w:firstColumn="0" w:lastColumn="0" w:oddVBand="0" w:evenVBand="0" w:oddHBand="0" w:evenHBand="0" w:firstRowFirstColumn="0" w:firstRowLastColumn="0" w:lastRowFirstColumn="0" w:lastRowLastColumn="0"/>
            </w:pPr>
            <w:r>
              <w:t>10.0%</w:t>
            </w:r>
          </w:p>
        </w:tc>
        <w:tc>
          <w:tcPr>
            <w:tcW w:w="1728" w:type="dxa"/>
          </w:tcPr>
          <w:p w14:paraId="3B980FC2" w14:textId="77777777" w:rsidR="00F52056" w:rsidRDefault="00000000">
            <w:pPr>
              <w:cnfStyle w:val="000000000000" w:firstRow="0" w:lastRow="0" w:firstColumn="0" w:lastColumn="0" w:oddVBand="0" w:evenVBand="0" w:oddHBand="0" w:evenHBand="0" w:firstRowFirstColumn="0" w:firstRowLastColumn="0" w:lastRowFirstColumn="0" w:lastRowLastColumn="0"/>
            </w:pPr>
            <w:r>
              <w:t>Seasonal constraint; partial substitution</w:t>
            </w:r>
          </w:p>
        </w:tc>
      </w:tr>
      <w:tr w:rsidR="00F52056" w14:paraId="438AF985" w14:textId="77777777" w:rsidTr="00F520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0FAB649" w14:textId="77777777" w:rsidR="00F52056" w:rsidRDefault="00000000">
            <w:r>
              <w:t>3113</w:t>
            </w:r>
          </w:p>
        </w:tc>
        <w:tc>
          <w:tcPr>
            <w:tcW w:w="1728" w:type="dxa"/>
          </w:tcPr>
          <w:p w14:paraId="5D2FFAF0" w14:textId="77777777" w:rsidR="00F52056" w:rsidRDefault="00000000">
            <w:pPr>
              <w:cnfStyle w:val="000000100000" w:firstRow="0" w:lastRow="0" w:firstColumn="0" w:lastColumn="0" w:oddVBand="0" w:evenVBand="0" w:oddHBand="1" w:evenHBand="0" w:firstRowFirstColumn="0" w:firstRowLastColumn="0" w:lastRowFirstColumn="0" w:lastRowLastColumn="0"/>
            </w:pPr>
            <w:r>
              <w:t>Sugar &amp; confectionery</w:t>
            </w:r>
          </w:p>
        </w:tc>
        <w:tc>
          <w:tcPr>
            <w:tcW w:w="1728" w:type="dxa"/>
          </w:tcPr>
          <w:p w14:paraId="14BAC319" w14:textId="77777777" w:rsidR="00F52056" w:rsidRDefault="00000000">
            <w:pPr>
              <w:cnfStyle w:val="000000100000" w:firstRow="0" w:lastRow="0" w:firstColumn="0" w:lastColumn="0" w:oddVBand="0" w:evenVBand="0" w:oddHBand="1" w:evenHBand="0" w:firstRowFirstColumn="0" w:firstRowLastColumn="0" w:lastRowFirstColumn="0" w:lastRowLastColumn="0"/>
            </w:pPr>
            <w:r>
              <w:t>$123.2M</w:t>
            </w:r>
          </w:p>
        </w:tc>
        <w:tc>
          <w:tcPr>
            <w:tcW w:w="1728" w:type="dxa"/>
          </w:tcPr>
          <w:p w14:paraId="5BDB5DDD" w14:textId="77777777" w:rsidR="00F52056" w:rsidRDefault="00000000">
            <w:pPr>
              <w:cnfStyle w:val="000000100000" w:firstRow="0" w:lastRow="0" w:firstColumn="0" w:lastColumn="0" w:oddVBand="0" w:evenVBand="0" w:oddHBand="1" w:evenHBand="0" w:firstRowFirstColumn="0" w:firstRowLastColumn="0" w:lastRowFirstColumn="0" w:lastRowLastColumn="0"/>
            </w:pPr>
            <w:r>
              <w:t>4.7%</w:t>
            </w:r>
          </w:p>
        </w:tc>
        <w:tc>
          <w:tcPr>
            <w:tcW w:w="1728" w:type="dxa"/>
          </w:tcPr>
          <w:p w14:paraId="09ACC194" w14:textId="77777777" w:rsidR="00F52056" w:rsidRDefault="00000000">
            <w:pPr>
              <w:cnfStyle w:val="000000100000" w:firstRow="0" w:lastRow="0" w:firstColumn="0" w:lastColumn="0" w:oddVBand="0" w:evenVBand="0" w:oddHBand="1" w:evenHBand="0" w:firstRowFirstColumn="0" w:firstRowLastColumn="0" w:lastRowFirstColumn="0" w:lastRowLastColumn="0"/>
            </w:pPr>
            <w:r>
              <w:t>Cocoa imported; processing can be domestic</w:t>
            </w:r>
          </w:p>
        </w:tc>
      </w:tr>
    </w:tbl>
    <w:p w14:paraId="45934A58" w14:textId="77777777" w:rsidR="00F52056" w:rsidRDefault="00000000">
      <w:r>
        <w:br/>
        <w:t>The implied overall substitution rate is 20.8% of feasible imports—conservative and credible.</w:t>
      </w:r>
    </w:p>
    <w:p w14:paraId="3E97E271" w14:textId="77777777" w:rsidR="00F52056" w:rsidRDefault="00000000">
      <w:pPr>
        <w:pStyle w:val="Heading2"/>
      </w:pPr>
      <w:r>
        <w:t>3.3 Step 3: Apply Commodity Margins (Krasnoff Method)</w:t>
      </w:r>
    </w:p>
    <w:p w14:paraId="63D6E609" w14:textId="77777777" w:rsidR="00F52056" w:rsidRDefault="00000000">
      <w:r>
        <w:t>Source: Statistics Canada Supply &amp; Use Tables (Table 36-10-0478-01)</w:t>
      </w:r>
    </w:p>
    <w:p w14:paraId="4643D111" w14:textId="77777777" w:rsidR="00F52056" w:rsidRDefault="00000000">
      <w:r>
        <w:t>Following Krasnoff et al. (2023), we apply commodity margins to separate the import value into its constituent components. When Canada imports food from the U.S., the import price includes three cost components:</w:t>
      </w:r>
    </w:p>
    <w:p w14:paraId="32B8654C" w14:textId="77777777" w:rsidR="00F52056" w:rsidRDefault="00000000">
      <w:pPr>
        <w:pStyle w:val="ListBullet"/>
      </w:pPr>
      <w:r>
        <w:t>Producer Value (60-72%): The manufacturing/farm-gate cost. This is the component that shifts from a U.S. factory to a Canadian factory under import substitution. This is NEW Canadian economic activity.</w:t>
      </w:r>
    </w:p>
    <w:p w14:paraId="6712F291" w14:textId="77777777" w:rsidR="00F52056" w:rsidRDefault="00000000">
      <w:pPr>
        <w:pStyle w:val="ListBullet"/>
      </w:pPr>
      <w:r>
        <w:lastRenderedPageBreak/>
        <w:t>Wholesale Margin (18-30%): The Canadian distributor’s markup. This is ALREADY in the Canadian economy even when we import—wholesalers handle both imported and domestic products.</w:t>
      </w:r>
    </w:p>
    <w:p w14:paraId="5CF09C56" w14:textId="77777777" w:rsidR="00F52056" w:rsidRDefault="00000000">
      <w:pPr>
        <w:pStyle w:val="ListBullet"/>
      </w:pPr>
      <w:r>
        <w:t>Transport Margin (10-15%): Canadian trucking costs. Also ALREADY domestic—the food still needs to be transported within Canada regardless of origin.</w:t>
      </w:r>
    </w:p>
    <w:p w14:paraId="15AA6C28" w14:textId="77777777" w:rsidR="00F52056" w:rsidRDefault="00000000">
      <w:r>
        <w:rPr>
          <w:b/>
        </w:rPr>
        <w:t xml:space="preserve">Critical Implication: </w:t>
      </w:r>
      <w:r>
        <w:t>Only the producer value portion represents genuinely new Canadian economic activity. Plugging the full $2.6B into the IO engine without margining would overcount the impact by approximately 34%, double-counting wholesale and transport activity that was already domestic.</w:t>
      </w:r>
    </w:p>
    <w:p w14:paraId="4603F700" w14:textId="77777777" w:rsidR="00F52056" w:rsidRDefault="00000000">
      <w:pPr>
        <w:pStyle w:val="Heading1"/>
      </w:pPr>
      <w:r>
        <w:t>4. Preliminary Results (Steps 1-3)</w:t>
      </w:r>
    </w:p>
    <w:tbl>
      <w:tblPr>
        <w:tblStyle w:val="LightShading-Accent1"/>
        <w:tblW w:w="0" w:type="auto"/>
        <w:tblLook w:val="04A0" w:firstRow="1" w:lastRow="0" w:firstColumn="1" w:lastColumn="0" w:noHBand="0" w:noVBand="1"/>
      </w:tblPr>
      <w:tblGrid>
        <w:gridCol w:w="2160"/>
        <w:gridCol w:w="2160"/>
        <w:gridCol w:w="2160"/>
        <w:gridCol w:w="2160"/>
      </w:tblGrid>
      <w:tr w:rsidR="00F52056" w14:paraId="491421A1" w14:textId="77777777" w:rsidTr="00F5205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12784E2" w14:textId="77777777" w:rsidR="00F52056" w:rsidRDefault="00000000">
            <w:r>
              <w:t>NAICS</w:t>
            </w:r>
          </w:p>
        </w:tc>
        <w:tc>
          <w:tcPr>
            <w:tcW w:w="2160" w:type="dxa"/>
          </w:tcPr>
          <w:p w14:paraId="04218954" w14:textId="77777777" w:rsidR="00F52056" w:rsidRDefault="00000000">
            <w:pPr>
              <w:cnfStyle w:val="100000000000" w:firstRow="1" w:lastRow="0" w:firstColumn="0" w:lastColumn="0" w:oddVBand="0" w:evenVBand="0" w:oddHBand="0" w:evenHBand="0" w:firstRowFirstColumn="0" w:firstRowLastColumn="0" w:lastRowFirstColumn="0" w:lastRowLastColumn="0"/>
            </w:pPr>
            <w:r>
              <w:t>Industry</w:t>
            </w:r>
          </w:p>
        </w:tc>
        <w:tc>
          <w:tcPr>
            <w:tcW w:w="2160" w:type="dxa"/>
          </w:tcPr>
          <w:p w14:paraId="159E09F9" w14:textId="77777777" w:rsidR="00F52056" w:rsidRDefault="00000000">
            <w:pPr>
              <w:cnfStyle w:val="100000000000" w:firstRow="1" w:lastRow="0" w:firstColumn="0" w:lastColumn="0" w:oddVBand="0" w:evenVBand="0" w:oddHBand="0" w:evenHBand="0" w:firstRowFirstColumn="0" w:firstRowLastColumn="0" w:lastRowFirstColumn="0" w:lastRowLastColumn="0"/>
            </w:pPr>
            <w:r>
              <w:t>Gross ($M)</w:t>
            </w:r>
          </w:p>
        </w:tc>
        <w:tc>
          <w:tcPr>
            <w:tcW w:w="2160" w:type="dxa"/>
          </w:tcPr>
          <w:p w14:paraId="6AF1609C" w14:textId="77777777" w:rsidR="00F52056" w:rsidRDefault="00000000">
            <w:pPr>
              <w:cnfStyle w:val="100000000000" w:firstRow="1" w:lastRow="0" w:firstColumn="0" w:lastColumn="0" w:oddVBand="0" w:evenVBand="0" w:oddHBand="0" w:evenHBand="0" w:firstRowFirstColumn="0" w:firstRowLastColumn="0" w:lastRowFirstColumn="0" w:lastRowLastColumn="0"/>
            </w:pPr>
            <w:r>
              <w:t>Net New Producer Value ($M)</w:t>
            </w:r>
          </w:p>
        </w:tc>
      </w:tr>
      <w:tr w:rsidR="00F52056" w14:paraId="7BAF3721" w14:textId="77777777" w:rsidTr="00F520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45AF921" w14:textId="77777777" w:rsidR="00F52056" w:rsidRDefault="00000000">
            <w:r>
              <w:t>3118</w:t>
            </w:r>
          </w:p>
        </w:tc>
        <w:tc>
          <w:tcPr>
            <w:tcW w:w="2160" w:type="dxa"/>
          </w:tcPr>
          <w:p w14:paraId="51142015" w14:textId="77777777" w:rsidR="00F52056" w:rsidRDefault="00000000">
            <w:pPr>
              <w:cnfStyle w:val="000000100000" w:firstRow="0" w:lastRow="0" w:firstColumn="0" w:lastColumn="0" w:oddVBand="0" w:evenVBand="0" w:oddHBand="1" w:evenHBand="0" w:firstRowFirstColumn="0" w:firstRowLastColumn="0" w:lastRowFirstColumn="0" w:lastRowLastColumn="0"/>
            </w:pPr>
            <w:r>
              <w:t>Bakeries &amp; tortilla mfg</w:t>
            </w:r>
          </w:p>
        </w:tc>
        <w:tc>
          <w:tcPr>
            <w:tcW w:w="2160" w:type="dxa"/>
          </w:tcPr>
          <w:p w14:paraId="0C1FAF35" w14:textId="77777777" w:rsidR="00F52056" w:rsidRDefault="00000000">
            <w:pPr>
              <w:cnfStyle w:val="000000100000" w:firstRow="0" w:lastRow="0" w:firstColumn="0" w:lastColumn="0" w:oddVBand="0" w:evenVBand="0" w:oddHBand="1" w:evenHBand="0" w:firstRowFirstColumn="0" w:firstRowLastColumn="0" w:lastRowFirstColumn="0" w:lastRowLastColumn="0"/>
            </w:pPr>
            <w:r>
              <w:t>$660.3</w:t>
            </w:r>
          </w:p>
        </w:tc>
        <w:tc>
          <w:tcPr>
            <w:tcW w:w="2160" w:type="dxa"/>
          </w:tcPr>
          <w:p w14:paraId="3691351C" w14:textId="77777777" w:rsidR="00F52056" w:rsidRDefault="00000000">
            <w:pPr>
              <w:cnfStyle w:val="000000100000" w:firstRow="0" w:lastRow="0" w:firstColumn="0" w:lastColumn="0" w:oddVBand="0" w:evenVBand="0" w:oddHBand="1" w:evenHBand="0" w:firstRowFirstColumn="0" w:firstRowLastColumn="0" w:lastRowFirstColumn="0" w:lastRowLastColumn="0"/>
            </w:pPr>
            <w:r>
              <w:t>$449.0</w:t>
            </w:r>
          </w:p>
        </w:tc>
      </w:tr>
      <w:tr w:rsidR="00F52056" w14:paraId="2832C482" w14:textId="77777777" w:rsidTr="00F52056">
        <w:tc>
          <w:tcPr>
            <w:cnfStyle w:val="001000000000" w:firstRow="0" w:lastRow="0" w:firstColumn="1" w:lastColumn="0" w:oddVBand="0" w:evenVBand="0" w:oddHBand="0" w:evenHBand="0" w:firstRowFirstColumn="0" w:firstRowLastColumn="0" w:lastRowFirstColumn="0" w:lastRowLastColumn="0"/>
            <w:tcW w:w="2160" w:type="dxa"/>
          </w:tcPr>
          <w:p w14:paraId="0BE2E387" w14:textId="77777777" w:rsidR="00F52056" w:rsidRDefault="00000000">
            <w:r>
              <w:t>3119</w:t>
            </w:r>
          </w:p>
        </w:tc>
        <w:tc>
          <w:tcPr>
            <w:tcW w:w="2160" w:type="dxa"/>
          </w:tcPr>
          <w:p w14:paraId="1A3F734F" w14:textId="77777777" w:rsidR="00F52056" w:rsidRDefault="00000000">
            <w:pPr>
              <w:cnfStyle w:val="000000000000" w:firstRow="0" w:lastRow="0" w:firstColumn="0" w:lastColumn="0" w:oddVBand="0" w:evenVBand="0" w:oddHBand="0" w:evenHBand="0" w:firstRowFirstColumn="0" w:firstRowLastColumn="0" w:lastRowFirstColumn="0" w:lastRowLastColumn="0"/>
            </w:pPr>
            <w:r>
              <w:t>Other food manufacturing</w:t>
            </w:r>
          </w:p>
        </w:tc>
        <w:tc>
          <w:tcPr>
            <w:tcW w:w="2160" w:type="dxa"/>
          </w:tcPr>
          <w:p w14:paraId="0F375932" w14:textId="77777777" w:rsidR="00F52056" w:rsidRDefault="00000000">
            <w:pPr>
              <w:cnfStyle w:val="000000000000" w:firstRow="0" w:lastRow="0" w:firstColumn="0" w:lastColumn="0" w:oddVBand="0" w:evenVBand="0" w:oddHBand="0" w:evenHBand="0" w:firstRowFirstColumn="0" w:firstRowLastColumn="0" w:lastRowFirstColumn="0" w:lastRowLastColumn="0"/>
            </w:pPr>
            <w:r>
              <w:t>$512.6</w:t>
            </w:r>
          </w:p>
        </w:tc>
        <w:tc>
          <w:tcPr>
            <w:tcW w:w="2160" w:type="dxa"/>
          </w:tcPr>
          <w:p w14:paraId="59658F2E" w14:textId="77777777" w:rsidR="00F52056" w:rsidRDefault="00000000">
            <w:pPr>
              <w:cnfStyle w:val="000000000000" w:firstRow="0" w:lastRow="0" w:firstColumn="0" w:lastColumn="0" w:oddVBand="0" w:evenVBand="0" w:oddHBand="0" w:evenHBand="0" w:firstRowFirstColumn="0" w:firstRowLastColumn="0" w:lastRowFirstColumn="0" w:lastRowLastColumn="0"/>
            </w:pPr>
            <w:r>
              <w:t>$317.8</w:t>
            </w:r>
          </w:p>
        </w:tc>
      </w:tr>
      <w:tr w:rsidR="00F52056" w14:paraId="5693FFDE" w14:textId="77777777" w:rsidTr="00F520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EA97F2D" w14:textId="77777777" w:rsidR="00F52056" w:rsidRDefault="00000000">
            <w:r>
              <w:t>3116</w:t>
            </w:r>
          </w:p>
        </w:tc>
        <w:tc>
          <w:tcPr>
            <w:tcW w:w="2160" w:type="dxa"/>
          </w:tcPr>
          <w:p w14:paraId="0780B3EC" w14:textId="77777777" w:rsidR="00F52056" w:rsidRDefault="00000000">
            <w:pPr>
              <w:cnfStyle w:val="000000100000" w:firstRow="0" w:lastRow="0" w:firstColumn="0" w:lastColumn="0" w:oddVBand="0" w:evenVBand="0" w:oddHBand="1" w:evenHBand="0" w:firstRowFirstColumn="0" w:firstRowLastColumn="0" w:lastRowFirstColumn="0" w:lastRowLastColumn="0"/>
            </w:pPr>
            <w:r>
              <w:t>Meat product manufacturing</w:t>
            </w:r>
          </w:p>
        </w:tc>
        <w:tc>
          <w:tcPr>
            <w:tcW w:w="2160" w:type="dxa"/>
          </w:tcPr>
          <w:p w14:paraId="6F831EA7" w14:textId="77777777" w:rsidR="00F52056" w:rsidRDefault="00000000">
            <w:pPr>
              <w:cnfStyle w:val="000000100000" w:firstRow="0" w:lastRow="0" w:firstColumn="0" w:lastColumn="0" w:oddVBand="0" w:evenVBand="0" w:oddHBand="1" w:evenHBand="0" w:firstRowFirstColumn="0" w:firstRowLastColumn="0" w:lastRowFirstColumn="0" w:lastRowLastColumn="0"/>
            </w:pPr>
            <w:r>
              <w:t>$442.8</w:t>
            </w:r>
          </w:p>
        </w:tc>
        <w:tc>
          <w:tcPr>
            <w:tcW w:w="2160" w:type="dxa"/>
          </w:tcPr>
          <w:p w14:paraId="143BD62C" w14:textId="77777777" w:rsidR="00F52056" w:rsidRDefault="00000000">
            <w:pPr>
              <w:cnfStyle w:val="000000100000" w:firstRow="0" w:lastRow="0" w:firstColumn="0" w:lastColumn="0" w:oddVBand="0" w:evenVBand="0" w:oddHBand="1" w:evenHBand="0" w:firstRowFirstColumn="0" w:firstRowLastColumn="0" w:lastRowFirstColumn="0" w:lastRowLastColumn="0"/>
            </w:pPr>
            <w:r>
              <w:t>$318.8</w:t>
            </w:r>
          </w:p>
        </w:tc>
      </w:tr>
      <w:tr w:rsidR="00F52056" w14:paraId="6C6DEB38" w14:textId="77777777" w:rsidTr="00F52056">
        <w:tc>
          <w:tcPr>
            <w:cnfStyle w:val="001000000000" w:firstRow="0" w:lastRow="0" w:firstColumn="1" w:lastColumn="0" w:oddVBand="0" w:evenVBand="0" w:oddHBand="0" w:evenHBand="0" w:firstRowFirstColumn="0" w:firstRowLastColumn="0" w:lastRowFirstColumn="0" w:lastRowLastColumn="0"/>
            <w:tcW w:w="2160" w:type="dxa"/>
          </w:tcPr>
          <w:p w14:paraId="06CBD619" w14:textId="77777777" w:rsidR="00F52056" w:rsidRDefault="00000000">
            <w:r>
              <w:t>3121</w:t>
            </w:r>
          </w:p>
        </w:tc>
        <w:tc>
          <w:tcPr>
            <w:tcW w:w="2160" w:type="dxa"/>
          </w:tcPr>
          <w:p w14:paraId="54E12684" w14:textId="77777777" w:rsidR="00F52056" w:rsidRDefault="00000000">
            <w:pPr>
              <w:cnfStyle w:val="000000000000" w:firstRow="0" w:lastRow="0" w:firstColumn="0" w:lastColumn="0" w:oddVBand="0" w:evenVBand="0" w:oddHBand="0" w:evenHBand="0" w:firstRowFirstColumn="0" w:firstRowLastColumn="0" w:lastRowFirstColumn="0" w:lastRowLastColumn="0"/>
            </w:pPr>
            <w:r>
              <w:t>Beverage manufacturing</w:t>
            </w:r>
          </w:p>
        </w:tc>
        <w:tc>
          <w:tcPr>
            <w:tcW w:w="2160" w:type="dxa"/>
          </w:tcPr>
          <w:p w14:paraId="5C8F80F3" w14:textId="77777777" w:rsidR="00F52056" w:rsidRDefault="00000000">
            <w:pPr>
              <w:cnfStyle w:val="000000000000" w:firstRow="0" w:lastRow="0" w:firstColumn="0" w:lastColumn="0" w:oddVBand="0" w:evenVBand="0" w:oddHBand="0" w:evenHBand="0" w:firstRowFirstColumn="0" w:firstRowLastColumn="0" w:lastRowFirstColumn="0" w:lastRowLastColumn="0"/>
            </w:pPr>
            <w:r>
              <w:t>$327.4</w:t>
            </w:r>
          </w:p>
        </w:tc>
        <w:tc>
          <w:tcPr>
            <w:tcW w:w="2160" w:type="dxa"/>
          </w:tcPr>
          <w:p w14:paraId="0852D2CE" w14:textId="77777777" w:rsidR="00F52056" w:rsidRDefault="00000000">
            <w:pPr>
              <w:cnfStyle w:val="000000000000" w:firstRow="0" w:lastRow="0" w:firstColumn="0" w:lastColumn="0" w:oddVBand="0" w:evenVBand="0" w:oddHBand="0" w:evenHBand="0" w:firstRowFirstColumn="0" w:firstRowLastColumn="0" w:lastRowFirstColumn="0" w:lastRowLastColumn="0"/>
            </w:pPr>
            <w:r>
              <w:t>$212.8</w:t>
            </w:r>
          </w:p>
        </w:tc>
      </w:tr>
      <w:tr w:rsidR="00F52056" w14:paraId="4605FDA7" w14:textId="77777777" w:rsidTr="00F520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FE5C0FF" w14:textId="77777777" w:rsidR="00F52056" w:rsidRDefault="00000000">
            <w:r>
              <w:t>3115</w:t>
            </w:r>
          </w:p>
        </w:tc>
        <w:tc>
          <w:tcPr>
            <w:tcW w:w="2160" w:type="dxa"/>
          </w:tcPr>
          <w:p w14:paraId="3C29E801" w14:textId="77777777" w:rsidR="00F52056" w:rsidRDefault="00000000">
            <w:pPr>
              <w:cnfStyle w:val="000000100000" w:firstRow="0" w:lastRow="0" w:firstColumn="0" w:lastColumn="0" w:oddVBand="0" w:evenVBand="0" w:oddHBand="1" w:evenHBand="0" w:firstRowFirstColumn="0" w:firstRowLastColumn="0" w:lastRowFirstColumn="0" w:lastRowLastColumn="0"/>
            </w:pPr>
            <w:r>
              <w:t>Dairy product manufacturing</w:t>
            </w:r>
          </w:p>
        </w:tc>
        <w:tc>
          <w:tcPr>
            <w:tcW w:w="2160" w:type="dxa"/>
          </w:tcPr>
          <w:p w14:paraId="2EB64163" w14:textId="77777777" w:rsidR="00F52056" w:rsidRDefault="00000000">
            <w:pPr>
              <w:cnfStyle w:val="000000100000" w:firstRow="0" w:lastRow="0" w:firstColumn="0" w:lastColumn="0" w:oddVBand="0" w:evenVBand="0" w:oddHBand="1" w:evenHBand="0" w:firstRowFirstColumn="0" w:firstRowLastColumn="0" w:lastRowFirstColumn="0" w:lastRowLastColumn="0"/>
            </w:pPr>
            <w:r>
              <w:t>$273.3</w:t>
            </w:r>
          </w:p>
        </w:tc>
        <w:tc>
          <w:tcPr>
            <w:tcW w:w="2160" w:type="dxa"/>
          </w:tcPr>
          <w:p w14:paraId="20F73055" w14:textId="77777777" w:rsidR="00F52056" w:rsidRDefault="00000000">
            <w:pPr>
              <w:cnfStyle w:val="000000100000" w:firstRow="0" w:lastRow="0" w:firstColumn="0" w:lastColumn="0" w:oddVBand="0" w:evenVBand="0" w:oddHBand="1" w:evenHBand="0" w:firstRowFirstColumn="0" w:firstRowLastColumn="0" w:lastRowFirstColumn="0" w:lastRowLastColumn="0"/>
            </w:pPr>
            <w:r>
              <w:t>$191.3</w:t>
            </w:r>
          </w:p>
        </w:tc>
      </w:tr>
      <w:tr w:rsidR="00F52056" w14:paraId="2E99ADAC" w14:textId="77777777" w:rsidTr="00F52056">
        <w:tc>
          <w:tcPr>
            <w:cnfStyle w:val="001000000000" w:firstRow="0" w:lastRow="0" w:firstColumn="1" w:lastColumn="0" w:oddVBand="0" w:evenVBand="0" w:oddHBand="0" w:evenHBand="0" w:firstRowFirstColumn="0" w:firstRowLastColumn="0" w:lastRowFirstColumn="0" w:lastRowLastColumn="0"/>
            <w:tcW w:w="2160" w:type="dxa"/>
          </w:tcPr>
          <w:p w14:paraId="6EE0C229" w14:textId="77777777" w:rsidR="00F52056" w:rsidRDefault="00000000">
            <w:r>
              <w:t>1114/3114</w:t>
            </w:r>
          </w:p>
        </w:tc>
        <w:tc>
          <w:tcPr>
            <w:tcW w:w="2160" w:type="dxa"/>
          </w:tcPr>
          <w:p w14:paraId="3F859E93" w14:textId="77777777" w:rsidR="00F52056" w:rsidRDefault="00000000">
            <w:pPr>
              <w:cnfStyle w:val="000000000000" w:firstRow="0" w:lastRow="0" w:firstColumn="0" w:lastColumn="0" w:oddVBand="0" w:evenVBand="0" w:oddHBand="0" w:evenHBand="0" w:firstRowFirstColumn="0" w:firstRowLastColumn="0" w:lastRowFirstColumn="0" w:lastRowLastColumn="0"/>
            </w:pPr>
            <w:r>
              <w:t>Fruit &amp; veg preserving</w:t>
            </w:r>
          </w:p>
        </w:tc>
        <w:tc>
          <w:tcPr>
            <w:tcW w:w="2160" w:type="dxa"/>
          </w:tcPr>
          <w:p w14:paraId="042134AA" w14:textId="77777777" w:rsidR="00F52056" w:rsidRDefault="00000000">
            <w:pPr>
              <w:cnfStyle w:val="000000000000" w:firstRow="0" w:lastRow="0" w:firstColumn="0" w:lastColumn="0" w:oddVBand="0" w:evenVBand="0" w:oddHBand="0" w:evenHBand="0" w:firstRowFirstColumn="0" w:firstRowLastColumn="0" w:lastRowFirstColumn="0" w:lastRowLastColumn="0"/>
            </w:pPr>
            <w:r>
              <w:t>$260.4</w:t>
            </w:r>
          </w:p>
        </w:tc>
        <w:tc>
          <w:tcPr>
            <w:tcW w:w="2160" w:type="dxa"/>
          </w:tcPr>
          <w:p w14:paraId="08EE0746" w14:textId="77777777" w:rsidR="00F52056" w:rsidRDefault="00000000">
            <w:pPr>
              <w:cnfStyle w:val="000000000000" w:firstRow="0" w:lastRow="0" w:firstColumn="0" w:lastColumn="0" w:oddVBand="0" w:evenVBand="0" w:oddHBand="0" w:evenHBand="0" w:firstRowFirstColumn="0" w:firstRowLastColumn="0" w:lastRowFirstColumn="0" w:lastRowLastColumn="0"/>
            </w:pPr>
            <w:r>
              <w:t>$143.2</w:t>
            </w:r>
          </w:p>
        </w:tc>
      </w:tr>
      <w:tr w:rsidR="00F52056" w14:paraId="4B77A290" w14:textId="77777777" w:rsidTr="00F520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8A85D86" w14:textId="77777777" w:rsidR="00F52056" w:rsidRDefault="00000000">
            <w:r>
              <w:t>3113</w:t>
            </w:r>
          </w:p>
        </w:tc>
        <w:tc>
          <w:tcPr>
            <w:tcW w:w="2160" w:type="dxa"/>
          </w:tcPr>
          <w:p w14:paraId="4E18C6CE" w14:textId="77777777" w:rsidR="00F52056" w:rsidRDefault="00000000">
            <w:pPr>
              <w:cnfStyle w:val="000000100000" w:firstRow="0" w:lastRow="0" w:firstColumn="0" w:lastColumn="0" w:oddVBand="0" w:evenVBand="0" w:oddHBand="1" w:evenHBand="0" w:firstRowFirstColumn="0" w:firstRowLastColumn="0" w:lastRowFirstColumn="0" w:lastRowLastColumn="0"/>
            </w:pPr>
            <w:r>
              <w:t>Sugar &amp; confectionery</w:t>
            </w:r>
          </w:p>
        </w:tc>
        <w:tc>
          <w:tcPr>
            <w:tcW w:w="2160" w:type="dxa"/>
          </w:tcPr>
          <w:p w14:paraId="278FA09C" w14:textId="77777777" w:rsidR="00F52056" w:rsidRDefault="00000000">
            <w:pPr>
              <w:cnfStyle w:val="000000100000" w:firstRow="0" w:lastRow="0" w:firstColumn="0" w:lastColumn="0" w:oddVBand="0" w:evenVBand="0" w:oddHBand="1" w:evenHBand="0" w:firstRowFirstColumn="0" w:firstRowLastColumn="0" w:lastRowFirstColumn="0" w:lastRowLastColumn="0"/>
            </w:pPr>
            <w:r>
              <w:t>$123.2</w:t>
            </w:r>
          </w:p>
        </w:tc>
        <w:tc>
          <w:tcPr>
            <w:tcW w:w="2160" w:type="dxa"/>
          </w:tcPr>
          <w:p w14:paraId="4C1136FF" w14:textId="77777777" w:rsidR="00F52056" w:rsidRDefault="00000000">
            <w:pPr>
              <w:cnfStyle w:val="000000100000" w:firstRow="0" w:lastRow="0" w:firstColumn="0" w:lastColumn="0" w:oddVBand="0" w:evenVBand="0" w:oddHBand="1" w:evenHBand="0" w:firstRowFirstColumn="0" w:firstRowLastColumn="0" w:lastRowFirstColumn="0" w:lastRowLastColumn="0"/>
            </w:pPr>
            <w:r>
              <w:t>$73.9</w:t>
            </w:r>
          </w:p>
        </w:tc>
      </w:tr>
      <w:tr w:rsidR="00F52056" w14:paraId="38B285D4" w14:textId="77777777" w:rsidTr="00F52056">
        <w:tc>
          <w:tcPr>
            <w:cnfStyle w:val="001000000000" w:firstRow="0" w:lastRow="0" w:firstColumn="1" w:lastColumn="0" w:oddVBand="0" w:evenVBand="0" w:oddHBand="0" w:evenHBand="0" w:firstRowFirstColumn="0" w:firstRowLastColumn="0" w:lastRowFirstColumn="0" w:lastRowLastColumn="0"/>
            <w:tcW w:w="2160" w:type="dxa"/>
          </w:tcPr>
          <w:p w14:paraId="47A4448E" w14:textId="77777777" w:rsidR="00F52056" w:rsidRDefault="00000000">
            <w:r>
              <w:t>TOTAL</w:t>
            </w:r>
          </w:p>
        </w:tc>
        <w:tc>
          <w:tcPr>
            <w:tcW w:w="2160" w:type="dxa"/>
          </w:tcPr>
          <w:p w14:paraId="03E6D80D" w14:textId="77777777" w:rsidR="00F52056" w:rsidRDefault="00F52056">
            <w:pPr>
              <w:cnfStyle w:val="000000000000" w:firstRow="0" w:lastRow="0" w:firstColumn="0" w:lastColumn="0" w:oddVBand="0" w:evenVBand="0" w:oddHBand="0" w:evenHBand="0" w:firstRowFirstColumn="0" w:firstRowLastColumn="0" w:lastRowFirstColumn="0" w:lastRowLastColumn="0"/>
            </w:pPr>
          </w:p>
        </w:tc>
        <w:tc>
          <w:tcPr>
            <w:tcW w:w="2160" w:type="dxa"/>
          </w:tcPr>
          <w:p w14:paraId="49FB23BE" w14:textId="77777777" w:rsidR="00F52056" w:rsidRDefault="00000000">
            <w:pPr>
              <w:cnfStyle w:val="000000000000" w:firstRow="0" w:lastRow="0" w:firstColumn="0" w:lastColumn="0" w:oddVBand="0" w:evenVBand="0" w:oddHBand="0" w:evenHBand="0" w:firstRowFirstColumn="0" w:firstRowLastColumn="0" w:lastRowFirstColumn="0" w:lastRowLastColumn="0"/>
            </w:pPr>
            <w:r>
              <w:rPr>
                <w:b/>
              </w:rPr>
              <w:t>$2,600.0</w:t>
            </w:r>
          </w:p>
        </w:tc>
        <w:tc>
          <w:tcPr>
            <w:tcW w:w="2160" w:type="dxa"/>
          </w:tcPr>
          <w:p w14:paraId="429712A1" w14:textId="77777777" w:rsidR="00F52056" w:rsidRDefault="00000000">
            <w:pPr>
              <w:cnfStyle w:val="000000000000" w:firstRow="0" w:lastRow="0" w:firstColumn="0" w:lastColumn="0" w:oddVBand="0" w:evenVBand="0" w:oddHBand="0" w:evenHBand="0" w:firstRowFirstColumn="0" w:firstRowLastColumn="0" w:lastRowFirstColumn="0" w:lastRowLastColumn="0"/>
            </w:pPr>
            <w:r>
              <w:rPr>
                <w:b/>
              </w:rPr>
              <w:t>$1,706.8</w:t>
            </w:r>
          </w:p>
        </w:tc>
      </w:tr>
    </w:tbl>
    <w:p w14:paraId="33C4D99A" w14:textId="77777777" w:rsidR="00F52056" w:rsidRDefault="00F52056"/>
    <w:p w14:paraId="21DCBCA4" w14:textId="77777777" w:rsidR="00F52056" w:rsidRDefault="00000000">
      <w:r>
        <w:rPr>
          <w:b/>
        </w:rPr>
        <w:t xml:space="preserve">The $1.71 billion in net new producer value is the "direct shock" </w:t>
      </w:r>
      <w:r>
        <w:t>to be fed into the OFA IO Multiplier Engine. The engine will then calculate the indirect (supply chain) and induced (worker spending) multiplier effects to produce total GDP, Employment, and Labour Income impacts.</w:t>
      </w:r>
    </w:p>
    <w:p w14:paraId="2C3DB54C" w14:textId="77777777" w:rsidR="00F52056" w:rsidRDefault="00000000">
      <w:pPr>
        <w:pStyle w:val="Heading1"/>
      </w:pPr>
      <w:r>
        <w:t>5. Remaining Steps &amp; Next Actions</w:t>
      </w:r>
    </w:p>
    <w:p w14:paraId="5660F6A8" w14:textId="77777777" w:rsidR="00F52056" w:rsidRDefault="00000000">
      <w:pPr>
        <w:pStyle w:val="Heading2"/>
      </w:pPr>
      <w:r>
        <w:t>Step 4: Feed Shock Table into IO Multiplier Engine</w:t>
      </w:r>
    </w:p>
    <w:p w14:paraId="60E360E6" w14:textId="77777777" w:rsidR="00F52056" w:rsidRDefault="00000000">
      <w:r>
        <w:t>The shock table (saved as shock_table_fcc_2_6b.json) contains the margined producer values allocated by NAICS sub-sector. Each sector’s value will be fed into the OFA IO Engine’s compute_impacts() function using the "Canada" geography and the most recent available year. The engine will apply Statistics Canada’s published multipliers (Table 36-10-0594-01) to calculate Direct, Simple, and Total multiplier effects for Output, GDP, and Jobs.</w:t>
      </w:r>
    </w:p>
    <w:p w14:paraId="0E09378B" w14:textId="77777777" w:rsidR="00F52056" w:rsidRDefault="00000000">
      <w:pPr>
        <w:pStyle w:val="Heading2"/>
      </w:pPr>
      <w:r>
        <w:lastRenderedPageBreak/>
        <w:t>Step 5: Generate Headline Impact Numbers</w:t>
      </w:r>
    </w:p>
    <w:p w14:paraId="12A476C3" w14:textId="77777777" w:rsidR="00F52056" w:rsidRDefault="00000000">
      <w:r>
        <w:t>The final output will include three headline metrics:</w:t>
      </w:r>
    </w:p>
    <w:p w14:paraId="4A6CD135" w14:textId="77777777" w:rsidR="00F52056" w:rsidRDefault="00000000">
      <w:pPr>
        <w:pStyle w:val="ListBullet"/>
      </w:pPr>
      <w:r>
        <w:t>Total GDP Contribution: The value added to the Canadian economy from $1.71B in new domestic food manufacturing.</w:t>
      </w:r>
    </w:p>
    <w:p w14:paraId="4BA2CB33" w14:textId="77777777" w:rsidR="00F52056" w:rsidRDefault="00000000">
      <w:pPr>
        <w:pStyle w:val="ListBullet"/>
      </w:pPr>
      <w:r>
        <w:t>Total Employment (FTEs): The number of full-time equivalent jobs created across the direct, indirect, and induced channels.</w:t>
      </w:r>
    </w:p>
    <w:p w14:paraId="3F5A416A" w14:textId="77777777" w:rsidR="00F52056" w:rsidRDefault="00000000">
      <w:pPr>
        <w:pStyle w:val="ListBullet"/>
      </w:pPr>
      <w:r>
        <w:t>Total Labour Income: The wages and salaries generated for Canadian workers.</w:t>
      </w:r>
    </w:p>
    <w:p w14:paraId="048C49D7" w14:textId="77777777" w:rsidR="00F52056" w:rsidRDefault="00000000">
      <w:pPr>
        <w:pStyle w:val="Heading2"/>
      </w:pPr>
      <w:r>
        <w:t>Verification &amp; Sensitivity</w:t>
      </w:r>
    </w:p>
    <w:p w14:paraId="14F977C7" w14:textId="77777777" w:rsidR="00F52056" w:rsidRDefault="00000000">
      <w:r>
        <w:t>To ensure defensibility, the final report should include:</w:t>
      </w:r>
    </w:p>
    <w:p w14:paraId="4174C963" w14:textId="77777777" w:rsidR="00F52056" w:rsidRDefault="00000000">
      <w:pPr>
        <w:pStyle w:val="ListBullet"/>
      </w:pPr>
      <w:r>
        <w:t>Margin verification against StatCan Table 36-10-0478-01 for each specific NAICS code.</w:t>
      </w:r>
    </w:p>
    <w:p w14:paraId="385EA85E" w14:textId="77777777" w:rsidR="00F52056" w:rsidRDefault="00000000">
      <w:pPr>
        <w:pStyle w:val="ListBullet"/>
      </w:pPr>
      <w:r>
        <w:t>Displacement sensitivity analysis (following Krasnoff’s 67% threshold methodology).</w:t>
      </w:r>
    </w:p>
    <w:p w14:paraId="226DE9FA" w14:textId="77777777" w:rsidR="00F52056" w:rsidRDefault="00000000">
      <w:pPr>
        <w:pStyle w:val="ListBullet"/>
      </w:pPr>
      <w:r>
        <w:t>Comparison of results using provincial (Ontario) vs. national (Canada) multipliers.</w:t>
      </w:r>
    </w:p>
    <w:p w14:paraId="6DB5EEC3" w14:textId="77777777" w:rsidR="00F52056" w:rsidRDefault="00000000">
      <w:pPr>
        <w:pStyle w:val="Heading1"/>
      </w:pPr>
      <w:r>
        <w:t>6. References</w:t>
      </w:r>
    </w:p>
    <w:p w14:paraId="7795B1F6" w14:textId="77777777" w:rsidR="00F52056" w:rsidRDefault="00000000">
      <w:pPr>
        <w:pStyle w:val="ListBullet"/>
      </w:pPr>
      <w:r>
        <w:t>Farm Credit Canada (2025). The $12-Billion Trade Shift: Canada’s Opportunity to Diversify Food Exports Beyond the U.S. FCC Economics.</w:t>
      </w:r>
    </w:p>
    <w:p w14:paraId="44D925C6" w14:textId="77777777" w:rsidR="00F52056" w:rsidRDefault="00000000">
      <w:pPr>
        <w:pStyle w:val="ListBullet"/>
      </w:pPr>
      <w:r>
        <w:t>Krasnoff, S.M., Schmit, T.M., &amp; Bilinski, C.B. (2023). Economic impact assessment of public incentives to support farm-to-school food purchases. Food Policy, 121, 102545.</w:t>
      </w:r>
    </w:p>
    <w:p w14:paraId="598AFD10" w14:textId="77777777" w:rsidR="00F52056" w:rsidRDefault="00000000">
      <w:pPr>
        <w:pStyle w:val="ListBullet"/>
      </w:pPr>
      <w:r>
        <w:t>Statistics Canada. Table 36-10-0594-01: Input-output multipliers, detail level.</w:t>
      </w:r>
    </w:p>
    <w:p w14:paraId="441B2A60" w14:textId="77777777" w:rsidR="00F52056" w:rsidRDefault="00000000">
      <w:pPr>
        <w:pStyle w:val="ListBullet"/>
      </w:pPr>
      <w:r>
        <w:t>Statistics Canada. Table 36-10-0478-01: Supply and use tables.</w:t>
      </w:r>
    </w:p>
    <w:p w14:paraId="61357D5D" w14:textId="77777777" w:rsidR="00F52056" w:rsidRDefault="00000000">
      <w:pPr>
        <w:pStyle w:val="ListBullet"/>
      </w:pPr>
      <w:r>
        <w:t>Statistics Canada. Table 12-10-0163-01: International merchandise trade by commodity, monthly.</w:t>
      </w:r>
    </w:p>
    <w:p w14:paraId="5C17467B" w14:textId="77777777" w:rsidR="00F52056" w:rsidRDefault="00000000">
      <w:pPr>
        <w:pStyle w:val="ListBullet"/>
      </w:pPr>
      <w:r>
        <w:t>USDA Foreign Agricultural Service (2023). Global Agricultural Trade System (GATS). U.S. consumer-oriented exports to Canada.</w:t>
      </w:r>
    </w:p>
    <w:p w14:paraId="03F7B388" w14:textId="77777777" w:rsidR="00F52056" w:rsidRDefault="00000000">
      <w:pPr>
        <w:pStyle w:val="ListBullet"/>
      </w:pPr>
      <w:r>
        <w:t>Miller, R. &amp; Blair, P. (2009). Input-Output Analysis: Foundations and Extensions, 2nd ed. Cambridge University Press.</w:t>
      </w:r>
    </w:p>
    <w:sectPr w:rsidR="00F5205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24092564">
    <w:abstractNumId w:val="8"/>
  </w:num>
  <w:num w:numId="2" w16cid:durableId="8337480">
    <w:abstractNumId w:val="6"/>
  </w:num>
  <w:num w:numId="3" w16cid:durableId="1341734591">
    <w:abstractNumId w:val="5"/>
  </w:num>
  <w:num w:numId="4" w16cid:durableId="679357869">
    <w:abstractNumId w:val="4"/>
  </w:num>
  <w:num w:numId="5" w16cid:durableId="953094639">
    <w:abstractNumId w:val="7"/>
  </w:num>
  <w:num w:numId="6" w16cid:durableId="1371153767">
    <w:abstractNumId w:val="3"/>
  </w:num>
  <w:num w:numId="7" w16cid:durableId="1989282008">
    <w:abstractNumId w:val="2"/>
  </w:num>
  <w:num w:numId="8" w16cid:durableId="889074451">
    <w:abstractNumId w:val="1"/>
  </w:num>
  <w:num w:numId="9" w16cid:durableId="6549920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82221"/>
    <w:rsid w:val="00AA1D8D"/>
    <w:rsid w:val="00AE660C"/>
    <w:rsid w:val="00B47730"/>
    <w:rsid w:val="00CB0664"/>
    <w:rsid w:val="00F5205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A946988B-1609-4B51-AE05-6B53E2259D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1831</Words>
  <Characters>11029</Characters>
  <Application>Microsoft Office Word</Application>
  <DocSecurity>0</DocSecurity>
  <Lines>344</Lines>
  <Paragraphs>207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12653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Ben Lefort</cp:lastModifiedBy>
  <cp:revision>2</cp:revision>
  <dcterms:created xsi:type="dcterms:W3CDTF">2013-12-23T23:15:00Z</dcterms:created>
  <dcterms:modified xsi:type="dcterms:W3CDTF">2026-05-12T20:28:00Z</dcterms:modified>
  <cp:category/>
</cp:coreProperties>
</file>