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4DC36" w14:textId="09966FBA" w:rsidR="006D3579" w:rsidRDefault="00BF6CF8">
      <w:r>
        <w:t>[</w:t>
      </w:r>
      <w:r w:rsidRPr="00636610">
        <w:rPr>
          <w:highlight w:val="yellow"/>
        </w:rPr>
        <w:t>INSERT DATE</w:t>
      </w:r>
      <w:r>
        <w:t>]</w:t>
      </w:r>
    </w:p>
    <w:p w14:paraId="73830ACE" w14:textId="528F9D62" w:rsidR="006D3579" w:rsidRDefault="00BF6CF8">
      <w:r>
        <w:t>[</w:t>
      </w:r>
      <w:r w:rsidRPr="00636610">
        <w:rPr>
          <w:highlight w:val="yellow"/>
        </w:rPr>
        <w:t>INSERT MUNICIPALITY NAME</w:t>
      </w:r>
      <w:r>
        <w:t xml:space="preserve">]  </w:t>
      </w:r>
    </w:p>
    <w:p w14:paraId="5F7D7B12" w14:textId="12B9AFE7" w:rsidR="006D3579" w:rsidRDefault="00BF6CF8">
      <w:r>
        <w:t>[</w:t>
      </w:r>
      <w:r w:rsidRPr="00636610">
        <w:rPr>
          <w:highlight w:val="yellow"/>
        </w:rPr>
        <w:t>INSERT ADDRESS</w:t>
      </w:r>
      <w:r>
        <w:t>]</w:t>
      </w:r>
    </w:p>
    <w:p w14:paraId="11EB6576" w14:textId="77777777" w:rsidR="00636610" w:rsidRDefault="00636610"/>
    <w:p w14:paraId="233C4EA0" w14:textId="777C34C4" w:rsidR="006D3579" w:rsidRDefault="00BF6CF8">
      <w:r>
        <w:t xml:space="preserve">Dear </w:t>
      </w:r>
      <w:r w:rsidRPr="00636610">
        <w:rPr>
          <w:highlight w:val="yellow"/>
        </w:rPr>
        <w:t>[INSERT MUNICIPALITY NAME</w:t>
      </w:r>
      <w:r>
        <w:t>] Council,</w:t>
      </w:r>
    </w:p>
    <w:p w14:paraId="4CF12726" w14:textId="7D0DA257" w:rsidR="006D3579" w:rsidRPr="00BF6CF8" w:rsidRDefault="00BF6CF8">
      <w:pPr>
        <w:rPr>
          <w:b/>
          <w:bCs/>
        </w:rPr>
      </w:pPr>
      <w:r w:rsidRPr="00BF6CF8">
        <w:rPr>
          <w:b/>
          <w:bCs/>
        </w:rPr>
        <w:t>Re: [</w:t>
      </w:r>
      <w:r w:rsidRPr="00BF6CF8">
        <w:rPr>
          <w:b/>
          <w:bCs/>
          <w:highlight w:val="yellow"/>
        </w:rPr>
        <w:t>INSERT BYLAW NAME</w:t>
      </w:r>
      <w:r w:rsidRPr="00BF6CF8">
        <w:rPr>
          <w:b/>
          <w:bCs/>
        </w:rPr>
        <w:t>] Fence Bylaw – Agricultural Fencing and Hedgerow Exemptions</w:t>
      </w:r>
    </w:p>
    <w:p w14:paraId="3E8C9F45" w14:textId="2CA54943" w:rsidR="006D3579" w:rsidRDefault="00BF6CF8">
      <w:r>
        <w:t>On behalf of [</w:t>
      </w:r>
      <w:r w:rsidRPr="00636610">
        <w:rPr>
          <w:highlight w:val="yellow"/>
        </w:rPr>
        <w:t>INSERT COUNTY FEDERATION NAME</w:t>
      </w:r>
      <w:r>
        <w:t>], I am writing to share our perspective on the importance of including clear agricultural exemptions within the [</w:t>
      </w:r>
      <w:r w:rsidRPr="00636610">
        <w:rPr>
          <w:highlight w:val="yellow"/>
        </w:rPr>
        <w:t>INSERT BYLAW NAME</w:t>
      </w:r>
      <w:r>
        <w:t xml:space="preserve">] fence bylaw. Our position aligns with the Ontario Federation of Agriculture’s (OFA) policy, which supports fence bylaws that protect farm viability, enable normal farm practices, and </w:t>
      </w:r>
      <w:proofErr w:type="gramStart"/>
      <w:r>
        <w:t>do</w:t>
      </w:r>
      <w:proofErr w:type="gramEnd"/>
      <w:r>
        <w:t xml:space="preserve"> not unintentionally restrict essential farm infrastructure.</w:t>
      </w:r>
    </w:p>
    <w:p w14:paraId="6F0CC50B" w14:textId="6420BE74" w:rsidR="006D3579" w:rsidRDefault="00BF6CF8">
      <w:r>
        <w:t xml:space="preserve">Fencing is a critical tool for farm management in our community. On farms, fences may be placed along property boundaries or within the interior of the farm to create paddocks and other enclosed areas. They delineate farm properties, help keep livestock safely contained, protect crops, and deter trespassers and wildlife. The presence or location of a fence does not affect legal title to the land. Where a change to a property line is desired, landowners must instead follow the municipality’s consent process </w:t>
      </w:r>
      <w:r>
        <w:t>for lot line adjustments, not rely on the position of a fence.</w:t>
      </w:r>
    </w:p>
    <w:p w14:paraId="316C205A" w14:textId="3499B076" w:rsidR="006D3579" w:rsidRDefault="00BF6CF8">
      <w:r>
        <w:t xml:space="preserve">Under Ontario’s Line Fences Act, fence provisions along lot lines are governed by provincial legislation by default. However, municipalities are permitted to adopt fence bylaws that override most provisions of the Line Fences Act, except for Section 20, which addresses abandoned or decommissioned railway lands. This means the content of a municipal fence bylaw has a direct impact on how farm operations </w:t>
      </w:r>
      <w:proofErr w:type="gramStart"/>
      <w:r>
        <w:t>are able to</w:t>
      </w:r>
      <w:proofErr w:type="gramEnd"/>
      <w:r>
        <w:t xml:space="preserve"> construct and maintain the fencing they require.</w:t>
      </w:r>
    </w:p>
    <w:p w14:paraId="59CB87AE" w14:textId="02C33125" w:rsidR="006D3579" w:rsidRDefault="00BF6CF8">
      <w:r>
        <w:t xml:space="preserve">When fence bylaws are drafted without specific consideration for agriculture, they can inadvertently prohibit or restrict common and necessary types of farm fencing. For example, limitations on fence height, materials, or design, or general prohibitions on security fencing such as barbed wire or electric fencing, can prevent farmers from installing the infrastructure they need to keep livestock in, trespassers out, and maintain appropriate biosecurity standards. This not only creates operational and animal </w:t>
      </w:r>
      <w:r>
        <w:t xml:space="preserve">welfare </w:t>
      </w:r>
      <w:proofErr w:type="gramStart"/>
      <w:r>
        <w:t>challenges, but</w:t>
      </w:r>
      <w:proofErr w:type="gramEnd"/>
      <w:r>
        <w:t xml:space="preserve"> may also expose farmers and the municipality to </w:t>
      </w:r>
      <w:proofErr w:type="gramStart"/>
      <w:r>
        <w:t>avoidable liability</w:t>
      </w:r>
      <w:proofErr w:type="gramEnd"/>
      <w:r>
        <w:t xml:space="preserve"> risks.</w:t>
      </w:r>
    </w:p>
    <w:p w14:paraId="3C2C38A5" w14:textId="1F408BC5" w:rsidR="006D3579" w:rsidRDefault="00BF6CF8">
      <w:r>
        <w:t xml:space="preserve">Similarly, on-farm green infrastructure—such as hedgerows and shelterbelts composed of trees and shrubs—provides windbreaks, erosion control, habitat, and other environmental benefits. If these features are treated or designated as formal natural heritage features under a fence bylaw solely because they have been planted or maintained, landowners may </w:t>
      </w:r>
      <w:r>
        <w:lastRenderedPageBreak/>
        <w:t>be discouraged from establishing them in the first place, undermining both environmental and agricultural objectives.</w:t>
      </w:r>
    </w:p>
    <w:p w14:paraId="36FB319B" w14:textId="641EDBDE" w:rsidR="006D3579" w:rsidRDefault="00BF6CF8">
      <w:r>
        <w:t>To support normal farm practices and reduce unnecessary administrative burdens for both farmers and municipal staff, we recommend that [</w:t>
      </w:r>
      <w:r w:rsidRPr="00636610">
        <w:rPr>
          <w:highlight w:val="yellow"/>
        </w:rPr>
        <w:t>INSERT MUNICIPALITY NAME</w:t>
      </w:r>
      <w:r>
        <w:t>] explicitly incorporate agricultural exemptions within the [</w:t>
      </w:r>
      <w:r w:rsidRPr="00636610">
        <w:rPr>
          <w:highlight w:val="yellow"/>
        </w:rPr>
        <w:t>INSERT BYLAW NAME</w:t>
      </w:r>
      <w:r>
        <w:t xml:space="preserve">] fence bylaw. Specifically, we recommend that the bylaw </w:t>
      </w:r>
      <w:proofErr w:type="gramStart"/>
      <w:r>
        <w:t>include</w:t>
      </w:r>
      <w:proofErr w:type="gramEnd"/>
      <w:r>
        <w:t xml:space="preserve"> the following wording:</w:t>
      </w:r>
    </w:p>
    <w:p w14:paraId="7EC30987" w14:textId="2D7E8F49" w:rsidR="006D3579" w:rsidRDefault="00BF6CF8">
      <w:r>
        <w:t>“That the fence bylaw does not apply to:</w:t>
      </w:r>
    </w:p>
    <w:p w14:paraId="1DDD633A" w14:textId="1684F52D" w:rsidR="006D3579" w:rsidRDefault="00BF6CF8">
      <w:r>
        <w:t>(a) security fencing, including but not limited to barbed wire and electric fencing, installed to contain livestock, protect crops, or address biosecurity and farm security needs on land used for a bona fide farm operation; and</w:t>
      </w:r>
    </w:p>
    <w:p w14:paraId="620A6B9F" w14:textId="679CFBDD" w:rsidR="006D3579" w:rsidRDefault="00BF6CF8">
      <w:r>
        <w:t xml:space="preserve">(b) the planting, maintenance, and replacement of hedgerows (windbreaks) of trees and shrubs on agricultural land, which shall not, solely by virtue of being planted or maintained, be designated or treated as a natural heritage feature under this </w:t>
      </w:r>
      <w:proofErr w:type="gramStart"/>
      <w:r>
        <w:t>bylaw.”</w:t>
      </w:r>
      <w:proofErr w:type="gramEnd"/>
    </w:p>
    <w:p w14:paraId="6DC6EE46" w14:textId="6D525A2C" w:rsidR="006D3579" w:rsidRDefault="00BF6CF8">
      <w:r>
        <w:t>To further provide clarity and consistency, we recommend defining “bona fide farm operation” as:</w:t>
      </w:r>
    </w:p>
    <w:p w14:paraId="03AFDA63" w14:textId="77777777" w:rsidR="006D3579" w:rsidRDefault="00BF6CF8">
      <w:r>
        <w:t>“A farm business that operates with a valid Farm Business Registration Number and whose lands are assessed in the Farmland Realty Tax Class.”</w:t>
      </w:r>
    </w:p>
    <w:p w14:paraId="0C59AB42" w14:textId="77777777" w:rsidR="006D3579" w:rsidRDefault="006D3579"/>
    <w:p w14:paraId="4A90CD37" w14:textId="26F95DF1" w:rsidR="006D3579" w:rsidRDefault="00BF6CF8">
      <w:r>
        <w:t>These measures will ensure that [</w:t>
      </w:r>
      <w:r w:rsidRPr="00636610">
        <w:rPr>
          <w:highlight w:val="yellow"/>
        </w:rPr>
        <w:t>INSERT MUNICIPALITY NAME</w:t>
      </w:r>
      <w:r>
        <w:t>] supports its local agricultural sector while maintaining reasonable standards for public safety and aesthetics. By recognizing the unique needs of farms, the fence bylaw can protect livestock, promote environmental stewardship through hedgerows and windbreaks, and avoid treating farm security fencing as though each installation were a separate development application.</w:t>
      </w:r>
    </w:p>
    <w:p w14:paraId="301D8103" w14:textId="77777777" w:rsidR="006D3579" w:rsidRDefault="00BF6CF8">
      <w:r>
        <w:t>Thank you for considering this important issue. [</w:t>
      </w:r>
      <w:r w:rsidRPr="00636610">
        <w:rPr>
          <w:highlight w:val="yellow"/>
        </w:rPr>
        <w:t>INSERT COUNTY FEDERATION NAME</w:t>
      </w:r>
      <w:r>
        <w:t>] would be pleased to discuss this matter further and provide additional information or support as required. Please do not hesitate to contact us at [</w:t>
      </w:r>
      <w:r w:rsidRPr="00636610">
        <w:rPr>
          <w:highlight w:val="yellow"/>
        </w:rPr>
        <w:t>INSERT CONTACT INFORMATION</w:t>
      </w:r>
      <w:r>
        <w:t>].</w:t>
      </w:r>
    </w:p>
    <w:p w14:paraId="76EB153F" w14:textId="77777777" w:rsidR="006D3579" w:rsidRDefault="006D3579"/>
    <w:p w14:paraId="339B04D4" w14:textId="77777777" w:rsidR="006D3579" w:rsidRDefault="00BF6CF8">
      <w:r>
        <w:t>Sincerely,</w:t>
      </w:r>
    </w:p>
    <w:p w14:paraId="5D150511" w14:textId="77777777" w:rsidR="006D3579" w:rsidRDefault="006D3579"/>
    <w:p w14:paraId="1014EDF2" w14:textId="131471D8" w:rsidR="006D3579" w:rsidRDefault="00BF6CF8">
      <w:r>
        <w:t>[</w:t>
      </w:r>
      <w:r w:rsidRPr="00636610">
        <w:rPr>
          <w:highlight w:val="yellow"/>
        </w:rPr>
        <w:t>INSERT NAME</w:t>
      </w:r>
      <w:r>
        <w:t xml:space="preserve">] </w:t>
      </w:r>
    </w:p>
    <w:p w14:paraId="0DF90C92" w14:textId="77777777" w:rsidR="006D3579" w:rsidRDefault="00BF6CF8">
      <w:r>
        <w:t>[</w:t>
      </w:r>
      <w:r w:rsidRPr="00636610">
        <w:rPr>
          <w:highlight w:val="yellow"/>
        </w:rPr>
        <w:t>INSERT TITLE], [INSERT COUNTY FEDERATION NAME</w:t>
      </w:r>
      <w:r>
        <w:t>]</w:t>
      </w:r>
    </w:p>
    <w:sectPr w:rsidR="006D35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219958">
    <w:abstractNumId w:val="8"/>
  </w:num>
  <w:num w:numId="2" w16cid:durableId="1297642193">
    <w:abstractNumId w:val="6"/>
  </w:num>
  <w:num w:numId="3" w16cid:durableId="1530099332">
    <w:abstractNumId w:val="5"/>
  </w:num>
  <w:num w:numId="4" w16cid:durableId="284700290">
    <w:abstractNumId w:val="4"/>
  </w:num>
  <w:num w:numId="5" w16cid:durableId="7372543">
    <w:abstractNumId w:val="7"/>
  </w:num>
  <w:num w:numId="6" w16cid:durableId="437412131">
    <w:abstractNumId w:val="3"/>
  </w:num>
  <w:num w:numId="7" w16cid:durableId="1490825524">
    <w:abstractNumId w:val="2"/>
  </w:num>
  <w:num w:numId="8" w16cid:durableId="592275544">
    <w:abstractNumId w:val="1"/>
  </w:num>
  <w:num w:numId="9" w16cid:durableId="2016303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610"/>
    <w:rsid w:val="006D3579"/>
    <w:rsid w:val="008E7B0C"/>
    <w:rsid w:val="00AA1D8D"/>
    <w:rsid w:val="00B47730"/>
    <w:rsid w:val="00BF6C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E0E813-FD0E-48B3-809D-9098F2528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Lefort</cp:lastModifiedBy>
  <cp:revision>3</cp:revision>
  <dcterms:created xsi:type="dcterms:W3CDTF">2013-12-23T23:15:00Z</dcterms:created>
  <dcterms:modified xsi:type="dcterms:W3CDTF">2025-12-11T21:25:00Z</dcterms:modified>
  <cp:category/>
</cp:coreProperties>
</file>