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LeadOS + AllianceOS</w:t>
        <w:br/>
        <w:t>CRM Subscription Product Plan</w:t>
      </w:r>
    </w:p>
    <w:p>
      <w:pPr>
        <w:jc w:val="center"/>
      </w:pPr>
      <w:r>
        <w:rPr>
          <w:b/>
          <w:sz w:val="24"/>
        </w:rPr>
        <w:t>Onboarding options, commercial choices, current-state audit, missing-process checklist, and implementation blueprint</w:t>
      </w:r>
    </w:p>
    <w:p>
      <w:pPr>
        <w:jc w:val="center"/>
      </w:pPr>
      <w:r>
        <w:t>Decision draft | 24 August 2026 | Scope: LeadOS and AllianceOS only</w:t>
      </w:r>
    </w:p>
    <w:tbl>
      <w:tblPr>
        <w:tblStyle w:val="TableGrid"/>
        <w:tblW w:type="auto" w:w="0"/>
        <w:tblLook w:firstColumn="1" w:firstRow="1" w:lastColumn="0" w:lastRow="0" w:noHBand="0" w:noVBand="1" w:val="04A0"/>
      </w:tblPr>
      <w:tblGrid>
        <w:gridCol w:w="10368"/>
      </w:tblGrid>
      <w:tr>
        <w:tc>
          <w:tcPr>
            <w:tcW w:type="dxa" w:w="10368"/>
            <w:shd w:fill="FFF2CC"/>
            <w:vAlign w:val="center"/>
          </w:tcPr>
          <w:p>
            <w:r/>
            <w:r>
              <w:rPr>
                <w:b/>
                <w:color w:val="7F6000"/>
                <w:sz w:val="19"/>
              </w:rPr>
              <w:t>Important: prices in this document are illustrative decision options, not approved production prices. Mafiya OS, Thedal OS, and Content OS are excluded from this product scope. Existing files for those modules were reviewed only where needed to distinguish reusable patterns; they are not proposed as customer entitlements.</w:t>
            </w:r>
          </w:p>
        </w:tc>
      </w:tr>
    </w:tbl>
    <w:p>
      <w:pPr>
        <w:pStyle w:val="Heading1"/>
      </w:pPr>
      <w:r>
        <w:t>1. Executive decision summary</w:t>
      </w:r>
    </w:p>
    <w:p>
      <w:r>
        <w:t>The present portal is an internal, authenticated operating application—not yet a complete multi-tenant SaaS product. LeadOS and AllianceOS functionality exists, but the commercial customer journey around it is incomplete. The recommended launch model is a hybrid onboarding process: customers can choose a package and submit registration/payment online, while the operations team verifies integrations and releases credentials. This reduces onboarding delay without automatically exposing sensitive provider credentials.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8"/>
          </w:tcPr>
          <w:p>
            <w:r/>
            <w:r>
              <w:rPr>
                <w:b/>
                <w:color w:val="FFFFFF"/>
                <w:sz w:val="17"/>
              </w:rPr>
              <w:t>Decision</w:t>
            </w:r>
          </w:p>
        </w:tc>
        <w:tc>
          <w:tcPr>
            <w:tcW w:type="dxa" w:w="3456"/>
            <w:vAlign w:val="center"/>
            <w:shd w:fill="1F4E78"/>
          </w:tcPr>
          <w:p>
            <w:r/>
            <w:r>
              <w:rPr>
                <w:b/>
                <w:color w:val="FFFFFF"/>
                <w:sz w:val="17"/>
              </w:rPr>
              <w:t>Recommended launch choice</w:t>
            </w:r>
          </w:p>
        </w:tc>
        <w:tc>
          <w:tcPr>
            <w:tcW w:type="dxa" w:w="3456"/>
            <w:vAlign w:val="center"/>
            <w:shd w:fill="1F4E78"/>
          </w:tcPr>
          <w:p>
            <w:r/>
            <w:r>
              <w:rPr>
                <w:b/>
                <w:color w:val="FFFFFF"/>
                <w:sz w:val="17"/>
              </w:rPr>
              <w:t>Alternatives retained</w:t>
            </w:r>
          </w:p>
        </w:tc>
      </w:tr>
      <w:tr>
        <w:tc>
          <w:tcPr>
            <w:tcW w:type="dxa" w:w="3456"/>
            <w:vAlign w:val="center"/>
          </w:tcPr>
          <w:p>
            <w:r/>
            <w:r>
              <w:rPr>
                <w:b w:val="0"/>
                <w:sz w:val="17"/>
              </w:rPr>
              <w:t>Product scope</w:t>
            </w:r>
          </w:p>
        </w:tc>
        <w:tc>
          <w:tcPr>
            <w:tcW w:type="dxa" w:w="3456"/>
            <w:vAlign w:val="center"/>
          </w:tcPr>
          <w:p>
            <w:r/>
            <w:r>
              <w:rPr>
                <w:b w:val="0"/>
                <w:sz w:val="17"/>
              </w:rPr>
              <w:t>LeadOS, AllianceOS, and a combined Growth Suite</w:t>
            </w:r>
          </w:p>
        </w:tc>
        <w:tc>
          <w:tcPr>
            <w:tcW w:type="dxa" w:w="3456"/>
            <w:vAlign w:val="center"/>
          </w:tcPr>
          <w:p>
            <w:r/>
            <w:r>
              <w:rPr>
                <w:b w:val="0"/>
                <w:sz w:val="17"/>
              </w:rPr>
              <w:t>Sell only the bundle; or quote every client individually</w:t>
            </w:r>
          </w:p>
        </w:tc>
      </w:tr>
      <w:tr>
        <w:tc>
          <w:tcPr>
            <w:tcW w:type="dxa" w:w="3456"/>
            <w:vAlign w:val="center"/>
            <w:shd w:fill="EAF2F8"/>
          </w:tcPr>
          <w:p>
            <w:r/>
            <w:r>
              <w:rPr>
                <w:b w:val="0"/>
                <w:sz w:val="17"/>
              </w:rPr>
              <w:t>Term</w:t>
            </w:r>
          </w:p>
        </w:tc>
        <w:tc>
          <w:tcPr>
            <w:tcW w:type="dxa" w:w="3456"/>
            <w:vAlign w:val="center"/>
            <w:shd w:fill="EAF2F8"/>
          </w:tcPr>
          <w:p>
            <w:r/>
            <w:r>
              <w:rPr>
                <w:b w:val="0"/>
                <w:sz w:val="17"/>
              </w:rPr>
              <w:t>1 month, 3 months, 1 year; custom enterprise term</w:t>
            </w:r>
          </w:p>
        </w:tc>
        <w:tc>
          <w:tcPr>
            <w:tcW w:type="dxa" w:w="3456"/>
            <w:vAlign w:val="center"/>
            <w:shd w:fill="EAF2F8"/>
          </w:tcPr>
          <w:p>
            <w:r/>
            <w:r>
              <w:rPr>
                <w:b w:val="0"/>
                <w:sz w:val="17"/>
              </w:rPr>
              <w:t>Add 2-year public term after retention data exists</w:t>
            </w:r>
          </w:p>
        </w:tc>
      </w:tr>
      <w:tr>
        <w:tc>
          <w:tcPr>
            <w:tcW w:type="dxa" w:w="3456"/>
            <w:vAlign w:val="center"/>
          </w:tcPr>
          <w:p>
            <w:r/>
            <w:r>
              <w:rPr>
                <w:b w:val="0"/>
                <w:sz w:val="17"/>
              </w:rPr>
              <w:t>Payment</w:t>
            </w:r>
          </w:p>
        </w:tc>
        <w:tc>
          <w:tcPr>
            <w:tcW w:type="dxa" w:w="3456"/>
            <w:vAlign w:val="center"/>
          </w:tcPr>
          <w:p>
            <w:r/>
            <w:r>
              <w:rPr>
                <w:b w:val="0"/>
                <w:sz w:val="17"/>
              </w:rPr>
              <w:t>Razorpay online plus controlled offline recording</w:t>
            </w:r>
          </w:p>
        </w:tc>
        <w:tc>
          <w:tcPr>
            <w:tcW w:type="dxa" w:w="3456"/>
            <w:vAlign w:val="center"/>
          </w:tcPr>
          <w:p>
            <w:r/>
            <w:r>
              <w:rPr>
                <w:b w:val="0"/>
                <w:sz w:val="17"/>
              </w:rPr>
              <w:t>Online only; or fully manual invoice collection</w:t>
            </w:r>
          </w:p>
        </w:tc>
      </w:tr>
      <w:tr>
        <w:tc>
          <w:tcPr>
            <w:tcW w:type="dxa" w:w="3456"/>
            <w:vAlign w:val="center"/>
            <w:shd w:fill="EAF2F8"/>
          </w:tcPr>
          <w:p>
            <w:r/>
            <w:r>
              <w:rPr>
                <w:b w:val="0"/>
                <w:sz w:val="17"/>
              </w:rPr>
              <w:t>Onboarding</w:t>
            </w:r>
          </w:p>
        </w:tc>
        <w:tc>
          <w:tcPr>
            <w:tcW w:type="dxa" w:w="3456"/>
            <w:vAlign w:val="center"/>
            <w:shd w:fill="EAF2F8"/>
          </w:tcPr>
          <w:p>
            <w:r/>
            <w:r>
              <w:rPr>
                <w:b w:val="0"/>
                <w:sz w:val="17"/>
              </w:rPr>
              <w:t>Hybrid assisted automation</w:t>
            </w:r>
          </w:p>
        </w:tc>
        <w:tc>
          <w:tcPr>
            <w:tcW w:type="dxa" w:w="3456"/>
            <w:vAlign w:val="center"/>
            <w:shd w:fill="EAF2F8"/>
          </w:tcPr>
          <w:p>
            <w:r/>
            <w:r>
              <w:rPr>
                <w:b w:val="0"/>
                <w:sz w:val="17"/>
              </w:rPr>
              <w:t>Self-service; team-managed form/file; fully manual</w:t>
            </w:r>
          </w:p>
        </w:tc>
      </w:tr>
      <w:tr>
        <w:tc>
          <w:tcPr>
            <w:tcW w:type="dxa" w:w="3456"/>
            <w:vAlign w:val="center"/>
          </w:tcPr>
          <w:p>
            <w:r/>
            <w:r>
              <w:rPr>
                <w:b w:val="0"/>
                <w:sz w:val="17"/>
              </w:rPr>
              <w:t>Access</w:t>
            </w:r>
          </w:p>
        </w:tc>
        <w:tc>
          <w:tcPr>
            <w:tcW w:type="dxa" w:w="3456"/>
            <w:vAlign w:val="center"/>
          </w:tcPr>
          <w:p>
            <w:r/>
            <w:r>
              <w:rPr>
                <w:b w:val="0"/>
                <w:sz w:val="17"/>
              </w:rPr>
              <w:t>Tenant-isolated account with module entitlements</w:t>
            </w:r>
          </w:p>
        </w:tc>
        <w:tc>
          <w:tcPr>
            <w:tcW w:type="dxa" w:w="3456"/>
            <w:vAlign w:val="center"/>
          </w:tcPr>
          <w:p>
            <w:r/>
            <w:r>
              <w:rPr>
                <w:b w:val="0"/>
                <w:sz w:val="17"/>
              </w:rPr>
              <w:t>Separate deployment per customer (higher cost)</w:t>
            </w:r>
          </w:p>
        </w:tc>
      </w:tr>
      <w:tr>
        <w:tc>
          <w:tcPr>
            <w:tcW w:type="dxa" w:w="3456"/>
            <w:vAlign w:val="center"/>
            <w:shd w:fill="EAF2F8"/>
          </w:tcPr>
          <w:p>
            <w:r/>
            <w:r>
              <w:rPr>
                <w:b w:val="0"/>
                <w:sz w:val="17"/>
              </w:rPr>
              <w:t>Go-live rule</w:t>
            </w:r>
          </w:p>
        </w:tc>
        <w:tc>
          <w:tcPr>
            <w:tcW w:type="dxa" w:w="3456"/>
            <w:vAlign w:val="center"/>
            <w:shd w:fill="EAF2F8"/>
          </w:tcPr>
          <w:p>
            <w:r/>
            <w:r>
              <w:rPr>
                <w:b w:val="0"/>
                <w:sz w:val="17"/>
              </w:rPr>
              <w:t>Payment verified + compliance/integration checklist complete</w:t>
            </w:r>
          </w:p>
        </w:tc>
        <w:tc>
          <w:tcPr>
            <w:tcW w:type="dxa" w:w="3456"/>
            <w:vAlign w:val="center"/>
            <w:shd w:fill="EAF2F8"/>
          </w:tcPr>
          <w:p>
            <w:r/>
            <w:r>
              <w:rPr>
                <w:b w:val="0"/>
                <w:sz w:val="17"/>
              </w:rPr>
              <w:t>Immediate access with restricted setup mode</w:t>
            </w:r>
          </w:p>
        </w:tc>
      </w:tr>
    </w:tbl>
    <w:p/>
    <w:p>
      <w:pPr>
        <w:pStyle w:val="Heading1"/>
      </w:pPr>
      <w:r>
        <w:t>2. Product packaging options</w:t>
      </w:r>
    </w:p>
    <w:p>
      <w:r>
        <w:t>Use module entitlements so the same portal can safely show only what the customer purchased. Do not remove unrelated source modules merely to create a package; hide and block them through server-side entitlements, navigation rules, and authorization checks.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F4E78"/>
          </w:tcPr>
          <w:p>
            <w:r/>
            <w:r>
              <w:rPr>
                <w:b/>
                <w:color w:val="FFFFFF"/>
                <w:sz w:val="17"/>
              </w:rPr>
              <w:t>Option</w:t>
            </w:r>
          </w:p>
        </w:tc>
        <w:tc>
          <w:tcPr>
            <w:tcW w:type="dxa" w:w="2592"/>
            <w:vAlign w:val="center"/>
            <w:shd w:fill="1F4E78"/>
          </w:tcPr>
          <w:p>
            <w:r/>
            <w:r>
              <w:rPr>
                <w:b/>
                <w:color w:val="FFFFFF"/>
                <w:sz w:val="17"/>
              </w:rPr>
              <w:t>Who it fits</w:t>
            </w:r>
          </w:p>
        </w:tc>
        <w:tc>
          <w:tcPr>
            <w:tcW w:type="dxa" w:w="2592"/>
            <w:vAlign w:val="center"/>
            <w:shd w:fill="1F4E78"/>
          </w:tcPr>
          <w:p>
            <w:r/>
            <w:r>
              <w:rPr>
                <w:b/>
                <w:color w:val="FFFFFF"/>
                <w:sz w:val="17"/>
              </w:rPr>
              <w:t>Included</w:t>
            </w:r>
          </w:p>
        </w:tc>
        <w:tc>
          <w:tcPr>
            <w:tcW w:type="dxa" w:w="2592"/>
            <w:vAlign w:val="center"/>
            <w:shd w:fill="1F4E78"/>
          </w:tcPr>
          <w:p>
            <w:r/>
            <w:r>
              <w:rPr>
                <w:b/>
                <w:color w:val="FFFFFF"/>
                <w:sz w:val="17"/>
              </w:rPr>
              <w:t>Commercial method</w:t>
            </w:r>
          </w:p>
        </w:tc>
      </w:tr>
      <w:tr>
        <w:tc>
          <w:tcPr>
            <w:tcW w:type="dxa" w:w="2592"/>
            <w:vAlign w:val="center"/>
          </w:tcPr>
          <w:p>
            <w:r/>
            <w:r>
              <w:rPr>
                <w:b w:val="0"/>
                <w:sz w:val="17"/>
              </w:rPr>
              <w:t>A — LeadOS</w:t>
            </w:r>
          </w:p>
        </w:tc>
        <w:tc>
          <w:tcPr>
            <w:tcW w:type="dxa" w:w="2592"/>
            <w:vAlign w:val="center"/>
          </w:tcPr>
          <w:p>
            <w:r/>
            <w:r>
              <w:rPr>
                <w:b w:val="0"/>
                <w:sz w:val="17"/>
              </w:rPr>
              <w:t>Teams managing inbound leads, WhatsApp follow-up, campaigns and conversion</w:t>
            </w:r>
          </w:p>
        </w:tc>
        <w:tc>
          <w:tcPr>
            <w:tcW w:type="dxa" w:w="2592"/>
            <w:vAlign w:val="center"/>
          </w:tcPr>
          <w:p>
            <w:r/>
            <w:r>
              <w:rPr>
                <w:b w:val="0"/>
                <w:sz w:val="17"/>
              </w:rPr>
              <w:t>Lead capture, inbox, pipeline/leads, campaigns, templates, AI knowledge, reports; agreed integrations</w:t>
            </w:r>
          </w:p>
        </w:tc>
        <w:tc>
          <w:tcPr>
            <w:tcW w:type="dxa" w:w="2592"/>
            <w:vAlign w:val="center"/>
          </w:tcPr>
          <w:p>
            <w:r/>
            <w:r>
              <w:rPr>
                <w:b w:val="0"/>
                <w:sz w:val="17"/>
              </w:rPr>
              <w:t>Fixed plan tiers + usage limits</w:t>
            </w:r>
          </w:p>
        </w:tc>
      </w:tr>
      <w:tr>
        <w:tc>
          <w:tcPr>
            <w:tcW w:type="dxa" w:w="2592"/>
            <w:vAlign w:val="center"/>
            <w:shd w:fill="EAF2F8"/>
          </w:tcPr>
          <w:p>
            <w:r/>
            <w:r>
              <w:rPr>
                <w:b w:val="0"/>
                <w:sz w:val="17"/>
              </w:rPr>
              <w:t>B — AllianceOS</w:t>
            </w:r>
          </w:p>
        </w:tc>
        <w:tc>
          <w:tcPr>
            <w:tcW w:type="dxa" w:w="2592"/>
            <w:vAlign w:val="center"/>
            <w:shd w:fill="EAF2F8"/>
          </w:tcPr>
          <w:p>
            <w:r/>
            <w:r>
              <w:rPr>
                <w:b w:val="0"/>
                <w:sz w:val="17"/>
              </w:rPr>
              <w:t>Partnership/outbound teams managing prospecting and outreach</w:t>
            </w:r>
          </w:p>
        </w:tc>
        <w:tc>
          <w:tcPr>
            <w:tcW w:type="dxa" w:w="2592"/>
            <w:vAlign w:val="center"/>
            <w:shd w:fill="EAF2F8"/>
          </w:tcPr>
          <w:p>
            <w:r/>
            <w:r>
              <w:rPr>
                <w:b w:val="0"/>
                <w:sz w:val="17"/>
              </w:rPr>
              <w:t>Prospect upload/list, outreach planner, email/WhatsApp campaigns, replies, knowledge/prompts, analytics</w:t>
            </w:r>
          </w:p>
        </w:tc>
        <w:tc>
          <w:tcPr>
            <w:tcW w:type="dxa" w:w="2592"/>
            <w:vAlign w:val="center"/>
            <w:shd w:fill="EAF2F8"/>
          </w:tcPr>
          <w:p>
            <w:r/>
            <w:r>
              <w:rPr>
                <w:b w:val="0"/>
                <w:sz w:val="17"/>
              </w:rPr>
              <w:t>Fixed plan tiers + sender/contact limits</w:t>
            </w:r>
          </w:p>
        </w:tc>
      </w:tr>
      <w:tr>
        <w:tc>
          <w:tcPr>
            <w:tcW w:type="dxa" w:w="2592"/>
            <w:vAlign w:val="center"/>
          </w:tcPr>
          <w:p>
            <w:r/>
            <w:r>
              <w:rPr>
                <w:b w:val="0"/>
                <w:sz w:val="17"/>
              </w:rPr>
              <w:t>C — Growth Suite (recommended bundle)</w:t>
            </w:r>
          </w:p>
        </w:tc>
        <w:tc>
          <w:tcPr>
            <w:tcW w:type="dxa" w:w="2592"/>
            <w:vAlign w:val="center"/>
          </w:tcPr>
          <w:p>
            <w:r/>
            <w:r>
              <w:rPr>
                <w:b w:val="0"/>
                <w:sz w:val="17"/>
              </w:rPr>
              <w:t>Customers needing inbound CRM plus alliance/outbound workflow</w:t>
            </w:r>
          </w:p>
        </w:tc>
        <w:tc>
          <w:tcPr>
            <w:tcW w:type="dxa" w:w="2592"/>
            <w:vAlign w:val="center"/>
          </w:tcPr>
          <w:p>
            <w:r/>
            <w:r>
              <w:rPr>
                <w:b w:val="0"/>
                <w:sz w:val="17"/>
              </w:rPr>
              <w:t>LeadOS + AllianceOS with shared account and reporting boundary</w:t>
            </w:r>
          </w:p>
        </w:tc>
        <w:tc>
          <w:tcPr>
            <w:tcW w:type="dxa" w:w="2592"/>
            <w:vAlign w:val="center"/>
          </w:tcPr>
          <w:p>
            <w:r/>
            <w:r>
              <w:rPr>
                <w:b w:val="0"/>
                <w:sz w:val="17"/>
              </w:rPr>
              <w:t>Bundle discount compared with two separate subscriptions</w:t>
            </w:r>
          </w:p>
        </w:tc>
      </w:tr>
      <w:tr>
        <w:tc>
          <w:tcPr>
            <w:tcW w:type="dxa" w:w="2592"/>
            <w:vAlign w:val="center"/>
            <w:shd w:fill="EAF2F8"/>
          </w:tcPr>
          <w:p>
            <w:r/>
            <w:r>
              <w:rPr>
                <w:b w:val="0"/>
                <w:sz w:val="17"/>
              </w:rPr>
              <w:t>D — Custom Enterprise</w:t>
            </w:r>
          </w:p>
        </w:tc>
        <w:tc>
          <w:tcPr>
            <w:tcW w:type="dxa" w:w="2592"/>
            <w:vAlign w:val="center"/>
            <w:shd w:fill="EAF2F8"/>
          </w:tcPr>
          <w:p>
            <w:r/>
            <w:r>
              <w:rPr>
                <w:b w:val="0"/>
                <w:sz w:val="17"/>
              </w:rPr>
              <w:t>High volume, custom integrations, data migration, SLA or dedicated environment</w:t>
            </w:r>
          </w:p>
        </w:tc>
        <w:tc>
          <w:tcPr>
            <w:tcW w:type="dxa" w:w="2592"/>
            <w:vAlign w:val="center"/>
            <w:shd w:fill="EAF2F8"/>
          </w:tcPr>
          <w:p>
            <w:r/>
            <w:r>
              <w:rPr>
                <w:b w:val="0"/>
                <w:sz w:val="17"/>
              </w:rPr>
              <w:t>Negotiated modules, limits, onboarding, support and security terms</w:t>
            </w:r>
          </w:p>
        </w:tc>
        <w:tc>
          <w:tcPr>
            <w:tcW w:type="dxa" w:w="2592"/>
            <w:vAlign w:val="center"/>
            <w:shd w:fill="EAF2F8"/>
          </w:tcPr>
          <w:p>
            <w:r/>
            <w:r>
              <w:rPr>
                <w:b w:val="0"/>
                <w:sz w:val="17"/>
              </w:rPr>
              <w:t>Written quotation/order form</w:t>
            </w:r>
          </w:p>
        </w:tc>
      </w:tr>
    </w:tbl>
    <w:p/>
    <w:p>
      <w:pPr>
        <w:pStyle w:val="Heading1"/>
      </w:pPr>
      <w:r>
        <w:t>3. Illustrative pricing worksheet (INR)</w:t>
      </w:r>
    </w:p>
    <w:p>
      <w:r>
        <w:t>These numbers are starting hypotheses for approval. Validate cloud, WhatsApp/Meta, email, AI, data-provider, onboarding, support and GST costs before publishing. Provider usage charges should be stated as included up to a limit or billed separately.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shd w:fill="1F4E78"/>
          </w:tcPr>
          <w:p>
            <w:r/>
            <w:r>
              <w:rPr>
                <w:b/>
                <w:color w:val="FFFFFF"/>
                <w:sz w:val="17"/>
              </w:rPr>
              <w:t>Package</w:t>
            </w:r>
          </w:p>
        </w:tc>
        <w:tc>
          <w:tcPr>
            <w:tcW w:type="dxa" w:w="2074"/>
            <w:vAlign w:val="center"/>
            <w:shd w:fill="1F4E78"/>
          </w:tcPr>
          <w:p>
            <w:r/>
            <w:r>
              <w:rPr>
                <w:b/>
                <w:color w:val="FFFFFF"/>
                <w:sz w:val="17"/>
              </w:rPr>
              <w:t>Starter / month</w:t>
            </w:r>
          </w:p>
        </w:tc>
        <w:tc>
          <w:tcPr>
            <w:tcW w:type="dxa" w:w="2074"/>
            <w:vAlign w:val="center"/>
            <w:shd w:fill="1F4E78"/>
          </w:tcPr>
          <w:p>
            <w:r/>
            <w:r>
              <w:rPr>
                <w:b/>
                <w:color w:val="FFFFFF"/>
                <w:sz w:val="17"/>
              </w:rPr>
              <w:t>Growth / month</w:t>
            </w:r>
          </w:p>
        </w:tc>
        <w:tc>
          <w:tcPr>
            <w:tcW w:type="dxa" w:w="2074"/>
            <w:vAlign w:val="center"/>
            <w:shd w:fill="1F4E78"/>
          </w:tcPr>
          <w:p>
            <w:r/>
            <w:r>
              <w:rPr>
                <w:b/>
                <w:color w:val="FFFFFF"/>
                <w:sz w:val="17"/>
              </w:rPr>
              <w:t>Scale / month</w:t>
            </w:r>
          </w:p>
        </w:tc>
        <w:tc>
          <w:tcPr>
            <w:tcW w:type="dxa" w:w="2074"/>
            <w:vAlign w:val="center"/>
            <w:shd w:fill="1F4E78"/>
          </w:tcPr>
          <w:p>
            <w:r/>
            <w:r>
              <w:rPr>
                <w:b/>
                <w:color w:val="FFFFFF"/>
                <w:sz w:val="17"/>
              </w:rPr>
              <w:t>Suggested control</w:t>
            </w:r>
          </w:p>
        </w:tc>
      </w:tr>
      <w:tr>
        <w:tc>
          <w:tcPr>
            <w:tcW w:type="dxa" w:w="2074"/>
            <w:vAlign w:val="center"/>
          </w:tcPr>
          <w:p>
            <w:r/>
            <w:r>
              <w:rPr>
                <w:b w:val="0"/>
                <w:sz w:val="17"/>
              </w:rPr>
              <w:t>LeadOS</w:t>
            </w:r>
          </w:p>
        </w:tc>
        <w:tc>
          <w:tcPr>
            <w:tcW w:type="dxa" w:w="2074"/>
            <w:vAlign w:val="center"/>
          </w:tcPr>
          <w:p>
            <w:r/>
            <w:r>
              <w:rPr>
                <w:b w:val="0"/>
                <w:sz w:val="17"/>
              </w:rPr>
              <w:t>₹7,999</w:t>
            </w:r>
          </w:p>
        </w:tc>
        <w:tc>
          <w:tcPr>
            <w:tcW w:type="dxa" w:w="2074"/>
            <w:vAlign w:val="center"/>
          </w:tcPr>
          <w:p>
            <w:r/>
            <w:r>
              <w:rPr>
                <w:b w:val="0"/>
                <w:sz w:val="17"/>
              </w:rPr>
              <w:t>₹14,999</w:t>
            </w:r>
          </w:p>
        </w:tc>
        <w:tc>
          <w:tcPr>
            <w:tcW w:type="dxa" w:w="2074"/>
            <w:vAlign w:val="center"/>
          </w:tcPr>
          <w:p>
            <w:r/>
            <w:r>
              <w:rPr>
                <w:b w:val="0"/>
                <w:sz w:val="17"/>
              </w:rPr>
              <w:t>₹29,999</w:t>
            </w:r>
          </w:p>
        </w:tc>
        <w:tc>
          <w:tcPr>
            <w:tcW w:type="dxa" w:w="2074"/>
            <w:vAlign w:val="center"/>
          </w:tcPr>
          <w:p>
            <w:r/>
            <w:r>
              <w:rPr>
                <w:b w:val="0"/>
                <w:sz w:val="17"/>
              </w:rPr>
              <w:t>Leads, users, messages, campaigns, AI usage</w:t>
            </w:r>
          </w:p>
        </w:tc>
      </w:tr>
      <w:tr>
        <w:tc>
          <w:tcPr>
            <w:tcW w:type="dxa" w:w="2074"/>
            <w:vAlign w:val="center"/>
            <w:shd w:fill="EAF2F8"/>
          </w:tcPr>
          <w:p>
            <w:r/>
            <w:r>
              <w:rPr>
                <w:b w:val="0"/>
                <w:sz w:val="17"/>
              </w:rPr>
              <w:t>AllianceOS</w:t>
            </w:r>
          </w:p>
        </w:tc>
        <w:tc>
          <w:tcPr>
            <w:tcW w:type="dxa" w:w="2074"/>
            <w:vAlign w:val="center"/>
            <w:shd w:fill="EAF2F8"/>
          </w:tcPr>
          <w:p>
            <w:r/>
            <w:r>
              <w:rPr>
                <w:b w:val="0"/>
                <w:sz w:val="17"/>
              </w:rPr>
              <w:t>₹9,999</w:t>
            </w:r>
          </w:p>
        </w:tc>
        <w:tc>
          <w:tcPr>
            <w:tcW w:type="dxa" w:w="2074"/>
            <w:vAlign w:val="center"/>
            <w:shd w:fill="EAF2F8"/>
          </w:tcPr>
          <w:p>
            <w:r/>
            <w:r>
              <w:rPr>
                <w:b w:val="0"/>
                <w:sz w:val="17"/>
              </w:rPr>
              <w:t>₹17,999</w:t>
            </w:r>
          </w:p>
        </w:tc>
        <w:tc>
          <w:tcPr>
            <w:tcW w:type="dxa" w:w="2074"/>
            <w:vAlign w:val="center"/>
            <w:shd w:fill="EAF2F8"/>
          </w:tcPr>
          <w:p>
            <w:r/>
            <w:r>
              <w:rPr>
                <w:b w:val="0"/>
                <w:sz w:val="17"/>
              </w:rPr>
              <w:t>₹34,999</w:t>
            </w:r>
          </w:p>
        </w:tc>
        <w:tc>
          <w:tcPr>
            <w:tcW w:type="dxa" w:w="2074"/>
            <w:vAlign w:val="center"/>
            <w:shd w:fill="EAF2F8"/>
          </w:tcPr>
          <w:p>
            <w:r/>
            <w:r>
              <w:rPr>
                <w:b w:val="0"/>
                <w:sz w:val="17"/>
              </w:rPr>
              <w:t>Prospects, senders, emails/WhatsApp, campaigns, AI usage</w:t>
            </w:r>
          </w:p>
        </w:tc>
      </w:tr>
      <w:tr>
        <w:tc>
          <w:tcPr>
            <w:tcW w:type="dxa" w:w="2074"/>
            <w:vAlign w:val="center"/>
          </w:tcPr>
          <w:p>
            <w:r/>
            <w:r>
              <w:rPr>
                <w:b w:val="0"/>
                <w:sz w:val="17"/>
              </w:rPr>
              <w:t>Growth Suite</w:t>
            </w:r>
          </w:p>
        </w:tc>
        <w:tc>
          <w:tcPr>
            <w:tcW w:type="dxa" w:w="2074"/>
            <w:vAlign w:val="center"/>
          </w:tcPr>
          <w:p>
            <w:r/>
            <w:r>
              <w:rPr>
                <w:b w:val="0"/>
                <w:sz w:val="17"/>
              </w:rPr>
              <w:t>₹14,999</w:t>
            </w:r>
          </w:p>
        </w:tc>
        <w:tc>
          <w:tcPr>
            <w:tcW w:type="dxa" w:w="2074"/>
            <w:vAlign w:val="center"/>
          </w:tcPr>
          <w:p>
            <w:r/>
            <w:r>
              <w:rPr>
                <w:b w:val="0"/>
                <w:sz w:val="17"/>
              </w:rPr>
              <w:t>₹27,999</w:t>
            </w:r>
          </w:p>
        </w:tc>
        <w:tc>
          <w:tcPr>
            <w:tcW w:type="dxa" w:w="2074"/>
            <w:vAlign w:val="center"/>
          </w:tcPr>
          <w:p>
            <w:r/>
            <w:r>
              <w:rPr>
                <w:b w:val="0"/>
                <w:sz w:val="17"/>
              </w:rPr>
              <w:t>₹54,999</w:t>
            </w:r>
          </w:p>
        </w:tc>
        <w:tc>
          <w:tcPr>
            <w:tcW w:type="dxa" w:w="2074"/>
            <w:vAlign w:val="center"/>
          </w:tcPr>
          <w:p>
            <w:r/>
            <w:r>
              <w:rPr>
                <w:b w:val="0"/>
                <w:sz w:val="17"/>
              </w:rPr>
              <w:t>Combined limits; 10–20% bundle advantage</w:t>
            </w:r>
          </w:p>
        </w:tc>
      </w:tr>
      <w:tr>
        <w:tc>
          <w:tcPr>
            <w:tcW w:type="dxa" w:w="2074"/>
            <w:vAlign w:val="center"/>
            <w:shd w:fill="EAF2F8"/>
          </w:tcPr>
          <w:p>
            <w:r/>
            <w:r>
              <w:rPr>
                <w:b w:val="0"/>
                <w:sz w:val="17"/>
              </w:rPr>
              <w:t>Enterprise</w:t>
            </w:r>
          </w:p>
        </w:tc>
        <w:tc>
          <w:tcPr>
            <w:tcW w:type="dxa" w:w="2074"/>
            <w:vAlign w:val="center"/>
            <w:shd w:fill="EAF2F8"/>
          </w:tcPr>
          <w:p>
            <w:r/>
            <w:r>
              <w:rPr>
                <w:b w:val="0"/>
                <w:sz w:val="17"/>
              </w:rPr>
              <w:t>Custom</w:t>
            </w:r>
          </w:p>
        </w:tc>
        <w:tc>
          <w:tcPr>
            <w:tcW w:type="dxa" w:w="2074"/>
            <w:vAlign w:val="center"/>
            <w:shd w:fill="EAF2F8"/>
          </w:tcPr>
          <w:p>
            <w:r/>
            <w:r>
              <w:rPr>
                <w:b w:val="0"/>
                <w:sz w:val="17"/>
              </w:rPr>
              <w:t>Custom</w:t>
            </w:r>
          </w:p>
        </w:tc>
        <w:tc>
          <w:tcPr>
            <w:tcW w:type="dxa" w:w="2074"/>
            <w:vAlign w:val="center"/>
            <w:shd w:fill="EAF2F8"/>
          </w:tcPr>
          <w:p>
            <w:r/>
            <w:r>
              <w:rPr>
                <w:b w:val="0"/>
                <w:sz w:val="17"/>
              </w:rPr>
              <w:t>Custom</w:t>
            </w:r>
          </w:p>
        </w:tc>
        <w:tc>
          <w:tcPr>
            <w:tcW w:type="dxa" w:w="2074"/>
            <w:vAlign w:val="center"/>
            <w:shd w:fill="EAF2F8"/>
          </w:tcPr>
          <w:p>
            <w:r/>
            <w:r>
              <w:rPr>
                <w:b w:val="0"/>
                <w:sz w:val="17"/>
              </w:rPr>
              <w:t>Minimum commitment + SLA + overages</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F4E78"/>
          </w:tcPr>
          <w:p>
            <w:r/>
            <w:r>
              <w:rPr>
                <w:b/>
                <w:color w:val="FFFFFF"/>
                <w:sz w:val="17"/>
              </w:rPr>
              <w:t>Term</w:t>
            </w:r>
          </w:p>
        </w:tc>
        <w:tc>
          <w:tcPr>
            <w:tcW w:type="dxa" w:w="2592"/>
            <w:vAlign w:val="center"/>
            <w:shd w:fill="1F4E78"/>
          </w:tcPr>
          <w:p>
            <w:r/>
            <w:r>
              <w:rPr>
                <w:b/>
                <w:color w:val="FFFFFF"/>
                <w:sz w:val="17"/>
              </w:rPr>
              <w:t>Pricing formula</w:t>
            </w:r>
          </w:p>
        </w:tc>
        <w:tc>
          <w:tcPr>
            <w:tcW w:type="dxa" w:w="2592"/>
            <w:vAlign w:val="center"/>
            <w:shd w:fill="1F4E78"/>
          </w:tcPr>
          <w:p>
            <w:r/>
            <w:r>
              <w:rPr>
                <w:b/>
                <w:color w:val="FFFFFF"/>
                <w:sz w:val="17"/>
              </w:rPr>
              <w:t>Example on ₹14,999 monthly</w:t>
            </w:r>
          </w:p>
        </w:tc>
        <w:tc>
          <w:tcPr>
            <w:tcW w:type="dxa" w:w="2592"/>
            <w:vAlign w:val="center"/>
            <w:shd w:fill="1F4E78"/>
          </w:tcPr>
          <w:p>
            <w:r/>
            <w:r>
              <w:rPr>
                <w:b/>
                <w:color w:val="FFFFFF"/>
                <w:sz w:val="17"/>
              </w:rPr>
              <w:t>Renewal behavior</w:t>
            </w:r>
          </w:p>
        </w:tc>
      </w:tr>
      <w:tr>
        <w:tc>
          <w:tcPr>
            <w:tcW w:type="dxa" w:w="2592"/>
            <w:vAlign w:val="center"/>
          </w:tcPr>
          <w:p>
            <w:r/>
            <w:r>
              <w:rPr>
                <w:b w:val="0"/>
                <w:sz w:val="17"/>
              </w:rPr>
              <w:t>1 month</w:t>
            </w:r>
          </w:p>
        </w:tc>
        <w:tc>
          <w:tcPr>
            <w:tcW w:type="dxa" w:w="2592"/>
            <w:vAlign w:val="center"/>
          </w:tcPr>
          <w:p>
            <w:r/>
            <w:r>
              <w:rPr>
                <w:b w:val="0"/>
                <w:sz w:val="17"/>
              </w:rPr>
              <w:t>Monthly price × 1</w:t>
            </w:r>
          </w:p>
        </w:tc>
        <w:tc>
          <w:tcPr>
            <w:tcW w:type="dxa" w:w="2592"/>
            <w:vAlign w:val="center"/>
          </w:tcPr>
          <w:p>
            <w:r/>
            <w:r>
              <w:rPr>
                <w:b w:val="0"/>
                <w:sz w:val="17"/>
              </w:rPr>
              <w:t>₹14,999</w:t>
            </w:r>
          </w:p>
        </w:tc>
        <w:tc>
          <w:tcPr>
            <w:tcW w:type="dxa" w:w="2592"/>
            <w:vAlign w:val="center"/>
          </w:tcPr>
          <w:p>
            <w:r/>
            <w:r>
              <w:rPr>
                <w:b w:val="0"/>
                <w:sz w:val="17"/>
              </w:rPr>
              <w:t>Auto-renew online or manual renewal</w:t>
            </w:r>
          </w:p>
        </w:tc>
      </w:tr>
      <w:tr>
        <w:tc>
          <w:tcPr>
            <w:tcW w:type="dxa" w:w="2592"/>
            <w:vAlign w:val="center"/>
            <w:shd w:fill="EAF2F8"/>
          </w:tcPr>
          <w:p>
            <w:r/>
            <w:r>
              <w:rPr>
                <w:b w:val="0"/>
                <w:sz w:val="17"/>
              </w:rPr>
              <w:t>3 months</w:t>
            </w:r>
          </w:p>
        </w:tc>
        <w:tc>
          <w:tcPr>
            <w:tcW w:type="dxa" w:w="2592"/>
            <w:vAlign w:val="center"/>
            <w:shd w:fill="EAF2F8"/>
          </w:tcPr>
          <w:p>
            <w:r/>
            <w:r>
              <w:rPr>
                <w:b w:val="0"/>
                <w:sz w:val="17"/>
              </w:rPr>
              <w:t>Monthly price × 3 less 5%</w:t>
            </w:r>
          </w:p>
        </w:tc>
        <w:tc>
          <w:tcPr>
            <w:tcW w:type="dxa" w:w="2592"/>
            <w:vAlign w:val="center"/>
            <w:shd w:fill="EAF2F8"/>
          </w:tcPr>
          <w:p>
            <w:r/>
            <w:r>
              <w:rPr>
                <w:b w:val="0"/>
                <w:sz w:val="17"/>
              </w:rPr>
              <w:t>₹42,747 (rounded)</w:t>
            </w:r>
          </w:p>
        </w:tc>
        <w:tc>
          <w:tcPr>
            <w:tcW w:type="dxa" w:w="2592"/>
            <w:vAlign w:val="center"/>
            <w:shd w:fill="EAF2F8"/>
          </w:tcPr>
          <w:p>
            <w:r/>
            <w:r>
              <w:rPr>
                <w:b w:val="0"/>
                <w:sz w:val="17"/>
              </w:rPr>
              <w:t>Renew every 3 months</w:t>
            </w:r>
          </w:p>
        </w:tc>
      </w:tr>
      <w:tr>
        <w:tc>
          <w:tcPr>
            <w:tcW w:type="dxa" w:w="2592"/>
            <w:vAlign w:val="center"/>
          </w:tcPr>
          <w:p>
            <w:r/>
            <w:r>
              <w:rPr>
                <w:b w:val="0"/>
                <w:sz w:val="17"/>
              </w:rPr>
              <w:t>1 year</w:t>
            </w:r>
          </w:p>
        </w:tc>
        <w:tc>
          <w:tcPr>
            <w:tcW w:type="dxa" w:w="2592"/>
            <w:vAlign w:val="center"/>
          </w:tcPr>
          <w:p>
            <w:r/>
            <w:r>
              <w:rPr>
                <w:b w:val="0"/>
                <w:sz w:val="17"/>
              </w:rPr>
              <w:t>Monthly price × 12 less 15%</w:t>
            </w:r>
          </w:p>
        </w:tc>
        <w:tc>
          <w:tcPr>
            <w:tcW w:type="dxa" w:w="2592"/>
            <w:vAlign w:val="center"/>
          </w:tcPr>
          <w:p>
            <w:r/>
            <w:r>
              <w:rPr>
                <w:b w:val="0"/>
                <w:sz w:val="17"/>
              </w:rPr>
              <w:t>₹152,990 (rounded)</w:t>
            </w:r>
          </w:p>
        </w:tc>
        <w:tc>
          <w:tcPr>
            <w:tcW w:type="dxa" w:w="2592"/>
            <w:vAlign w:val="center"/>
          </w:tcPr>
          <w:p>
            <w:r/>
            <w:r>
              <w:rPr>
                <w:b w:val="0"/>
                <w:sz w:val="17"/>
              </w:rPr>
              <w:t>Annual advance; recommended value plan</w:t>
            </w:r>
          </w:p>
        </w:tc>
      </w:tr>
      <w:tr>
        <w:tc>
          <w:tcPr>
            <w:tcW w:type="dxa" w:w="2592"/>
            <w:vAlign w:val="center"/>
            <w:shd w:fill="EAF2F8"/>
          </w:tcPr>
          <w:p>
            <w:r/>
            <w:r>
              <w:rPr>
                <w:b w:val="0"/>
                <w:sz w:val="17"/>
              </w:rPr>
              <w:t>2 years</w:t>
            </w:r>
          </w:p>
        </w:tc>
        <w:tc>
          <w:tcPr>
            <w:tcW w:type="dxa" w:w="2592"/>
            <w:vAlign w:val="center"/>
            <w:shd w:fill="EAF2F8"/>
          </w:tcPr>
          <w:p>
            <w:r/>
            <w:r>
              <w:rPr>
                <w:b w:val="0"/>
                <w:sz w:val="17"/>
              </w:rPr>
              <w:t>Monthly price × 24 less 20%</w:t>
            </w:r>
          </w:p>
        </w:tc>
        <w:tc>
          <w:tcPr>
            <w:tcW w:type="dxa" w:w="2592"/>
            <w:vAlign w:val="center"/>
            <w:shd w:fill="EAF2F8"/>
          </w:tcPr>
          <w:p>
            <w:r/>
            <w:r>
              <w:rPr>
                <w:b w:val="0"/>
                <w:sz w:val="17"/>
              </w:rPr>
              <w:t>₹287,981 (rounded)</w:t>
            </w:r>
          </w:p>
        </w:tc>
        <w:tc>
          <w:tcPr>
            <w:tcW w:type="dxa" w:w="2592"/>
            <w:vAlign w:val="center"/>
            <w:shd w:fill="EAF2F8"/>
          </w:tcPr>
          <w:p>
            <w:r/>
            <w:r>
              <w:rPr>
                <w:b w:val="0"/>
                <w:sz w:val="17"/>
              </w:rPr>
              <w:t>Use only with price-rise, SLA and exit clauses</w:t>
            </w:r>
          </w:p>
        </w:tc>
      </w:tr>
      <w:tr>
        <w:tc>
          <w:tcPr>
            <w:tcW w:type="dxa" w:w="2592"/>
            <w:vAlign w:val="center"/>
          </w:tcPr>
          <w:p>
            <w:r/>
            <w:r>
              <w:rPr>
                <w:b w:val="0"/>
                <w:sz w:val="17"/>
              </w:rPr>
              <w:t>Custom</w:t>
            </w:r>
          </w:p>
        </w:tc>
        <w:tc>
          <w:tcPr>
            <w:tcW w:type="dxa" w:w="2592"/>
            <w:vAlign w:val="center"/>
          </w:tcPr>
          <w:p>
            <w:r/>
            <w:r>
              <w:rPr>
                <w:b w:val="0"/>
                <w:sz w:val="17"/>
              </w:rPr>
              <w:t>Selected dates / seats / usage / services</w:t>
            </w:r>
          </w:p>
        </w:tc>
        <w:tc>
          <w:tcPr>
            <w:tcW w:type="dxa" w:w="2592"/>
            <w:vAlign w:val="center"/>
          </w:tcPr>
          <w:p>
            <w:r/>
            <w:r>
              <w:rPr>
                <w:b w:val="0"/>
                <w:sz w:val="17"/>
              </w:rPr>
              <w:t>Quotation</w:t>
            </w:r>
          </w:p>
        </w:tc>
        <w:tc>
          <w:tcPr>
            <w:tcW w:type="dxa" w:w="2592"/>
            <w:vAlign w:val="center"/>
          </w:tcPr>
          <w:p>
            <w:r/>
            <w:r>
              <w:rPr>
                <w:b w:val="0"/>
                <w:sz w:val="17"/>
              </w:rPr>
              <w:t>Manual approval; optional milestone billing</w:t>
            </w:r>
          </w:p>
        </w:tc>
      </w:tr>
    </w:tbl>
    <w:p/>
    <w:p>
      <w:pPr>
        <w:pStyle w:val="ListBullet"/>
      </w:pPr>
      <w:r>
        <w:t>Optional one-time setup fee: ₹5,000–₹25,000 based on migration, Meta/email setup, training and workflow customization.</w:t>
      </w:r>
    </w:p>
    <w:p>
      <w:pPr>
        <w:pStyle w:val="ListBullet"/>
      </w:pPr>
      <w:r>
        <w:t>Choose whether prices are GST-inclusive or GST-exclusive and show this consistently on pricing, checkout, invoice and renewal notices.</w:t>
      </w:r>
    </w:p>
    <w:p>
      <w:pPr>
        <w:pStyle w:val="ListBullet"/>
      </w:pPr>
      <w:r>
        <w:t>Do not promise unlimited WhatsApp, email, AI or storage usage unless a written fair-use and overage policy exists.</w:t>
      </w:r>
    </w:p>
    <w:p>
      <w:pPr>
        <w:pStyle w:val="Heading1"/>
      </w:pPr>
      <w:r>
        <w:t>4. Payment modes and controls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F4E78"/>
          </w:tcPr>
          <w:p>
            <w:r/>
            <w:r>
              <w:rPr>
                <w:b/>
                <w:color w:val="FFFFFF"/>
                <w:sz w:val="17"/>
              </w:rPr>
              <w:t>Mode</w:t>
            </w:r>
          </w:p>
        </w:tc>
        <w:tc>
          <w:tcPr>
            <w:tcW w:type="dxa" w:w="2592"/>
            <w:vAlign w:val="center"/>
            <w:shd w:fill="1F4E78"/>
          </w:tcPr>
          <w:p>
            <w:r/>
            <w:r>
              <w:rPr>
                <w:b/>
                <w:color w:val="FFFFFF"/>
                <w:sz w:val="17"/>
              </w:rPr>
              <w:t>Customer experience</w:t>
            </w:r>
          </w:p>
        </w:tc>
        <w:tc>
          <w:tcPr>
            <w:tcW w:type="dxa" w:w="2592"/>
            <w:vAlign w:val="center"/>
            <w:shd w:fill="1F4E78"/>
          </w:tcPr>
          <w:p>
            <w:r/>
            <w:r>
              <w:rPr>
                <w:b/>
                <w:color w:val="FFFFFF"/>
                <w:sz w:val="17"/>
              </w:rPr>
              <w:t>Back-office control</w:t>
            </w:r>
          </w:p>
        </w:tc>
        <w:tc>
          <w:tcPr>
            <w:tcW w:type="dxa" w:w="2592"/>
            <w:vAlign w:val="center"/>
            <w:shd w:fill="1F4E78"/>
          </w:tcPr>
          <w:p>
            <w:r/>
            <w:r>
              <w:rPr>
                <w:b/>
                <w:color w:val="FFFFFF"/>
                <w:sz w:val="17"/>
              </w:rPr>
              <w:t>Recommended status flow</w:t>
            </w:r>
          </w:p>
        </w:tc>
      </w:tr>
      <w:tr>
        <w:tc>
          <w:tcPr>
            <w:tcW w:type="dxa" w:w="2592"/>
            <w:vAlign w:val="center"/>
          </w:tcPr>
          <w:p>
            <w:r/>
            <w:r>
              <w:rPr>
                <w:b w:val="0"/>
                <w:sz w:val="17"/>
              </w:rPr>
              <w:t>Online one-time</w:t>
            </w:r>
          </w:p>
        </w:tc>
        <w:tc>
          <w:tcPr>
            <w:tcW w:type="dxa" w:w="2592"/>
            <w:vAlign w:val="center"/>
          </w:tcPr>
          <w:p>
            <w:r/>
            <w:r>
              <w:rPr>
                <w:b w:val="0"/>
                <w:sz w:val="17"/>
              </w:rPr>
              <w:t>Checkout/payment link via Razorpay: UPI, card, net banking and supported methods</w:t>
            </w:r>
          </w:p>
        </w:tc>
        <w:tc>
          <w:tcPr>
            <w:tcW w:type="dxa" w:w="2592"/>
            <w:vAlign w:val="center"/>
          </w:tcPr>
          <w:p>
            <w:r/>
            <w:r>
              <w:rPr>
                <w:b w:val="0"/>
                <w:sz w:val="17"/>
              </w:rPr>
              <w:t>Verify signature/webhook; create payment and invoice record</w:t>
            </w:r>
          </w:p>
        </w:tc>
        <w:tc>
          <w:tcPr>
            <w:tcW w:type="dxa" w:w="2592"/>
            <w:vAlign w:val="center"/>
          </w:tcPr>
          <w:p>
            <w:r/>
            <w:r>
              <w:rPr>
                <w:b w:val="0"/>
                <w:sz w:val="17"/>
              </w:rPr>
              <w:t>pending → paid → provisioning → active</w:t>
            </w:r>
          </w:p>
        </w:tc>
      </w:tr>
      <w:tr>
        <w:tc>
          <w:tcPr>
            <w:tcW w:type="dxa" w:w="2592"/>
            <w:vAlign w:val="center"/>
            <w:shd w:fill="EAF2F8"/>
          </w:tcPr>
          <w:p>
            <w:r/>
            <w:r>
              <w:rPr>
                <w:b w:val="0"/>
                <w:sz w:val="17"/>
              </w:rPr>
              <w:t>Online recurring</w:t>
            </w:r>
          </w:p>
        </w:tc>
        <w:tc>
          <w:tcPr>
            <w:tcW w:type="dxa" w:w="2592"/>
            <w:vAlign w:val="center"/>
            <w:shd w:fill="EAF2F8"/>
          </w:tcPr>
          <w:p>
            <w:r/>
            <w:r>
              <w:rPr>
                <w:b w:val="0"/>
                <w:sz w:val="17"/>
              </w:rPr>
              <w:t>Razorpay subscription/mandate with consent</w:t>
            </w:r>
          </w:p>
        </w:tc>
        <w:tc>
          <w:tcPr>
            <w:tcW w:type="dxa" w:w="2592"/>
            <w:vAlign w:val="center"/>
            <w:shd w:fill="EAF2F8"/>
          </w:tcPr>
          <w:p>
            <w:r/>
            <w:r>
              <w:rPr>
                <w:b w:val="0"/>
                <w:sz w:val="17"/>
              </w:rPr>
              <w:t>Store provider customer/subscription IDs; process renewal/failure webhooks</w:t>
            </w:r>
          </w:p>
        </w:tc>
        <w:tc>
          <w:tcPr>
            <w:tcW w:type="dxa" w:w="2592"/>
            <w:vAlign w:val="center"/>
            <w:shd w:fill="EAF2F8"/>
          </w:tcPr>
          <w:p>
            <w:r/>
            <w:r>
              <w:rPr>
                <w:b w:val="0"/>
                <w:sz w:val="17"/>
              </w:rPr>
              <w:t>trialing/active → past_due → suspended/cancelled</w:t>
            </w:r>
          </w:p>
        </w:tc>
      </w:tr>
      <w:tr>
        <w:tc>
          <w:tcPr>
            <w:tcW w:type="dxa" w:w="2592"/>
            <w:vAlign w:val="center"/>
          </w:tcPr>
          <w:p>
            <w:r/>
            <w:r>
              <w:rPr>
                <w:b w:val="0"/>
                <w:sz w:val="17"/>
              </w:rPr>
              <w:t>Offline bank/UPI</w:t>
            </w:r>
          </w:p>
        </w:tc>
        <w:tc>
          <w:tcPr>
            <w:tcW w:type="dxa" w:w="2592"/>
            <w:vAlign w:val="center"/>
          </w:tcPr>
          <w:p>
            <w:r/>
            <w:r>
              <w:rPr>
                <w:b w:val="0"/>
                <w:sz w:val="17"/>
              </w:rPr>
              <w:t>Customer receives quotation/invoice and pays by transfer</w:t>
            </w:r>
          </w:p>
        </w:tc>
        <w:tc>
          <w:tcPr>
            <w:tcW w:type="dxa" w:w="2592"/>
            <w:vAlign w:val="center"/>
          </w:tcPr>
          <w:p>
            <w:r/>
            <w:r>
              <w:rPr>
                <w:b w:val="0"/>
                <w:sz w:val="17"/>
              </w:rPr>
              <w:t>Staff records reference, date, amount and proof; finance approves</w:t>
            </w:r>
          </w:p>
        </w:tc>
        <w:tc>
          <w:tcPr>
            <w:tcW w:type="dxa" w:w="2592"/>
            <w:vAlign w:val="center"/>
          </w:tcPr>
          <w:p>
            <w:r/>
            <w:r>
              <w:rPr>
                <w:b w:val="0"/>
                <w:sz w:val="17"/>
              </w:rPr>
              <w:t>awaiting_verification → paid → provisioning → active</w:t>
            </w:r>
          </w:p>
        </w:tc>
      </w:tr>
      <w:tr>
        <w:tc>
          <w:tcPr>
            <w:tcW w:type="dxa" w:w="2592"/>
            <w:vAlign w:val="center"/>
            <w:shd w:fill="EAF2F8"/>
          </w:tcPr>
          <w:p>
            <w:r/>
            <w:r>
              <w:rPr>
                <w:b w:val="0"/>
                <w:sz w:val="17"/>
              </w:rPr>
              <w:t>Cheque/cash</w:t>
            </w:r>
          </w:p>
        </w:tc>
        <w:tc>
          <w:tcPr>
            <w:tcW w:type="dxa" w:w="2592"/>
            <w:vAlign w:val="center"/>
            <w:shd w:fill="EAF2F8"/>
          </w:tcPr>
          <w:p>
            <w:r/>
            <w:r>
              <w:rPr>
                <w:b w:val="0"/>
                <w:sz w:val="17"/>
              </w:rPr>
              <w:t>Available only if business policy permits</w:t>
            </w:r>
          </w:p>
        </w:tc>
        <w:tc>
          <w:tcPr>
            <w:tcW w:type="dxa" w:w="2592"/>
            <w:vAlign w:val="center"/>
            <w:shd w:fill="EAF2F8"/>
          </w:tcPr>
          <w:p>
            <w:r/>
            <w:r>
              <w:rPr>
                <w:b w:val="0"/>
                <w:sz w:val="17"/>
              </w:rPr>
              <w:t>Receipt number, collector, deposit/clearance and approval audit</w:t>
            </w:r>
          </w:p>
        </w:tc>
        <w:tc>
          <w:tcPr>
            <w:tcW w:type="dxa" w:w="2592"/>
            <w:vAlign w:val="center"/>
            <w:shd w:fill="EAF2F8"/>
          </w:tcPr>
          <w:p>
            <w:r/>
            <w:r>
              <w:rPr>
                <w:b w:val="0"/>
                <w:sz w:val="17"/>
              </w:rPr>
              <w:t>received → cleared → paid; never activate before clearance</w:t>
            </w:r>
          </w:p>
        </w:tc>
      </w:tr>
      <w:tr>
        <w:tc>
          <w:tcPr>
            <w:tcW w:type="dxa" w:w="2592"/>
            <w:vAlign w:val="center"/>
          </w:tcPr>
          <w:p>
            <w:r/>
            <w:r>
              <w:rPr>
                <w:b w:val="0"/>
                <w:sz w:val="17"/>
              </w:rPr>
              <w:t>Custom milestones</w:t>
            </w:r>
          </w:p>
        </w:tc>
        <w:tc>
          <w:tcPr>
            <w:tcW w:type="dxa" w:w="2592"/>
            <w:vAlign w:val="center"/>
          </w:tcPr>
          <w:p>
            <w:r/>
            <w:r>
              <w:rPr>
                <w:b w:val="0"/>
                <w:sz w:val="17"/>
              </w:rPr>
              <w:t>Deposit plus scheduled installments</w:t>
            </w:r>
          </w:p>
        </w:tc>
        <w:tc>
          <w:tcPr>
            <w:tcW w:type="dxa" w:w="2592"/>
            <w:vAlign w:val="center"/>
          </w:tcPr>
          <w:p>
            <w:r/>
            <w:r>
              <w:rPr>
                <w:b w:val="0"/>
                <w:sz w:val="17"/>
              </w:rPr>
              <w:t>Order form defines entitlement and suspension rules</w:t>
            </w:r>
          </w:p>
        </w:tc>
        <w:tc>
          <w:tcPr>
            <w:tcW w:type="dxa" w:w="2592"/>
            <w:vAlign w:val="center"/>
          </w:tcPr>
          <w:p>
            <w:r/>
            <w:r>
              <w:rPr>
                <w:b w:val="0"/>
                <w:sz w:val="17"/>
              </w:rPr>
              <w:t>partially_paid → active/restricted according to contract</w:t>
            </w:r>
          </w:p>
        </w:tc>
      </w:tr>
    </w:tbl>
    <w:p/>
    <w:p>
      <w:r>
        <w:t>Required safeguards: idempotent webhooks, signature verification, unique provider transaction ID, immutable audit log, reconciliation report, refund/credit-note workflow, invoice numbering, failed-payment retry, grace period, and maker-checker approval for offline entries.</w:t>
      </w:r>
    </w:p>
    <w:p>
      <w:pPr>
        <w:pStyle w:val="Heading1"/>
      </w:pPr>
      <w:r>
        <w:t>5. Client onboarding models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F4E78"/>
          </w:tcPr>
          <w:p>
            <w:r/>
            <w:r>
              <w:rPr>
                <w:b/>
                <w:color w:val="FFFFFF"/>
                <w:sz w:val="17"/>
              </w:rPr>
              <w:t>Model</w:t>
            </w:r>
          </w:p>
        </w:tc>
        <w:tc>
          <w:tcPr>
            <w:tcW w:type="dxa" w:w="2592"/>
            <w:vAlign w:val="center"/>
            <w:shd w:fill="1F4E78"/>
          </w:tcPr>
          <w:p>
            <w:r/>
            <w:r>
              <w:rPr>
                <w:b/>
                <w:color w:val="FFFFFF"/>
                <w:sz w:val="17"/>
              </w:rPr>
              <w:t>Flow</w:t>
            </w:r>
          </w:p>
        </w:tc>
        <w:tc>
          <w:tcPr>
            <w:tcW w:type="dxa" w:w="2592"/>
            <w:vAlign w:val="center"/>
            <w:shd w:fill="1F4E78"/>
          </w:tcPr>
          <w:p>
            <w:r/>
            <w:r>
              <w:rPr>
                <w:b/>
                <w:color w:val="FFFFFF"/>
                <w:sz w:val="17"/>
              </w:rPr>
              <w:t>Advantages</w:t>
            </w:r>
          </w:p>
        </w:tc>
        <w:tc>
          <w:tcPr>
            <w:tcW w:type="dxa" w:w="2592"/>
            <w:vAlign w:val="center"/>
            <w:shd w:fill="1F4E78"/>
          </w:tcPr>
          <w:p>
            <w:r/>
            <w:r>
              <w:rPr>
                <w:b/>
                <w:color w:val="FFFFFF"/>
                <w:sz w:val="17"/>
              </w:rPr>
              <w:t>Risks / controls</w:t>
            </w:r>
          </w:p>
        </w:tc>
      </w:tr>
      <w:tr>
        <w:tc>
          <w:tcPr>
            <w:tcW w:type="dxa" w:w="2592"/>
            <w:vAlign w:val="center"/>
          </w:tcPr>
          <w:p>
            <w:r/>
            <w:r>
              <w:rPr>
                <w:b w:val="0"/>
                <w:sz w:val="17"/>
              </w:rPr>
              <w:t>A — Self-service</w:t>
            </w:r>
          </w:p>
        </w:tc>
        <w:tc>
          <w:tcPr>
            <w:tcW w:type="dxa" w:w="2592"/>
            <w:vAlign w:val="center"/>
          </w:tcPr>
          <w:p>
            <w:r/>
            <w:r>
              <w:rPr>
                <w:b w:val="0"/>
                <w:sz w:val="17"/>
              </w:rPr>
              <w:t>Register → verify email/phone → choose plan → accept terms → pay → create tenant/user → setup wizard</w:t>
            </w:r>
          </w:p>
        </w:tc>
        <w:tc>
          <w:tcPr>
            <w:tcW w:type="dxa" w:w="2592"/>
            <w:vAlign w:val="center"/>
          </w:tcPr>
          <w:p>
            <w:r/>
            <w:r>
              <w:rPr>
                <w:b w:val="0"/>
                <w:sz w:val="17"/>
              </w:rPr>
              <w:t>Fast and scalable</w:t>
            </w:r>
          </w:p>
        </w:tc>
        <w:tc>
          <w:tcPr>
            <w:tcW w:type="dxa" w:w="2592"/>
            <w:vAlign w:val="center"/>
          </w:tcPr>
          <w:p>
            <w:r/>
            <w:r>
              <w:rPr>
                <w:b w:val="0"/>
                <w:sz w:val="17"/>
              </w:rPr>
              <w:t>Requires mature tenant isolation, fraud controls, automated entitlements and support content</w:t>
            </w:r>
          </w:p>
        </w:tc>
      </w:tr>
      <w:tr>
        <w:tc>
          <w:tcPr>
            <w:tcW w:type="dxa" w:w="2592"/>
            <w:vAlign w:val="center"/>
            <w:shd w:fill="EAF2F8"/>
          </w:tcPr>
          <w:p>
            <w:r/>
            <w:r>
              <w:rPr>
                <w:b w:val="0"/>
                <w:sz w:val="17"/>
              </w:rPr>
              <w:t>B — Assisted hybrid (recommended)</w:t>
            </w:r>
          </w:p>
        </w:tc>
        <w:tc>
          <w:tcPr>
            <w:tcW w:type="dxa" w:w="2592"/>
            <w:vAlign w:val="center"/>
            <w:shd w:fill="EAF2F8"/>
          </w:tcPr>
          <w:p>
            <w:r/>
            <w:r>
              <w:rPr>
                <w:b w:val="0"/>
                <w:sz w:val="17"/>
              </w:rPr>
              <w:t>Customer registers/chooses/pays → system creates provisioning case → team verifies integrations → customer sets password → go-live</w:t>
            </w:r>
          </w:p>
        </w:tc>
        <w:tc>
          <w:tcPr>
            <w:tcW w:type="dxa" w:w="2592"/>
            <w:vAlign w:val="center"/>
            <w:shd w:fill="EAF2F8"/>
          </w:tcPr>
          <w:p>
            <w:r/>
            <w:r>
              <w:rPr>
                <w:b w:val="0"/>
                <w:sz w:val="17"/>
              </w:rPr>
              <w:t>Balances automation with Meta/email setup realities</w:t>
            </w:r>
          </w:p>
        </w:tc>
        <w:tc>
          <w:tcPr>
            <w:tcW w:type="dxa" w:w="2592"/>
            <w:vAlign w:val="center"/>
            <w:shd w:fill="EAF2F8"/>
          </w:tcPr>
          <w:p>
            <w:r/>
            <w:r>
              <w:rPr>
                <w:b w:val="0"/>
                <w:sz w:val="17"/>
              </w:rPr>
              <w:t>Define SLA, owner, checklist and reminders so cases do not stall</w:t>
            </w:r>
          </w:p>
        </w:tc>
      </w:tr>
      <w:tr>
        <w:tc>
          <w:tcPr>
            <w:tcW w:type="dxa" w:w="2592"/>
            <w:vAlign w:val="center"/>
          </w:tcPr>
          <w:p>
            <w:r/>
            <w:r>
              <w:rPr>
                <w:b w:val="0"/>
                <w:sz w:val="17"/>
              </w:rPr>
              <w:t>C — Team-created from form</w:t>
            </w:r>
          </w:p>
        </w:tc>
        <w:tc>
          <w:tcPr>
            <w:tcW w:type="dxa" w:w="2592"/>
            <w:vAlign w:val="center"/>
          </w:tcPr>
          <w:p>
            <w:r/>
            <w:r>
              <w:rPr>
                <w:b w:val="0"/>
                <w:sz w:val="17"/>
              </w:rPr>
              <w:t>Customer submits secure form → sales/ops validates → finance records payment → admin creates tenant and sends invite</w:t>
            </w:r>
          </w:p>
        </w:tc>
        <w:tc>
          <w:tcPr>
            <w:tcW w:type="dxa" w:w="2592"/>
            <w:vAlign w:val="center"/>
          </w:tcPr>
          <w:p>
            <w:r/>
            <w:r>
              <w:rPr>
                <w:b w:val="0"/>
                <w:sz w:val="17"/>
              </w:rPr>
              <w:t>Good for early-stage launch and custom contracts</w:t>
            </w:r>
          </w:p>
        </w:tc>
        <w:tc>
          <w:tcPr>
            <w:tcW w:type="dxa" w:w="2592"/>
            <w:vAlign w:val="center"/>
          </w:tcPr>
          <w:p>
            <w:r/>
            <w:r>
              <w:rPr>
                <w:b w:val="0"/>
                <w:sz w:val="17"/>
              </w:rPr>
              <w:t>Manual errors; requires dual checks and audit trail</w:t>
            </w:r>
          </w:p>
        </w:tc>
      </w:tr>
      <w:tr>
        <w:tc>
          <w:tcPr>
            <w:tcW w:type="dxa" w:w="2592"/>
            <w:vAlign w:val="center"/>
            <w:shd w:fill="EAF2F8"/>
          </w:tcPr>
          <w:p>
            <w:r/>
            <w:r>
              <w:rPr>
                <w:b w:val="0"/>
                <w:sz w:val="17"/>
              </w:rPr>
              <w:t>D — Bulk file intake</w:t>
            </w:r>
          </w:p>
        </w:tc>
        <w:tc>
          <w:tcPr>
            <w:tcW w:type="dxa" w:w="2592"/>
            <w:vAlign w:val="center"/>
            <w:shd w:fill="EAF2F8"/>
          </w:tcPr>
          <w:p>
            <w:r/>
            <w:r>
              <w:rPr>
                <w:b w:val="0"/>
                <w:sz w:val="17"/>
              </w:rPr>
              <w:t>Authorized team uploads validated CSV/XLSX template → preview/errors → approve → create accounts → send invites</w:t>
            </w:r>
          </w:p>
        </w:tc>
        <w:tc>
          <w:tcPr>
            <w:tcW w:type="dxa" w:w="2592"/>
            <w:vAlign w:val="center"/>
            <w:shd w:fill="EAF2F8"/>
          </w:tcPr>
          <w:p>
            <w:r/>
            <w:r>
              <w:rPr>
                <w:b w:val="0"/>
                <w:sz w:val="17"/>
              </w:rPr>
              <w:t>Useful for partners or many client users</w:t>
            </w:r>
          </w:p>
        </w:tc>
        <w:tc>
          <w:tcPr>
            <w:tcW w:type="dxa" w:w="2592"/>
            <w:vAlign w:val="center"/>
            <w:shd w:fill="EAF2F8"/>
          </w:tcPr>
          <w:p>
            <w:r/>
            <w:r>
              <w:rPr>
                <w:b w:val="0"/>
                <w:sz w:val="17"/>
              </w:rPr>
              <w:t>Never accept passwords/secrets in file; provide row-level error report and rollback</w:t>
            </w:r>
          </w:p>
        </w:tc>
      </w:tr>
      <w:tr>
        <w:tc>
          <w:tcPr>
            <w:tcW w:type="dxa" w:w="2592"/>
            <w:vAlign w:val="center"/>
          </w:tcPr>
          <w:p>
            <w:r/>
            <w:r>
              <w:rPr>
                <w:b w:val="0"/>
                <w:sz w:val="17"/>
              </w:rPr>
              <w:t>E — Dedicated deployment</w:t>
            </w:r>
          </w:p>
        </w:tc>
        <w:tc>
          <w:tcPr>
            <w:tcW w:type="dxa" w:w="2592"/>
            <w:vAlign w:val="center"/>
          </w:tcPr>
          <w:p>
            <w:r/>
            <w:r>
              <w:rPr>
                <w:b w:val="0"/>
                <w:sz w:val="17"/>
              </w:rPr>
              <w:t>Separate environment/database and managed setup</w:t>
            </w:r>
          </w:p>
        </w:tc>
        <w:tc>
          <w:tcPr>
            <w:tcW w:type="dxa" w:w="2592"/>
            <w:vAlign w:val="center"/>
          </w:tcPr>
          <w:p>
            <w:r/>
            <w:r>
              <w:rPr>
                <w:b w:val="0"/>
                <w:sz w:val="17"/>
              </w:rPr>
              <w:t>Strong isolation and customization</w:t>
            </w:r>
          </w:p>
        </w:tc>
        <w:tc>
          <w:tcPr>
            <w:tcW w:type="dxa" w:w="2592"/>
            <w:vAlign w:val="center"/>
          </w:tcPr>
          <w:p>
            <w:r/>
            <w:r>
              <w:rPr>
                <w:b w:val="0"/>
                <w:sz w:val="17"/>
              </w:rPr>
              <w:t>Highest infrastructure, release and support cost</w:t>
            </w:r>
          </w:p>
        </w:tc>
      </w:tr>
    </w:tbl>
    <w:p/>
    <w:p>
      <w:pPr>
        <w:pStyle w:val="Heading1"/>
      </w:pPr>
      <w:r>
        <w:t>6. Recommended end-to-end onboarding workflow</w:t>
      </w:r>
    </w:p>
    <w:p>
      <w:pPr>
        <w:pStyle w:val="ListNumber"/>
      </w:pPr>
      <w:r>
        <w:t>Customer opens public product/pricing page and selects LeadOS, AllianceOS, Growth Suite, or Request Custom Quote.</w:t>
      </w:r>
    </w:p>
    <w:p>
      <w:pPr>
        <w:pStyle w:val="ListNumber"/>
      </w:pPr>
      <w:r>
        <w:t>Customer registers owner name, business/legal name, email, mobile, country, GST details (if applicable), expected usage and consent. Email/phone is verified.</w:t>
      </w:r>
    </w:p>
    <w:p>
      <w:pPr>
        <w:pStyle w:val="ListNumber"/>
      </w:pPr>
      <w:r>
        <w:t>System creates a prospect/application record—not an active tenant—and captures terms/version acceptance.</w:t>
      </w:r>
    </w:p>
    <w:p>
      <w:pPr>
        <w:pStyle w:val="ListNumber"/>
      </w:pPr>
      <w:r>
        <w:t>Customer chooses duration and payment mode. Online payment uses a provider checkout; offline payment creates an invoice and verification task.</w:t>
      </w:r>
    </w:p>
    <w:p>
      <w:pPr>
        <w:pStyle w:val="ListNumber"/>
      </w:pPr>
      <w:r>
        <w:t>Verified payment creates an order, payment allocation, subscription with exact start/end dates, and purchased module entitlements in one transactional workflow.</w:t>
      </w:r>
    </w:p>
    <w:p>
      <w:pPr>
        <w:pStyle w:val="ListNumber"/>
      </w:pPr>
      <w:r>
        <w:t>System creates the tenant and owner invitation. Send a one-time, expiring password-setup link; never email a reusable plaintext password.</w:t>
      </w:r>
    </w:p>
    <w:p>
      <w:pPr>
        <w:pStyle w:val="ListNumber"/>
      </w:pPr>
      <w:r>
        <w:t>Provisioning checklist collects integrations: WhatsApp/Meta, email sender, domain/DNS, branding, imports, AI knowledge and user invitations. Secrets go into a secret manager/encrypted store, not form files or email.</w:t>
      </w:r>
    </w:p>
    <w:p>
      <w:pPr>
        <w:pStyle w:val="ListNumber"/>
      </w:pPr>
      <w:r>
        <w:t>Operations verifies provider connections and completes a test lead/message/campaign using a safe test target.</w:t>
      </w:r>
    </w:p>
    <w:p>
      <w:pPr>
        <w:pStyle w:val="ListNumber"/>
      </w:pPr>
      <w:r>
        <w:t>Customer receives welcome email, invoice/receipt, login URL, setup status, support contacts and training link. Account changes from provisioning to active.</w:t>
      </w:r>
    </w:p>
    <w:p>
      <w:pPr>
        <w:pStyle w:val="ListNumber"/>
      </w:pPr>
      <w:r>
        <w:t>Automations send expiry notices (30/15/7/1 days), retry failed renewals, apply the approved grace period, restrict paid actions after expiry, and preserve read/export access according to policy.</w:t>
      </w:r>
    </w:p>
    <w:p>
      <w:pPr>
        <w:pStyle w:val="Heading1"/>
      </w:pPr>
      <w:r>
        <w:t>7. Registration form and file options</w:t>
      </w:r>
    </w:p>
    <w:p>
      <w:pPr>
        <w:pStyle w:val="Heading2"/>
      </w:pPr>
      <w:r>
        <w:t>Minimum registration/form fields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8"/>
          </w:tcPr>
          <w:p>
            <w:r/>
            <w:r>
              <w:rPr>
                <w:b/>
                <w:color w:val="FFFFFF"/>
                <w:sz w:val="17"/>
              </w:rPr>
              <w:t>Section</w:t>
            </w:r>
          </w:p>
        </w:tc>
        <w:tc>
          <w:tcPr>
            <w:tcW w:type="dxa" w:w="3456"/>
            <w:vAlign w:val="center"/>
            <w:shd w:fill="1F4E78"/>
          </w:tcPr>
          <w:p>
            <w:r/>
            <w:r>
              <w:rPr>
                <w:b/>
                <w:color w:val="FFFFFF"/>
                <w:sz w:val="17"/>
              </w:rPr>
              <w:t>Required fields</w:t>
            </w:r>
          </w:p>
        </w:tc>
        <w:tc>
          <w:tcPr>
            <w:tcW w:type="dxa" w:w="3456"/>
            <w:vAlign w:val="center"/>
            <w:shd w:fill="1F4E78"/>
          </w:tcPr>
          <w:p>
            <w:r/>
            <w:r>
              <w:rPr>
                <w:b/>
                <w:color w:val="FFFFFF"/>
                <w:sz w:val="17"/>
              </w:rPr>
              <w:t>Notes</w:t>
            </w:r>
          </w:p>
        </w:tc>
      </w:tr>
      <w:tr>
        <w:tc>
          <w:tcPr>
            <w:tcW w:type="dxa" w:w="3456"/>
            <w:vAlign w:val="center"/>
          </w:tcPr>
          <w:p>
            <w:r/>
            <w:r>
              <w:rPr>
                <w:b w:val="0"/>
                <w:sz w:val="17"/>
              </w:rPr>
              <w:t>Owner</w:t>
            </w:r>
          </w:p>
        </w:tc>
        <w:tc>
          <w:tcPr>
            <w:tcW w:type="dxa" w:w="3456"/>
            <w:vAlign w:val="center"/>
          </w:tcPr>
          <w:p>
            <w:r/>
            <w:r>
              <w:rPr>
                <w:b w:val="0"/>
                <w:sz w:val="17"/>
              </w:rPr>
              <w:t>Name, work email, mobile, designation</w:t>
            </w:r>
          </w:p>
        </w:tc>
        <w:tc>
          <w:tcPr>
            <w:tcW w:type="dxa" w:w="3456"/>
            <w:vAlign w:val="center"/>
          </w:tcPr>
          <w:p>
            <w:r/>
            <w:r>
              <w:rPr>
                <w:b w:val="0"/>
                <w:sz w:val="17"/>
              </w:rPr>
              <w:t>Verify email; verify mobile when used for alerts</w:t>
            </w:r>
          </w:p>
        </w:tc>
      </w:tr>
      <w:tr>
        <w:tc>
          <w:tcPr>
            <w:tcW w:type="dxa" w:w="3456"/>
            <w:vAlign w:val="center"/>
            <w:shd w:fill="EAF2F8"/>
          </w:tcPr>
          <w:p>
            <w:r/>
            <w:r>
              <w:rPr>
                <w:b w:val="0"/>
                <w:sz w:val="17"/>
              </w:rPr>
              <w:t>Business</w:t>
            </w:r>
          </w:p>
        </w:tc>
        <w:tc>
          <w:tcPr>
            <w:tcW w:type="dxa" w:w="3456"/>
            <w:vAlign w:val="center"/>
            <w:shd w:fill="EAF2F8"/>
          </w:tcPr>
          <w:p>
            <w:r/>
            <w:r>
              <w:rPr>
                <w:b w:val="0"/>
                <w:sz w:val="17"/>
              </w:rPr>
              <w:t>Legal/display name, address, country/state, website/domain, industry</w:t>
            </w:r>
          </w:p>
        </w:tc>
        <w:tc>
          <w:tcPr>
            <w:tcW w:type="dxa" w:w="3456"/>
            <w:vAlign w:val="center"/>
            <w:shd w:fill="EAF2F8"/>
          </w:tcPr>
          <w:p>
            <w:r/>
            <w:r>
              <w:rPr>
                <w:b w:val="0"/>
                <w:sz w:val="17"/>
              </w:rPr>
              <w:t>GSTIN/PAN only when commercially required; validate format</w:t>
            </w:r>
          </w:p>
        </w:tc>
      </w:tr>
      <w:tr>
        <w:tc>
          <w:tcPr>
            <w:tcW w:type="dxa" w:w="3456"/>
            <w:vAlign w:val="center"/>
          </w:tcPr>
          <w:p>
            <w:r/>
            <w:r>
              <w:rPr>
                <w:b w:val="0"/>
                <w:sz w:val="17"/>
              </w:rPr>
              <w:t>Product</w:t>
            </w:r>
          </w:p>
        </w:tc>
        <w:tc>
          <w:tcPr>
            <w:tcW w:type="dxa" w:w="3456"/>
            <w:vAlign w:val="center"/>
          </w:tcPr>
          <w:p>
            <w:r/>
            <w:r>
              <w:rPr>
                <w:b w:val="0"/>
                <w:sz w:val="17"/>
              </w:rPr>
              <w:t>Module, tier, duration, requested start date, expected users/usage</w:t>
            </w:r>
          </w:p>
        </w:tc>
        <w:tc>
          <w:tcPr>
            <w:tcW w:type="dxa" w:w="3456"/>
            <w:vAlign w:val="center"/>
          </w:tcPr>
          <w:p>
            <w:r/>
            <w:r>
              <w:rPr>
                <w:b w:val="0"/>
                <w:sz w:val="17"/>
              </w:rPr>
              <w:t>Custom selection routes to quotation approval</w:t>
            </w:r>
          </w:p>
        </w:tc>
      </w:tr>
      <w:tr>
        <w:tc>
          <w:tcPr>
            <w:tcW w:type="dxa" w:w="3456"/>
            <w:vAlign w:val="center"/>
            <w:shd w:fill="EAF2F8"/>
          </w:tcPr>
          <w:p>
            <w:r/>
            <w:r>
              <w:rPr>
                <w:b w:val="0"/>
                <w:sz w:val="17"/>
              </w:rPr>
              <w:t>Billing</w:t>
            </w:r>
          </w:p>
        </w:tc>
        <w:tc>
          <w:tcPr>
            <w:tcW w:type="dxa" w:w="3456"/>
            <w:vAlign w:val="center"/>
            <w:shd w:fill="EAF2F8"/>
          </w:tcPr>
          <w:p>
            <w:r/>
            <w:r>
              <w:rPr>
                <w:b w:val="0"/>
                <w:sz w:val="17"/>
              </w:rPr>
              <w:t>Billing name/address/email, GST treatment, payment mode</w:t>
            </w:r>
          </w:p>
        </w:tc>
        <w:tc>
          <w:tcPr>
            <w:tcW w:type="dxa" w:w="3456"/>
            <w:vAlign w:val="center"/>
            <w:shd w:fill="EAF2F8"/>
          </w:tcPr>
          <w:p>
            <w:r/>
            <w:r>
              <w:rPr>
                <w:b w:val="0"/>
                <w:sz w:val="17"/>
              </w:rPr>
              <w:t>Do not collect card/bank credentials directly</w:t>
            </w:r>
          </w:p>
        </w:tc>
      </w:tr>
      <w:tr>
        <w:tc>
          <w:tcPr>
            <w:tcW w:type="dxa" w:w="3456"/>
            <w:vAlign w:val="center"/>
          </w:tcPr>
          <w:p>
            <w:r/>
            <w:r>
              <w:rPr>
                <w:b w:val="0"/>
                <w:sz w:val="17"/>
              </w:rPr>
              <w:t>Integrations</w:t>
            </w:r>
          </w:p>
        </w:tc>
        <w:tc>
          <w:tcPr>
            <w:tcW w:type="dxa" w:w="3456"/>
            <w:vAlign w:val="center"/>
          </w:tcPr>
          <w:p>
            <w:r/>
            <w:r>
              <w:rPr>
                <w:b w:val="0"/>
                <w:sz w:val="17"/>
              </w:rPr>
              <w:t>Meta business/WABA readiness, WhatsApp number, email/domain readiness</w:t>
            </w:r>
          </w:p>
        </w:tc>
        <w:tc>
          <w:tcPr>
            <w:tcW w:type="dxa" w:w="3456"/>
            <w:vAlign w:val="center"/>
          </w:tcPr>
          <w:p>
            <w:r/>
            <w:r>
              <w:rPr>
                <w:b w:val="0"/>
                <w:sz w:val="17"/>
              </w:rPr>
              <w:t>Collect IDs through wizard; store tokens securely</w:t>
            </w:r>
          </w:p>
        </w:tc>
      </w:tr>
      <w:tr>
        <w:tc>
          <w:tcPr>
            <w:tcW w:type="dxa" w:w="3456"/>
            <w:vAlign w:val="center"/>
            <w:shd w:fill="EAF2F8"/>
          </w:tcPr>
          <w:p>
            <w:r/>
            <w:r>
              <w:rPr>
                <w:b w:val="0"/>
                <w:sz w:val="17"/>
              </w:rPr>
              <w:t>Legal</w:t>
            </w:r>
          </w:p>
        </w:tc>
        <w:tc>
          <w:tcPr>
            <w:tcW w:type="dxa" w:w="3456"/>
            <w:vAlign w:val="center"/>
            <w:shd w:fill="EAF2F8"/>
          </w:tcPr>
          <w:p>
            <w:r/>
            <w:r>
              <w:rPr>
                <w:b w:val="0"/>
                <w:sz w:val="17"/>
              </w:rPr>
              <w:t>Terms, privacy, DPA/consent, marketing consent separately</w:t>
            </w:r>
          </w:p>
        </w:tc>
        <w:tc>
          <w:tcPr>
            <w:tcW w:type="dxa" w:w="3456"/>
            <w:vAlign w:val="center"/>
            <w:shd w:fill="EAF2F8"/>
          </w:tcPr>
          <w:p>
            <w:r/>
            <w:r>
              <w:rPr>
                <w:b w:val="0"/>
                <w:sz w:val="17"/>
              </w:rPr>
              <w:t>Store document version, timestamp, IP and actor</w:t>
            </w:r>
          </w:p>
        </w:tc>
      </w:tr>
    </w:tbl>
    <w:p/>
    <w:p>
      <w:pPr>
        <w:pStyle w:val="Heading2"/>
      </w:pPr>
      <w:r>
        <w:t>Bulk upload template</w:t>
      </w:r>
    </w:p>
    <w:p>
      <w:r>
        <w:t>Recommended columns: external_reference, business_name, owner_name, owner_email, owner_phone, country, package_code, plan_code, term_code, start_date, billing_email, gstin, payment_mode, payment_reference, amount, currency, sales_owner, onboarding_owner, notes. Exclude passwords, API tokens, card/bank credentials and private keys.</w:t>
      </w:r>
    </w:p>
    <w:p>
      <w:pPr>
        <w:pStyle w:val="ListBullet"/>
      </w:pPr>
      <w:r>
        <w:t>Upload must support template download, dry-run validation, duplicate detection, row-level error file, approval, import batch ID and audit history.</w:t>
      </w:r>
    </w:p>
    <w:p>
      <w:pPr>
        <w:pStyle w:val="ListBullet"/>
      </w:pPr>
      <w:r>
        <w:t>For a single customer, prefer the secure form. Use file intake only for authorized bulk onboarding.</w:t>
      </w:r>
    </w:p>
    <w:p>
      <w:pPr>
        <w:pStyle w:val="Heading1"/>
      </w:pPr>
      <w:r>
        <w:t>8. Credential creation and delivery options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8"/>
          </w:tcPr>
          <w:p>
            <w:r/>
            <w:r>
              <w:rPr>
                <w:b/>
                <w:color w:val="FFFFFF"/>
                <w:sz w:val="17"/>
              </w:rPr>
              <w:t>Option</w:t>
            </w:r>
          </w:p>
        </w:tc>
        <w:tc>
          <w:tcPr>
            <w:tcW w:type="dxa" w:w="3456"/>
            <w:vAlign w:val="center"/>
            <w:shd w:fill="1F4E78"/>
          </w:tcPr>
          <w:p>
            <w:r/>
            <w:r>
              <w:rPr>
                <w:b/>
                <w:color w:val="FFFFFF"/>
                <w:sz w:val="17"/>
              </w:rPr>
              <w:t>Method</w:t>
            </w:r>
          </w:p>
        </w:tc>
        <w:tc>
          <w:tcPr>
            <w:tcW w:type="dxa" w:w="3456"/>
            <w:vAlign w:val="center"/>
            <w:shd w:fill="1F4E78"/>
          </w:tcPr>
          <w:p>
            <w:r/>
            <w:r>
              <w:rPr>
                <w:b/>
                <w:color w:val="FFFFFF"/>
                <w:sz w:val="17"/>
              </w:rPr>
              <w:t>Decision</w:t>
            </w:r>
          </w:p>
        </w:tc>
      </w:tr>
      <w:tr>
        <w:tc>
          <w:tcPr>
            <w:tcW w:type="dxa" w:w="3456"/>
            <w:vAlign w:val="center"/>
          </w:tcPr>
          <w:p>
            <w:r/>
            <w:r>
              <w:rPr>
                <w:b w:val="0"/>
                <w:sz w:val="17"/>
              </w:rPr>
              <w:t>Customer chooses password</w:t>
            </w:r>
          </w:p>
        </w:tc>
        <w:tc>
          <w:tcPr>
            <w:tcW w:type="dxa" w:w="3456"/>
            <w:vAlign w:val="center"/>
          </w:tcPr>
          <w:p>
            <w:r/>
            <w:r>
              <w:rPr>
                <w:b w:val="0"/>
                <w:sz w:val="17"/>
              </w:rPr>
              <w:t>Account invitation with one-time expiring link; MFA enrollment</w:t>
            </w:r>
          </w:p>
        </w:tc>
        <w:tc>
          <w:tcPr>
            <w:tcW w:type="dxa" w:w="3456"/>
            <w:vAlign w:val="center"/>
          </w:tcPr>
          <w:p>
            <w:r/>
            <w:r>
              <w:rPr>
                <w:b w:val="0"/>
                <w:sz w:val="17"/>
              </w:rPr>
              <w:t>Recommended</w:t>
            </w:r>
          </w:p>
        </w:tc>
      </w:tr>
      <w:tr>
        <w:tc>
          <w:tcPr>
            <w:tcW w:type="dxa" w:w="3456"/>
            <w:vAlign w:val="center"/>
            <w:shd w:fill="EAF2F8"/>
          </w:tcPr>
          <w:p>
            <w:r/>
            <w:r>
              <w:rPr>
                <w:b w:val="0"/>
                <w:sz w:val="17"/>
              </w:rPr>
              <w:t>Team creates temporary password</w:t>
            </w:r>
          </w:p>
        </w:tc>
        <w:tc>
          <w:tcPr>
            <w:tcW w:type="dxa" w:w="3456"/>
            <w:vAlign w:val="center"/>
            <w:shd w:fill="EAF2F8"/>
          </w:tcPr>
          <w:p>
            <w:r/>
            <w:r>
              <w:rPr>
                <w:b w:val="0"/>
                <w:sz w:val="17"/>
              </w:rPr>
              <w:t>Random temporary password, forced reset on first login, delivered on separate channel</w:t>
            </w:r>
          </w:p>
        </w:tc>
        <w:tc>
          <w:tcPr>
            <w:tcW w:type="dxa" w:w="3456"/>
            <w:vAlign w:val="center"/>
            <w:shd w:fill="EAF2F8"/>
          </w:tcPr>
          <w:p>
            <w:r/>
            <w:r>
              <w:rPr>
                <w:b w:val="0"/>
                <w:sz w:val="17"/>
              </w:rPr>
              <w:t>Fallback only</w:t>
            </w:r>
          </w:p>
        </w:tc>
      </w:tr>
      <w:tr>
        <w:tc>
          <w:tcPr>
            <w:tcW w:type="dxa" w:w="3456"/>
            <w:vAlign w:val="center"/>
          </w:tcPr>
          <w:p>
            <w:r/>
            <w:r>
              <w:rPr>
                <w:b w:val="0"/>
                <w:sz w:val="17"/>
              </w:rPr>
              <w:t>SSO</w:t>
            </w:r>
          </w:p>
        </w:tc>
        <w:tc>
          <w:tcPr>
            <w:tcW w:type="dxa" w:w="3456"/>
            <w:vAlign w:val="center"/>
          </w:tcPr>
          <w:p>
            <w:r/>
            <w:r>
              <w:rPr>
                <w:b w:val="0"/>
                <w:sz w:val="17"/>
              </w:rPr>
              <w:t>Customer identity provider (OIDC/SAML) for enterprise</w:t>
            </w:r>
          </w:p>
        </w:tc>
        <w:tc>
          <w:tcPr>
            <w:tcW w:type="dxa" w:w="3456"/>
            <w:vAlign w:val="center"/>
          </w:tcPr>
          <w:p>
            <w:r/>
            <w:r>
              <w:rPr>
                <w:b w:val="0"/>
                <w:sz w:val="17"/>
              </w:rPr>
              <w:t>Later/enterprise</w:t>
            </w:r>
          </w:p>
        </w:tc>
      </w:tr>
      <w:tr>
        <w:tc>
          <w:tcPr>
            <w:tcW w:type="dxa" w:w="3456"/>
            <w:vAlign w:val="center"/>
            <w:shd w:fill="EAF2F8"/>
          </w:tcPr>
          <w:p>
            <w:r/>
            <w:r>
              <w:rPr>
                <w:b w:val="0"/>
                <w:sz w:val="17"/>
              </w:rPr>
              <w:t>Magic link</w:t>
            </w:r>
          </w:p>
        </w:tc>
        <w:tc>
          <w:tcPr>
            <w:tcW w:type="dxa" w:w="3456"/>
            <w:vAlign w:val="center"/>
            <w:shd w:fill="EAF2F8"/>
          </w:tcPr>
          <w:p>
            <w:r/>
            <w:r>
              <w:rPr>
                <w:b w:val="0"/>
                <w:sz w:val="17"/>
              </w:rPr>
              <w:t>Short-lived email authentication link</w:t>
            </w:r>
          </w:p>
        </w:tc>
        <w:tc>
          <w:tcPr>
            <w:tcW w:type="dxa" w:w="3456"/>
            <w:vAlign w:val="center"/>
            <w:shd w:fill="EAF2F8"/>
          </w:tcPr>
          <w:p>
            <w:r/>
            <w:r>
              <w:rPr>
                <w:b w:val="0"/>
                <w:sz w:val="17"/>
              </w:rPr>
              <w:t>Optional after security review</w:t>
            </w:r>
          </w:p>
        </w:tc>
      </w:tr>
    </w:tbl>
    <w:p/>
    <w:p>
      <w:r>
        <w:t>Credentials policy: unique accounts; role-based permissions; MFA for owners/admins; invite expiry; account lock/rate limiting; password reset; session revocation; access audit; staff impersonation only with consent and logging; immediate deprovisioning on cancellation or staff exit. Integration tokens must be encrypted and masked in the UI.</w:t>
      </w:r>
    </w:p>
    <w:p>
      <w:pPr>
        <w:pStyle w:val="Heading1"/>
      </w:pPr>
      <w:r>
        <w:t>9. Current implementation status: LeadOS and AllianceOS</w:t>
      </w:r>
    </w:p>
    <w:p>
      <w:r>
        <w:t>Status is based on the repository reviewed on 24 August 2026. ‘Partial’ means code/schema exists but it does not complete a production SaaS lifecycle.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vAlign w:val="center"/>
            <w:shd w:fill="1F4E78"/>
          </w:tcPr>
          <w:p>
            <w:r/>
            <w:r>
              <w:rPr>
                <w:b/>
                <w:color w:val="FFFFFF"/>
                <w:sz w:val="17"/>
              </w:rPr>
              <w:t>Capability</w:t>
            </w:r>
          </w:p>
        </w:tc>
        <w:tc>
          <w:tcPr>
            <w:tcW w:type="dxa" w:w="1440"/>
            <w:vAlign w:val="center"/>
            <w:shd w:fill="1F4E78"/>
          </w:tcPr>
          <w:p>
            <w:r/>
            <w:r>
              <w:rPr>
                <w:b/>
                <w:color w:val="FFFFFF"/>
                <w:sz w:val="17"/>
              </w:rPr>
              <w:t>Current status</w:t>
            </w:r>
          </w:p>
        </w:tc>
        <w:tc>
          <w:tcPr>
            <w:tcW w:type="dxa" w:w="6840"/>
            <w:vAlign w:val="center"/>
            <w:shd w:fill="1F4E78"/>
          </w:tcPr>
          <w:p>
            <w:r/>
            <w:r>
              <w:rPr>
                <w:b/>
                <w:color w:val="FFFFFF"/>
                <w:sz w:val="17"/>
              </w:rPr>
              <w:t>Repository evidence / observation</w:t>
            </w:r>
          </w:p>
        </w:tc>
      </w:tr>
      <w:tr>
        <w:tc>
          <w:tcPr>
            <w:tcW w:type="dxa" w:w="2088"/>
            <w:vAlign w:val="center"/>
          </w:tcPr>
          <w:p>
            <w:r/>
            <w:r>
              <w:rPr>
                <w:b w:val="0"/>
                <w:sz w:val="17"/>
              </w:rPr>
              <w:t>LeadOS operational UI</w:t>
            </w:r>
          </w:p>
        </w:tc>
        <w:tc>
          <w:tcPr>
            <w:tcW w:type="dxa" w:w="1440"/>
            <w:vAlign w:val="center"/>
          </w:tcPr>
          <w:p>
            <w:r/>
            <w:r>
              <w:rPr>
                <w:b w:val="0"/>
                <w:sz w:val="17"/>
              </w:rPr>
              <w:t>Present</w:t>
            </w:r>
          </w:p>
        </w:tc>
        <w:tc>
          <w:tcPr>
            <w:tcW w:type="dxa" w:w="6840"/>
            <w:vAlign w:val="center"/>
          </w:tcPr>
          <w:p>
            <w:r/>
            <w:r>
              <w:rPr>
                <w:b w:val="0"/>
                <w:sz w:val="17"/>
              </w:rPr>
              <w:t>Authenticated routes for dashboard, leads, inbox, campaigns, templates, AI brain, reports, clients, users/settings and integrations.</w:t>
            </w:r>
          </w:p>
        </w:tc>
      </w:tr>
      <w:tr>
        <w:tc>
          <w:tcPr>
            <w:tcW w:type="dxa" w:w="2088"/>
            <w:vAlign w:val="center"/>
            <w:shd w:fill="EAF2F8"/>
          </w:tcPr>
          <w:p>
            <w:r/>
            <w:r>
              <w:rPr>
                <w:b w:val="0"/>
                <w:sz w:val="17"/>
              </w:rPr>
              <w:t>AllianceOS operational UI</w:t>
            </w:r>
          </w:p>
        </w:tc>
        <w:tc>
          <w:tcPr>
            <w:tcW w:type="dxa" w:w="1440"/>
            <w:vAlign w:val="center"/>
            <w:shd w:fill="EAF2F8"/>
          </w:tcPr>
          <w:p>
            <w:r/>
            <w:r>
              <w:rPr>
                <w:b w:val="0"/>
                <w:sz w:val="17"/>
              </w:rPr>
              <w:t>Present</w:t>
            </w:r>
          </w:p>
        </w:tc>
        <w:tc>
          <w:tcPr>
            <w:tcW w:type="dxa" w:w="6840"/>
            <w:vAlign w:val="center"/>
            <w:shd w:fill="EAF2F8"/>
          </w:tcPr>
          <w:p>
            <w:r/>
            <w:r>
              <w:rPr>
                <w:b w:val="0"/>
                <w:sz w:val="17"/>
              </w:rPr>
              <w:t>Authenticated routes/API for upload, prospects, planner, email/WhatsApp campaigns, replies, knowledge/prompts and analytics.</w:t>
            </w:r>
          </w:p>
        </w:tc>
      </w:tr>
      <w:tr>
        <w:tc>
          <w:tcPr>
            <w:tcW w:type="dxa" w:w="2088"/>
            <w:vAlign w:val="center"/>
          </w:tcPr>
          <w:p>
            <w:r/>
            <w:r>
              <w:rPr>
                <w:b w:val="0"/>
                <w:sz w:val="17"/>
              </w:rPr>
              <w:t>Login</w:t>
            </w:r>
          </w:p>
        </w:tc>
        <w:tc>
          <w:tcPr>
            <w:tcW w:type="dxa" w:w="1440"/>
            <w:vAlign w:val="center"/>
          </w:tcPr>
          <w:p>
            <w:r/>
            <w:r>
              <w:rPr>
                <w:b w:val="0"/>
                <w:sz w:val="17"/>
              </w:rPr>
              <w:t>Partial</w:t>
            </w:r>
          </w:p>
        </w:tc>
        <w:tc>
          <w:tcPr>
            <w:tcW w:type="dxa" w:w="6840"/>
            <w:vAlign w:val="center"/>
          </w:tcPr>
          <w:p>
            <w:r/>
            <w:r>
              <w:rPr>
                <w:b w:val="0"/>
                <w:sz w:val="17"/>
              </w:rPr>
              <w:t>Email/password login and 7-day JWT exist; no public signup, verification, forgot-password flow, MFA or customer invitation workflow.</w:t>
            </w:r>
          </w:p>
        </w:tc>
      </w:tr>
      <w:tr>
        <w:tc>
          <w:tcPr>
            <w:tcW w:type="dxa" w:w="2088"/>
            <w:vAlign w:val="center"/>
            <w:shd w:fill="EAF2F8"/>
          </w:tcPr>
          <w:p>
            <w:r/>
            <w:r>
              <w:rPr>
                <w:b w:val="0"/>
                <w:sz w:val="17"/>
              </w:rPr>
              <w:t>Customer/team users</w:t>
            </w:r>
          </w:p>
        </w:tc>
        <w:tc>
          <w:tcPr>
            <w:tcW w:type="dxa" w:w="1440"/>
            <w:vAlign w:val="center"/>
            <w:shd w:fill="EAF2F8"/>
          </w:tcPr>
          <w:p>
            <w:r/>
            <w:r>
              <w:rPr>
                <w:b w:val="0"/>
                <w:sz w:val="17"/>
              </w:rPr>
              <w:t>Partial</w:t>
            </w:r>
          </w:p>
        </w:tc>
        <w:tc>
          <w:tcPr>
            <w:tcW w:type="dxa" w:w="6840"/>
            <w:vAlign w:val="center"/>
            <w:shd w:fill="EAF2F8"/>
          </w:tcPr>
          <w:p>
            <w:r/>
            <w:r>
              <w:rPr>
                <w:b w:val="0"/>
                <w:sz w:val="17"/>
              </w:rPr>
              <w:t>Admin can create users, but user creation does not explicitly assign the current tenant and list queries are not tenant-filtered.</w:t>
            </w:r>
          </w:p>
        </w:tc>
      </w:tr>
      <w:tr>
        <w:tc>
          <w:tcPr>
            <w:tcW w:type="dxa" w:w="2088"/>
            <w:vAlign w:val="center"/>
          </w:tcPr>
          <w:p>
            <w:r/>
            <w:r>
              <w:rPr>
                <w:b w:val="0"/>
                <w:sz w:val="17"/>
              </w:rPr>
              <w:t>Tenant schema</w:t>
            </w:r>
          </w:p>
        </w:tc>
        <w:tc>
          <w:tcPr>
            <w:tcW w:type="dxa" w:w="1440"/>
            <w:vAlign w:val="center"/>
          </w:tcPr>
          <w:p>
            <w:r/>
            <w:r>
              <w:rPr>
                <w:b w:val="0"/>
                <w:sz w:val="17"/>
              </w:rPr>
              <w:t>Legacy/partial</w:t>
            </w:r>
          </w:p>
        </w:tc>
        <w:tc>
          <w:tcPr>
            <w:tcW w:type="dxa" w:w="6840"/>
            <w:vAlign w:val="center"/>
          </w:tcPr>
          <w:p>
            <w:r/>
            <w:r>
              <w:rPr>
                <w:b w:val="0"/>
                <w:sz w:val="17"/>
              </w:rPr>
              <w:t>tenants, tenant_modules, subscriptions and users.tenant_id exist in the SQL backup.</w:t>
            </w:r>
          </w:p>
        </w:tc>
      </w:tr>
      <w:tr>
        <w:tc>
          <w:tcPr>
            <w:tcW w:type="dxa" w:w="2088"/>
            <w:vAlign w:val="center"/>
            <w:shd w:fill="EAF2F8"/>
          </w:tcPr>
          <w:p>
            <w:r/>
            <w:r>
              <w:rPr>
                <w:b w:val="0"/>
                <w:sz w:val="17"/>
              </w:rPr>
              <w:t>Runtime tenant isolation</w:t>
            </w:r>
          </w:p>
        </w:tc>
        <w:tc>
          <w:tcPr>
            <w:tcW w:type="dxa" w:w="1440"/>
            <w:vAlign w:val="center"/>
            <w:shd w:fill="EAF2F8"/>
          </w:tcPr>
          <w:p>
            <w:r/>
            <w:r>
              <w:rPr>
                <w:b w:val="0"/>
                <w:sz w:val="17"/>
              </w:rPr>
              <w:t>Missing/critical</w:t>
            </w:r>
          </w:p>
        </w:tc>
        <w:tc>
          <w:tcPr>
            <w:tcW w:type="dxa" w:w="6840"/>
            <w:vAlign w:val="center"/>
            <w:shd w:fill="EAF2F8"/>
          </w:tcPr>
          <w:p>
            <w:r/>
            <w:r>
              <w:rPr>
                <w:b w:val="0"/>
                <w:sz w:val="17"/>
              </w:rPr>
              <w:t>Server comments state only tenant ID 1 is used; JWT omits tenant_id; many queries are global rather than tenant-scoped.</w:t>
            </w:r>
          </w:p>
        </w:tc>
      </w:tr>
      <w:tr>
        <w:tc>
          <w:tcPr>
            <w:tcW w:type="dxa" w:w="2088"/>
            <w:vAlign w:val="center"/>
          </w:tcPr>
          <w:p>
            <w:r/>
            <w:r>
              <w:rPr>
                <w:b w:val="0"/>
                <w:sz w:val="17"/>
              </w:rPr>
              <w:t>LeadOS/AllianceOS plan catalogue</w:t>
            </w:r>
          </w:p>
        </w:tc>
        <w:tc>
          <w:tcPr>
            <w:tcW w:type="dxa" w:w="1440"/>
            <w:vAlign w:val="center"/>
          </w:tcPr>
          <w:p>
            <w:r/>
            <w:r>
              <w:rPr>
                <w:b w:val="0"/>
                <w:sz w:val="17"/>
              </w:rPr>
              <w:t>Missing</w:t>
            </w:r>
          </w:p>
        </w:tc>
        <w:tc>
          <w:tcPr>
            <w:tcW w:type="dxa" w:w="6840"/>
            <w:vAlign w:val="center"/>
          </w:tcPr>
          <w:p>
            <w:r/>
            <w:r>
              <w:rPr>
                <w:b w:val="0"/>
                <w:sz w:val="17"/>
              </w:rPr>
              <w:t>No live product pricing/feature administration for these modules. Thedal/Mafiya plan pages are separate and out of scope.</w:t>
            </w:r>
          </w:p>
        </w:tc>
      </w:tr>
      <w:tr>
        <w:tc>
          <w:tcPr>
            <w:tcW w:type="dxa" w:w="2088"/>
            <w:vAlign w:val="center"/>
            <w:shd w:fill="EAF2F8"/>
          </w:tcPr>
          <w:p>
            <w:r/>
            <w:r>
              <w:rPr>
                <w:b w:val="0"/>
                <w:sz w:val="17"/>
              </w:rPr>
              <w:t>Module entitlements</w:t>
            </w:r>
          </w:p>
        </w:tc>
        <w:tc>
          <w:tcPr>
            <w:tcW w:type="dxa" w:w="1440"/>
            <w:vAlign w:val="center"/>
            <w:shd w:fill="EAF2F8"/>
          </w:tcPr>
          <w:p>
            <w:r/>
            <w:r>
              <w:rPr>
                <w:b w:val="0"/>
                <w:sz w:val="17"/>
              </w:rPr>
              <w:t>Missing in live flow</w:t>
            </w:r>
          </w:p>
        </w:tc>
        <w:tc>
          <w:tcPr>
            <w:tcW w:type="dxa" w:w="6840"/>
            <w:vAlign w:val="center"/>
            <w:shd w:fill="EAF2F8"/>
          </w:tcPr>
          <w:p>
            <w:r/>
            <w:r>
              <w:rPr>
                <w:b w:val="0"/>
                <w:sz w:val="17"/>
              </w:rPr>
              <w:t>Legacy tenant_modules table exists, but navigation and APIs do not enforce purchased LeadOS/AllianceOS access.</w:t>
            </w:r>
          </w:p>
        </w:tc>
      </w:tr>
      <w:tr>
        <w:tc>
          <w:tcPr>
            <w:tcW w:type="dxa" w:w="2088"/>
            <w:vAlign w:val="center"/>
          </w:tcPr>
          <w:p>
            <w:r/>
            <w:r>
              <w:rPr>
                <w:b w:val="0"/>
                <w:sz w:val="17"/>
              </w:rPr>
              <w:t>Subscription lifecycle</w:t>
            </w:r>
          </w:p>
        </w:tc>
        <w:tc>
          <w:tcPr>
            <w:tcW w:type="dxa" w:w="1440"/>
            <w:vAlign w:val="center"/>
          </w:tcPr>
          <w:p>
            <w:r/>
            <w:r>
              <w:rPr>
                <w:b w:val="0"/>
                <w:sz w:val="17"/>
              </w:rPr>
              <w:t>Missing in live flow</w:t>
            </w:r>
          </w:p>
        </w:tc>
        <w:tc>
          <w:tcPr>
            <w:tcW w:type="dxa" w:w="6840"/>
            <w:vAlign w:val="center"/>
          </w:tcPr>
          <w:p>
            <w:r/>
            <w:r>
              <w:rPr>
                <w:b w:val="0"/>
                <w:sz w:val="17"/>
              </w:rPr>
              <w:t>Legacy subscriptions table exists; no customer checkout, activation, renewal, expiry, suspension, cancellation or proration APIs for LeadOS/AllianceOS.</w:t>
            </w:r>
          </w:p>
        </w:tc>
      </w:tr>
      <w:tr>
        <w:tc>
          <w:tcPr>
            <w:tcW w:type="dxa" w:w="2088"/>
            <w:vAlign w:val="center"/>
            <w:shd w:fill="EAF2F8"/>
          </w:tcPr>
          <w:p>
            <w:r/>
            <w:r>
              <w:rPr>
                <w:b w:val="0"/>
                <w:sz w:val="17"/>
              </w:rPr>
              <w:t>Online payments</w:t>
            </w:r>
          </w:p>
        </w:tc>
        <w:tc>
          <w:tcPr>
            <w:tcW w:type="dxa" w:w="1440"/>
            <w:vAlign w:val="center"/>
            <w:shd w:fill="EAF2F8"/>
          </w:tcPr>
          <w:p>
            <w:r/>
            <w:r>
              <w:rPr>
                <w:b w:val="0"/>
                <w:sz w:val="17"/>
              </w:rPr>
              <w:t>Partial</w:t>
            </w:r>
          </w:p>
        </w:tc>
        <w:tc>
          <w:tcPr>
            <w:tcW w:type="dxa" w:w="6840"/>
            <w:vAlign w:val="center"/>
            <w:shd w:fill="EAF2F8"/>
          </w:tcPr>
          <w:p>
            <w:r/>
            <w:r>
              <w:rPr>
                <w:b w:val="0"/>
                <w:sz w:val="17"/>
              </w:rPr>
              <w:t>Lead-based Razorpay payment-link creation and captured-payment webhook exist. They record service payments, not SaaS orders/subscriptions/entitlements.</w:t>
            </w:r>
          </w:p>
        </w:tc>
      </w:tr>
      <w:tr>
        <w:tc>
          <w:tcPr>
            <w:tcW w:type="dxa" w:w="2088"/>
            <w:vAlign w:val="center"/>
          </w:tcPr>
          <w:p>
            <w:r/>
            <w:r>
              <w:rPr>
                <w:b w:val="0"/>
                <w:sz w:val="17"/>
              </w:rPr>
              <w:t>Offline payments</w:t>
            </w:r>
          </w:p>
        </w:tc>
        <w:tc>
          <w:tcPr>
            <w:tcW w:type="dxa" w:w="1440"/>
            <w:vAlign w:val="center"/>
          </w:tcPr>
          <w:p>
            <w:r/>
            <w:r>
              <w:rPr>
                <w:b w:val="0"/>
                <w:sz w:val="17"/>
              </w:rPr>
              <w:t>Missing</w:t>
            </w:r>
          </w:p>
        </w:tc>
        <w:tc>
          <w:tcPr>
            <w:tcW w:type="dxa" w:w="6840"/>
            <w:vAlign w:val="center"/>
          </w:tcPr>
          <w:p>
            <w:r/>
            <w:r>
              <w:rPr>
                <w:b w:val="0"/>
                <w:sz w:val="17"/>
              </w:rPr>
              <w:t>No controlled offline receipt, proof, finance approval, allocation or reconciliation workflow located.</w:t>
            </w:r>
          </w:p>
        </w:tc>
      </w:tr>
      <w:tr>
        <w:tc>
          <w:tcPr>
            <w:tcW w:type="dxa" w:w="2088"/>
            <w:vAlign w:val="center"/>
            <w:shd w:fill="EAF2F8"/>
          </w:tcPr>
          <w:p>
            <w:r/>
            <w:r>
              <w:rPr>
                <w:b w:val="0"/>
                <w:sz w:val="17"/>
              </w:rPr>
              <w:t>Automated onboarding</w:t>
            </w:r>
          </w:p>
        </w:tc>
        <w:tc>
          <w:tcPr>
            <w:tcW w:type="dxa" w:w="1440"/>
            <w:vAlign w:val="center"/>
            <w:shd w:fill="EAF2F8"/>
          </w:tcPr>
          <w:p>
            <w:r/>
            <w:r>
              <w:rPr>
                <w:b w:val="0"/>
                <w:sz w:val="17"/>
              </w:rPr>
              <w:t>Partial/non-product</w:t>
            </w:r>
          </w:p>
        </w:tc>
        <w:tc>
          <w:tcPr>
            <w:tcW w:type="dxa" w:w="6840"/>
            <w:vAlign w:val="center"/>
            <w:shd w:fill="EAF2F8"/>
          </w:tcPr>
          <w:p>
            <w:r/>
            <w:r>
              <w:rPr>
                <w:b w:val="0"/>
                <w:sz w:val="17"/>
              </w:rPr>
              <w:t>Lead payment can forward to an n8n customer-journey webhook; this is not a transactional tenant/user/module provisioning flow.</w:t>
            </w:r>
          </w:p>
        </w:tc>
      </w:tr>
      <w:tr>
        <w:tc>
          <w:tcPr>
            <w:tcW w:type="dxa" w:w="2088"/>
            <w:vAlign w:val="center"/>
          </w:tcPr>
          <w:p>
            <w:r/>
            <w:r>
              <w:rPr>
                <w:b w:val="0"/>
                <w:sz w:val="17"/>
              </w:rPr>
              <w:t>Client/integration onboarding</w:t>
            </w:r>
          </w:p>
        </w:tc>
        <w:tc>
          <w:tcPr>
            <w:tcW w:type="dxa" w:w="1440"/>
            <w:vAlign w:val="center"/>
          </w:tcPr>
          <w:p>
            <w:r/>
            <w:r>
              <w:rPr>
                <w:b w:val="0"/>
                <w:sz w:val="17"/>
              </w:rPr>
              <w:t>Partial</w:t>
            </w:r>
          </w:p>
        </w:tc>
        <w:tc>
          <w:tcPr>
            <w:tcW w:type="dxa" w:w="6840"/>
            <w:vAlign w:val="center"/>
          </w:tcPr>
          <w:p>
            <w:r/>
            <w:r>
              <w:rPr>
                <w:b w:val="0"/>
                <w:sz w:val="17"/>
              </w:rPr>
              <w:t>LeadOS has internal client management and Meta Embedded Signup/phone registration. It does not create a subscribing customer tenant.</w:t>
            </w:r>
          </w:p>
        </w:tc>
      </w:tr>
      <w:tr>
        <w:tc>
          <w:tcPr>
            <w:tcW w:type="dxa" w:w="2088"/>
            <w:vAlign w:val="center"/>
            <w:shd w:fill="EAF2F8"/>
          </w:tcPr>
          <w:p>
            <w:r/>
            <w:r>
              <w:rPr>
                <w:b w:val="0"/>
                <w:sz w:val="17"/>
              </w:rPr>
              <w:t>Invoices/tax/refunds</w:t>
            </w:r>
          </w:p>
        </w:tc>
        <w:tc>
          <w:tcPr>
            <w:tcW w:type="dxa" w:w="1440"/>
            <w:vAlign w:val="center"/>
            <w:shd w:fill="EAF2F8"/>
          </w:tcPr>
          <w:p>
            <w:r/>
            <w:r>
              <w:rPr>
                <w:b w:val="0"/>
                <w:sz w:val="17"/>
              </w:rPr>
              <w:t>Missing or not evidenced</w:t>
            </w:r>
          </w:p>
        </w:tc>
        <w:tc>
          <w:tcPr>
            <w:tcW w:type="dxa" w:w="6840"/>
            <w:vAlign w:val="center"/>
            <w:shd w:fill="EAF2F8"/>
          </w:tcPr>
          <w:p>
            <w:r/>
            <w:r>
              <w:rPr>
                <w:b w:val="0"/>
                <w:sz w:val="17"/>
              </w:rPr>
              <w:t>No complete SaaS invoice, GST, credit-note, refund and reconciliation ledger flow located.</w:t>
            </w:r>
          </w:p>
        </w:tc>
      </w:tr>
      <w:tr>
        <w:tc>
          <w:tcPr>
            <w:tcW w:type="dxa" w:w="2088"/>
            <w:vAlign w:val="center"/>
          </w:tcPr>
          <w:p>
            <w:r/>
            <w:r>
              <w:rPr>
                <w:b w:val="0"/>
                <w:sz w:val="17"/>
              </w:rPr>
              <w:t>Expiry/renewal notifications</w:t>
            </w:r>
          </w:p>
        </w:tc>
        <w:tc>
          <w:tcPr>
            <w:tcW w:type="dxa" w:w="1440"/>
            <w:vAlign w:val="center"/>
          </w:tcPr>
          <w:p>
            <w:r/>
            <w:r>
              <w:rPr>
                <w:b w:val="0"/>
                <w:sz w:val="17"/>
              </w:rPr>
              <w:t>Missing</w:t>
            </w:r>
          </w:p>
        </w:tc>
        <w:tc>
          <w:tcPr>
            <w:tcW w:type="dxa" w:w="6840"/>
            <w:vAlign w:val="center"/>
          </w:tcPr>
          <w:p>
            <w:r/>
            <w:r>
              <w:rPr>
                <w:b w:val="0"/>
                <w:sz w:val="17"/>
              </w:rPr>
              <w:t>No subscription reminder, grace period, dunning or entitlement restriction process located.</w:t>
            </w:r>
          </w:p>
        </w:tc>
      </w:tr>
      <w:tr>
        <w:tc>
          <w:tcPr>
            <w:tcW w:type="dxa" w:w="2088"/>
            <w:vAlign w:val="center"/>
            <w:shd w:fill="EAF2F8"/>
          </w:tcPr>
          <w:p>
            <w:r/>
            <w:r>
              <w:rPr>
                <w:b w:val="0"/>
                <w:sz w:val="17"/>
              </w:rPr>
              <w:t>Audit/security controls</w:t>
            </w:r>
          </w:p>
        </w:tc>
        <w:tc>
          <w:tcPr>
            <w:tcW w:type="dxa" w:w="1440"/>
            <w:vAlign w:val="center"/>
            <w:shd w:fill="EAF2F8"/>
          </w:tcPr>
          <w:p>
            <w:r/>
            <w:r>
              <w:rPr>
                <w:b w:val="0"/>
                <w:sz w:val="17"/>
              </w:rPr>
              <w:t>Partial</w:t>
            </w:r>
          </w:p>
        </w:tc>
        <w:tc>
          <w:tcPr>
            <w:tcW w:type="dxa" w:w="6840"/>
            <w:vAlign w:val="center"/>
            <w:shd w:fill="EAF2F8"/>
          </w:tcPr>
          <w:p>
            <w:r/>
            <w:r>
              <w:rPr>
                <w:b w:val="0"/>
                <w:sz w:val="17"/>
              </w:rPr>
              <w:t>Authentication and roles exist, but SaaS-grade tenant authorization, invite audit, offline maker-checker and subscription event log are missing.</w:t>
            </w:r>
          </w:p>
        </w:tc>
      </w:tr>
    </w:tbl>
    <w:p/>
    <w:p>
      <w:pPr>
        <w:pStyle w:val="Heading1"/>
      </w:pPr>
      <w:r>
        <w:t>10. Missing-process checklist before selling subscriptions</w:t>
      </w:r>
    </w:p>
    <w:p>
      <w:pPr>
        <w:pStyle w:val="Heading2"/>
      </w:pPr>
      <w:r>
        <w:t>P0 — must be complete before any external multi-customer launch</w:t>
      </w:r>
    </w:p>
    <w:p>
      <w:pPr>
        <w:pStyle w:val="ListBullet"/>
      </w:pPr>
      <w:r>
        <w:t>☐ Tenant isolation for every LeadOS and AllianceOS table/query/API/socket/job/webhook/export; automated cross-tenant security tests.</w:t>
      </w:r>
    </w:p>
    <w:p>
      <w:pPr>
        <w:pStyle w:val="ListBullet"/>
      </w:pPr>
      <w:r>
        <w:t>☐ JWT/session includes tenant identity; server derives tenant from authenticated identity and never trusts a client-supplied tenant ID.</w:t>
      </w:r>
    </w:p>
    <w:p>
      <w:pPr>
        <w:pStyle w:val="ListBullet"/>
      </w:pPr>
      <w:r>
        <w:t>☐ Plan, price/version, order, subscription, entitlement, payment allocation and audit-event data model with database constraints.</w:t>
      </w:r>
    </w:p>
    <w:p>
      <w:pPr>
        <w:pStyle w:val="ListBullet"/>
      </w:pPr>
      <w:r>
        <w:t>☐ Server-side module and feature authorization; sidebar hiding alone is not security.</w:t>
      </w:r>
    </w:p>
    <w:p>
      <w:pPr>
        <w:pStyle w:val="ListBullet"/>
      </w:pPr>
      <w:r>
        <w:t>☐ Secure invitation/password reset, owner/admin roles, MFA decision, rate limiting and secret encryption.</w:t>
      </w:r>
    </w:p>
    <w:p>
      <w:pPr>
        <w:pStyle w:val="ListBullet"/>
      </w:pPr>
      <w:r>
        <w:t>☐ Razorpay webhook signature verification, idempotency, replay safety and transactional provisioning.</w:t>
      </w:r>
    </w:p>
    <w:p>
      <w:pPr>
        <w:pStyle w:val="ListBullet"/>
      </w:pPr>
      <w:r>
        <w:t>☐ Privacy/terms/DPA, data retention/export/deletion, backup/restore and incident response approved for product customers.</w:t>
      </w:r>
    </w:p>
    <w:p>
      <w:pPr>
        <w:pStyle w:val="Heading2"/>
      </w:pPr>
      <w:r>
        <w:t>P1 — required for controlled commercial operations</w:t>
      </w:r>
    </w:p>
    <w:p>
      <w:pPr>
        <w:pStyle w:val="ListBullet"/>
      </w:pPr>
      <w:r>
        <w:t>☐ Public pricing/quote page, registration, checkout, payment-success/pending/failure pages and onboarding status screen.</w:t>
      </w:r>
    </w:p>
    <w:p>
      <w:pPr>
        <w:pStyle w:val="ListBullet"/>
      </w:pPr>
      <w:r>
        <w:t>☐ Offline payment request/proof/approval, invoice/receipt, reconciliation, refund and credit-note workflow.</w:t>
      </w:r>
    </w:p>
    <w:p>
      <w:pPr>
        <w:pStyle w:val="ListBullet"/>
      </w:pPr>
      <w:r>
        <w:t>☐ Subscription start/end rules, timezone, renewal, grace period, suspension, cancellation, upgrade/downgrade and proration rules.</w:t>
      </w:r>
    </w:p>
    <w:p>
      <w:pPr>
        <w:pStyle w:val="ListBullet"/>
      </w:pPr>
      <w:r>
        <w:t>☐ Provisioning queue, owner, SLA, integration checklist, test transaction, welcome pack and training handoff.</w:t>
      </w:r>
    </w:p>
    <w:p>
      <w:pPr>
        <w:pStyle w:val="ListBullet"/>
      </w:pPr>
      <w:r>
        <w:t>☐ Usage meters/limits for users, leads/prospects, messages/emails, campaigns, AI calls and storage; overage behavior.</w:t>
      </w:r>
    </w:p>
    <w:p>
      <w:pPr>
        <w:pStyle w:val="ListBullet"/>
      </w:pPr>
      <w:r>
        <w:t>☐ Renewal and failed-payment communications; support escalation and customer-visible billing history.</w:t>
      </w:r>
    </w:p>
    <w:p>
      <w:pPr>
        <w:pStyle w:val="Heading2"/>
      </w:pPr>
      <w:r>
        <w:t>P2 — scale and optimization</w:t>
      </w:r>
    </w:p>
    <w:p>
      <w:pPr>
        <w:pStyle w:val="ListBullet"/>
      </w:pPr>
      <w:r>
        <w:t>☐ Bulk onboarding, SSO, coupons/trials, partner/reseller model, multi-currency, advanced revenue analytics and self-service plan changes.</w:t>
      </w:r>
    </w:p>
    <w:p>
      <w:pPr>
        <w:pStyle w:val="ListBullet"/>
      </w:pPr>
      <w:r>
        <w:t>☐ Automated integration health, customer success scoring, churn controls and SLA reporting.</w:t>
      </w:r>
    </w:p>
    <w:p>
      <w:pPr>
        <w:pStyle w:val="Heading1"/>
      </w:pPr>
      <w:r>
        <w:t>11. Proposed implementation blueprint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8"/>
          </w:tcPr>
          <w:p>
            <w:r/>
            <w:r>
              <w:rPr>
                <w:b/>
                <w:color w:val="FFFFFF"/>
                <w:sz w:val="17"/>
              </w:rPr>
              <w:t>Phase</w:t>
            </w:r>
          </w:p>
        </w:tc>
        <w:tc>
          <w:tcPr>
            <w:tcW w:type="dxa" w:w="3456"/>
            <w:vAlign w:val="center"/>
            <w:shd w:fill="1F4E78"/>
          </w:tcPr>
          <w:p>
            <w:r/>
            <w:r>
              <w:rPr>
                <w:b/>
                <w:color w:val="FFFFFF"/>
                <w:sz w:val="17"/>
              </w:rPr>
              <w:t>Deliverables</w:t>
            </w:r>
          </w:p>
        </w:tc>
        <w:tc>
          <w:tcPr>
            <w:tcW w:type="dxa" w:w="3456"/>
            <w:vAlign w:val="center"/>
            <w:shd w:fill="1F4E78"/>
          </w:tcPr>
          <w:p>
            <w:r/>
            <w:r>
              <w:rPr>
                <w:b/>
                <w:color w:val="FFFFFF"/>
                <w:sz w:val="17"/>
              </w:rPr>
              <w:t>Exit test</w:t>
            </w:r>
          </w:p>
        </w:tc>
      </w:tr>
      <w:tr>
        <w:tc>
          <w:tcPr>
            <w:tcW w:type="dxa" w:w="3456"/>
            <w:vAlign w:val="center"/>
          </w:tcPr>
          <w:p>
            <w:r/>
            <w:r>
              <w:rPr>
                <w:b w:val="0"/>
                <w:sz w:val="17"/>
              </w:rPr>
              <w:t>0 — Commercial decisions</w:t>
            </w:r>
          </w:p>
        </w:tc>
        <w:tc>
          <w:tcPr>
            <w:tcW w:type="dxa" w:w="3456"/>
            <w:vAlign w:val="center"/>
          </w:tcPr>
          <w:p>
            <w:r/>
            <w:r>
              <w:rPr>
                <w:b w:val="0"/>
                <w:sz w:val="17"/>
              </w:rPr>
              <w:t>Approve packages, price, duration, taxes, limits, setup fees, trial/refund/grace/cancellation policies</w:t>
            </w:r>
          </w:p>
        </w:tc>
        <w:tc>
          <w:tcPr>
            <w:tcW w:type="dxa" w:w="3456"/>
            <w:vAlign w:val="center"/>
          </w:tcPr>
          <w:p>
            <w:r/>
            <w:r>
              <w:rPr>
                <w:b w:val="0"/>
                <w:sz w:val="17"/>
              </w:rPr>
              <w:t>Signed product decision sheet and terms</w:t>
            </w:r>
          </w:p>
        </w:tc>
      </w:tr>
      <w:tr>
        <w:tc>
          <w:tcPr>
            <w:tcW w:type="dxa" w:w="3456"/>
            <w:vAlign w:val="center"/>
            <w:shd w:fill="EAF2F8"/>
          </w:tcPr>
          <w:p>
            <w:r/>
            <w:r>
              <w:rPr>
                <w:b w:val="0"/>
                <w:sz w:val="17"/>
              </w:rPr>
              <w:t>1 — SaaS foundation</w:t>
            </w:r>
          </w:p>
        </w:tc>
        <w:tc>
          <w:tcPr>
            <w:tcW w:type="dxa" w:w="3456"/>
            <w:vAlign w:val="center"/>
            <w:shd w:fill="EAF2F8"/>
          </w:tcPr>
          <w:p>
            <w:r/>
            <w:r>
              <w:rPr>
                <w:b w:val="0"/>
                <w:sz w:val="17"/>
              </w:rPr>
              <w:t>Tenant scoping, migrations, plan/price/order/subscription/entitlement/audit models, RBAC, tests</w:t>
            </w:r>
          </w:p>
        </w:tc>
        <w:tc>
          <w:tcPr>
            <w:tcW w:type="dxa" w:w="3456"/>
            <w:vAlign w:val="center"/>
            <w:shd w:fill="EAF2F8"/>
          </w:tcPr>
          <w:p>
            <w:r/>
            <w:r>
              <w:rPr>
                <w:b w:val="0"/>
                <w:sz w:val="17"/>
              </w:rPr>
              <w:t>Two test tenants cannot see or change each other’s data</w:t>
            </w:r>
          </w:p>
        </w:tc>
      </w:tr>
      <w:tr>
        <w:tc>
          <w:tcPr>
            <w:tcW w:type="dxa" w:w="3456"/>
            <w:vAlign w:val="center"/>
          </w:tcPr>
          <w:p>
            <w:r/>
            <w:r>
              <w:rPr>
                <w:b w:val="0"/>
                <w:sz w:val="17"/>
              </w:rPr>
              <w:t>2 — Sales and billing</w:t>
            </w:r>
          </w:p>
        </w:tc>
        <w:tc>
          <w:tcPr>
            <w:tcW w:type="dxa" w:w="3456"/>
            <w:vAlign w:val="center"/>
          </w:tcPr>
          <w:p>
            <w:r/>
            <w:r>
              <w:rPr>
                <w:b w:val="0"/>
                <w:sz w:val="17"/>
              </w:rPr>
              <w:t>Pricing/quote, registration, verification, Razorpay checkout/webhooks, offline approval, invoices</w:t>
            </w:r>
          </w:p>
        </w:tc>
        <w:tc>
          <w:tcPr>
            <w:tcW w:type="dxa" w:w="3456"/>
            <w:vAlign w:val="center"/>
          </w:tcPr>
          <w:p>
            <w:r/>
            <w:r>
              <w:rPr>
                <w:b w:val="0"/>
                <w:sz w:val="17"/>
              </w:rPr>
              <w:t>Paid and offline-approved test orders reconcile exactly once</w:t>
            </w:r>
          </w:p>
        </w:tc>
      </w:tr>
      <w:tr>
        <w:tc>
          <w:tcPr>
            <w:tcW w:type="dxa" w:w="3456"/>
            <w:vAlign w:val="center"/>
            <w:shd w:fill="EAF2F8"/>
          </w:tcPr>
          <w:p>
            <w:r/>
            <w:r>
              <w:rPr>
                <w:b w:val="0"/>
                <w:sz w:val="17"/>
              </w:rPr>
              <w:t>3 — Provisioning</w:t>
            </w:r>
          </w:p>
        </w:tc>
        <w:tc>
          <w:tcPr>
            <w:tcW w:type="dxa" w:w="3456"/>
            <w:vAlign w:val="center"/>
            <w:shd w:fill="EAF2F8"/>
          </w:tcPr>
          <w:p>
            <w:r/>
            <w:r>
              <w:rPr>
                <w:b w:val="0"/>
                <w:sz w:val="17"/>
              </w:rPr>
              <w:t>Tenant/user invite, module enablement, onboarding case/checklist, integrations, welcome notifications</w:t>
            </w:r>
          </w:p>
        </w:tc>
        <w:tc>
          <w:tcPr>
            <w:tcW w:type="dxa" w:w="3456"/>
            <w:vAlign w:val="center"/>
            <w:shd w:fill="EAF2F8"/>
          </w:tcPr>
          <w:p>
            <w:r/>
            <w:r>
              <w:rPr>
                <w:b w:val="0"/>
                <w:sz w:val="17"/>
              </w:rPr>
              <w:t>A new customer reaches active without direct database edits</w:t>
            </w:r>
          </w:p>
        </w:tc>
      </w:tr>
      <w:tr>
        <w:tc>
          <w:tcPr>
            <w:tcW w:type="dxa" w:w="3456"/>
            <w:vAlign w:val="center"/>
          </w:tcPr>
          <w:p>
            <w:r/>
            <w:r>
              <w:rPr>
                <w:b w:val="0"/>
                <w:sz w:val="17"/>
              </w:rPr>
              <w:t>4 — Lifecycle</w:t>
            </w:r>
          </w:p>
        </w:tc>
        <w:tc>
          <w:tcPr>
            <w:tcW w:type="dxa" w:w="3456"/>
            <w:vAlign w:val="center"/>
          </w:tcPr>
          <w:p>
            <w:r/>
            <w:r>
              <w:rPr>
                <w:b w:val="0"/>
                <w:sz w:val="17"/>
              </w:rPr>
              <w:t>Renewal, retries, reminders, grace, suspend/reactivate/cancel, upgrade/downgrade, data policy</w:t>
            </w:r>
          </w:p>
        </w:tc>
        <w:tc>
          <w:tcPr>
            <w:tcW w:type="dxa" w:w="3456"/>
            <w:vAlign w:val="center"/>
          </w:tcPr>
          <w:p>
            <w:r/>
            <w:r>
              <w:rPr>
                <w:b w:val="0"/>
                <w:sz w:val="17"/>
              </w:rPr>
              <w:t>Date/payment scenarios pass automated acceptance tests</w:t>
            </w:r>
          </w:p>
        </w:tc>
      </w:tr>
      <w:tr>
        <w:tc>
          <w:tcPr>
            <w:tcW w:type="dxa" w:w="3456"/>
            <w:vAlign w:val="center"/>
            <w:shd w:fill="EAF2F8"/>
          </w:tcPr>
          <w:p>
            <w:r/>
            <w:r>
              <w:rPr>
                <w:b w:val="0"/>
                <w:sz w:val="17"/>
              </w:rPr>
              <w:t>5 — Launch readiness</w:t>
            </w:r>
          </w:p>
        </w:tc>
        <w:tc>
          <w:tcPr>
            <w:tcW w:type="dxa" w:w="3456"/>
            <w:vAlign w:val="center"/>
            <w:shd w:fill="EAF2F8"/>
          </w:tcPr>
          <w:p>
            <w:r/>
            <w:r>
              <w:rPr>
                <w:b w:val="0"/>
                <w:sz w:val="17"/>
              </w:rPr>
              <w:t>Security review, load/backup/restore, monitoring, support runbooks, pilot customers</w:t>
            </w:r>
          </w:p>
        </w:tc>
        <w:tc>
          <w:tcPr>
            <w:tcW w:type="dxa" w:w="3456"/>
            <w:vAlign w:val="center"/>
            <w:shd w:fill="EAF2F8"/>
          </w:tcPr>
          <w:p>
            <w:r/>
            <w:r>
              <w:rPr>
                <w:b w:val="0"/>
                <w:sz w:val="17"/>
              </w:rPr>
              <w:t>Pilot sign-off and rollback procedure approved</w:t>
            </w:r>
          </w:p>
        </w:tc>
      </w:tr>
    </w:tbl>
    <w:p/>
    <w:p>
      <w:pPr>
        <w:pStyle w:val="Heading1"/>
      </w:pPr>
      <w:r>
        <w:t>12. Decision sheet — complete before implementation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8"/>
          </w:tcPr>
          <w:p>
            <w:r/>
            <w:r>
              <w:rPr>
                <w:b/>
                <w:color w:val="FFFFFF"/>
                <w:sz w:val="17"/>
              </w:rPr>
              <w:t>Decision</w:t>
            </w:r>
          </w:p>
        </w:tc>
        <w:tc>
          <w:tcPr>
            <w:tcW w:type="dxa" w:w="3456"/>
            <w:vAlign w:val="center"/>
            <w:shd w:fill="1F4E78"/>
          </w:tcPr>
          <w:p>
            <w:r/>
            <w:r>
              <w:rPr>
                <w:b/>
                <w:color w:val="FFFFFF"/>
                <w:sz w:val="17"/>
              </w:rPr>
              <w:t>Select / fill</w:t>
            </w:r>
          </w:p>
        </w:tc>
        <w:tc>
          <w:tcPr>
            <w:tcW w:type="dxa" w:w="3456"/>
            <w:vAlign w:val="center"/>
            <w:shd w:fill="1F4E78"/>
          </w:tcPr>
          <w:p>
            <w:r/>
            <w:r>
              <w:rPr>
                <w:b/>
                <w:color w:val="FFFFFF"/>
                <w:sz w:val="17"/>
              </w:rPr>
              <w:t>Owner / approval</w:t>
            </w:r>
          </w:p>
        </w:tc>
      </w:tr>
      <w:tr>
        <w:tc>
          <w:tcPr>
            <w:tcW w:type="dxa" w:w="3456"/>
            <w:vAlign w:val="center"/>
          </w:tcPr>
          <w:p>
            <w:r/>
            <w:r>
              <w:rPr>
                <w:b w:val="0"/>
                <w:sz w:val="17"/>
              </w:rPr>
              <w:t>Packages</w:t>
            </w:r>
          </w:p>
        </w:tc>
        <w:tc>
          <w:tcPr>
            <w:tcW w:type="dxa" w:w="3456"/>
            <w:vAlign w:val="center"/>
          </w:tcPr>
          <w:p>
            <w:r/>
            <w:r>
              <w:rPr>
                <w:b w:val="0"/>
                <w:sz w:val="17"/>
              </w:rPr>
              <w:t>☐ LeadOS  ☐ AllianceOS  ☐ Growth Suite  ☐ Custom</w:t>
            </w:r>
          </w:p>
        </w:tc>
        <w:tc>
          <w:tcPr>
            <w:tcW w:type="dxa" w:w="3456"/>
            <w:vAlign w:val="center"/>
          </w:tcPr>
          <w:p>
            <w:r/>
            <w:r>
              <w:rPr>
                <w:b w:val="0"/>
                <w:sz w:val="17"/>
              </w:rPr>
              <w:t>________________</w:t>
            </w:r>
          </w:p>
        </w:tc>
      </w:tr>
      <w:tr>
        <w:tc>
          <w:tcPr>
            <w:tcW w:type="dxa" w:w="3456"/>
            <w:vAlign w:val="center"/>
            <w:shd w:fill="EAF2F8"/>
          </w:tcPr>
          <w:p>
            <w:r/>
            <w:r>
              <w:rPr>
                <w:b w:val="0"/>
                <w:sz w:val="17"/>
              </w:rPr>
              <w:t>Published tiers</w:t>
            </w:r>
          </w:p>
        </w:tc>
        <w:tc>
          <w:tcPr>
            <w:tcW w:type="dxa" w:w="3456"/>
            <w:vAlign w:val="center"/>
            <w:shd w:fill="EAF2F8"/>
          </w:tcPr>
          <w:p>
            <w:r/>
            <w:r>
              <w:rPr>
                <w:b w:val="0"/>
                <w:sz w:val="17"/>
              </w:rPr>
              <w:t>☐ Starter  ☐ Growth  ☐ Scale  ☐ Enterprise</w:t>
            </w:r>
          </w:p>
        </w:tc>
        <w:tc>
          <w:tcPr>
            <w:tcW w:type="dxa" w:w="3456"/>
            <w:vAlign w:val="center"/>
            <w:shd w:fill="EAF2F8"/>
          </w:tcPr>
          <w:p>
            <w:r/>
            <w:r>
              <w:rPr>
                <w:b w:val="0"/>
                <w:sz w:val="17"/>
              </w:rPr>
              <w:t>________________</w:t>
            </w:r>
          </w:p>
        </w:tc>
      </w:tr>
      <w:tr>
        <w:tc>
          <w:tcPr>
            <w:tcW w:type="dxa" w:w="3456"/>
            <w:vAlign w:val="center"/>
          </w:tcPr>
          <w:p>
            <w:r/>
            <w:r>
              <w:rPr>
                <w:b w:val="0"/>
                <w:sz w:val="17"/>
              </w:rPr>
              <w:t>Approved monthly prices</w:t>
            </w:r>
          </w:p>
        </w:tc>
        <w:tc>
          <w:tcPr>
            <w:tcW w:type="dxa" w:w="3456"/>
            <w:vAlign w:val="center"/>
          </w:tcPr>
          <w:p>
            <w:r/>
            <w:r>
              <w:rPr>
                <w:b w:val="0"/>
                <w:sz w:val="17"/>
              </w:rPr>
              <w:t>LeadOS ₹_____  AllianceOS ₹_____  Bundle ₹_____</w:t>
            </w:r>
          </w:p>
        </w:tc>
        <w:tc>
          <w:tcPr>
            <w:tcW w:type="dxa" w:w="3456"/>
            <w:vAlign w:val="center"/>
          </w:tcPr>
          <w:p>
            <w:r/>
            <w:r>
              <w:rPr>
                <w:b w:val="0"/>
                <w:sz w:val="17"/>
              </w:rPr>
              <w:t>________________</w:t>
            </w:r>
          </w:p>
        </w:tc>
      </w:tr>
      <w:tr>
        <w:tc>
          <w:tcPr>
            <w:tcW w:type="dxa" w:w="3456"/>
            <w:vAlign w:val="center"/>
            <w:shd w:fill="EAF2F8"/>
          </w:tcPr>
          <w:p>
            <w:r/>
            <w:r>
              <w:rPr>
                <w:b w:val="0"/>
                <w:sz w:val="17"/>
              </w:rPr>
              <w:t>Terms</w:t>
            </w:r>
          </w:p>
        </w:tc>
        <w:tc>
          <w:tcPr>
            <w:tcW w:type="dxa" w:w="3456"/>
            <w:vAlign w:val="center"/>
            <w:shd w:fill="EAF2F8"/>
          </w:tcPr>
          <w:p>
            <w:r/>
            <w:r>
              <w:rPr>
                <w:b w:val="0"/>
                <w:sz w:val="17"/>
              </w:rPr>
              <w:t>☐ 1 month  ☐ 3 months  ☐ 1 year  ☐ 2 years  ☐ Custom</w:t>
            </w:r>
          </w:p>
        </w:tc>
        <w:tc>
          <w:tcPr>
            <w:tcW w:type="dxa" w:w="3456"/>
            <w:vAlign w:val="center"/>
            <w:shd w:fill="EAF2F8"/>
          </w:tcPr>
          <w:p>
            <w:r/>
            <w:r>
              <w:rPr>
                <w:b w:val="0"/>
                <w:sz w:val="17"/>
              </w:rPr>
              <w:t>________________</w:t>
            </w:r>
          </w:p>
        </w:tc>
      </w:tr>
      <w:tr>
        <w:tc>
          <w:tcPr>
            <w:tcW w:type="dxa" w:w="3456"/>
            <w:vAlign w:val="center"/>
          </w:tcPr>
          <w:p>
            <w:r/>
            <w:r>
              <w:rPr>
                <w:b w:val="0"/>
                <w:sz w:val="17"/>
              </w:rPr>
              <w:t>Discounts</w:t>
            </w:r>
          </w:p>
        </w:tc>
        <w:tc>
          <w:tcPr>
            <w:tcW w:type="dxa" w:w="3456"/>
            <w:vAlign w:val="center"/>
          </w:tcPr>
          <w:p>
            <w:r/>
            <w:r>
              <w:rPr>
                <w:b w:val="0"/>
                <w:sz w:val="17"/>
              </w:rPr>
              <w:t>3m ____% | 1y ____% | 2y ____%</w:t>
            </w:r>
          </w:p>
        </w:tc>
        <w:tc>
          <w:tcPr>
            <w:tcW w:type="dxa" w:w="3456"/>
            <w:vAlign w:val="center"/>
          </w:tcPr>
          <w:p>
            <w:r/>
            <w:r>
              <w:rPr>
                <w:b w:val="0"/>
                <w:sz w:val="17"/>
              </w:rPr>
              <w:t>________________</w:t>
            </w:r>
          </w:p>
        </w:tc>
      </w:tr>
      <w:tr>
        <w:tc>
          <w:tcPr>
            <w:tcW w:type="dxa" w:w="3456"/>
            <w:vAlign w:val="center"/>
            <w:shd w:fill="EAF2F8"/>
          </w:tcPr>
          <w:p>
            <w:r/>
            <w:r>
              <w:rPr>
                <w:b w:val="0"/>
                <w:sz w:val="17"/>
              </w:rPr>
              <w:t>Setup fee</w:t>
            </w:r>
          </w:p>
        </w:tc>
        <w:tc>
          <w:tcPr>
            <w:tcW w:type="dxa" w:w="3456"/>
            <w:vAlign w:val="center"/>
            <w:shd w:fill="EAF2F8"/>
          </w:tcPr>
          <w:p>
            <w:r/>
            <w:r>
              <w:rPr>
                <w:b w:val="0"/>
                <w:sz w:val="17"/>
              </w:rPr>
              <w:t>₹_____ / ☐ waived by approval</w:t>
            </w:r>
          </w:p>
        </w:tc>
        <w:tc>
          <w:tcPr>
            <w:tcW w:type="dxa" w:w="3456"/>
            <w:vAlign w:val="center"/>
            <w:shd w:fill="EAF2F8"/>
          </w:tcPr>
          <w:p>
            <w:r/>
            <w:r>
              <w:rPr>
                <w:b w:val="0"/>
                <w:sz w:val="17"/>
              </w:rPr>
              <w:t>________________</w:t>
            </w:r>
          </w:p>
        </w:tc>
      </w:tr>
      <w:tr>
        <w:tc>
          <w:tcPr>
            <w:tcW w:type="dxa" w:w="3456"/>
            <w:vAlign w:val="center"/>
          </w:tcPr>
          <w:p>
            <w:r/>
            <w:r>
              <w:rPr>
                <w:b w:val="0"/>
                <w:sz w:val="17"/>
              </w:rPr>
              <w:t>Tax display</w:t>
            </w:r>
          </w:p>
        </w:tc>
        <w:tc>
          <w:tcPr>
            <w:tcW w:type="dxa" w:w="3456"/>
            <w:vAlign w:val="center"/>
          </w:tcPr>
          <w:p>
            <w:r/>
            <w:r>
              <w:rPr>
                <w:b w:val="0"/>
                <w:sz w:val="17"/>
              </w:rPr>
              <w:t>☐ GST inclusive  ☐ GST extra</w:t>
            </w:r>
          </w:p>
        </w:tc>
        <w:tc>
          <w:tcPr>
            <w:tcW w:type="dxa" w:w="3456"/>
            <w:vAlign w:val="center"/>
          </w:tcPr>
          <w:p>
            <w:r/>
            <w:r>
              <w:rPr>
                <w:b w:val="0"/>
                <w:sz w:val="17"/>
              </w:rPr>
              <w:t>________________</w:t>
            </w:r>
          </w:p>
        </w:tc>
      </w:tr>
      <w:tr>
        <w:tc>
          <w:tcPr>
            <w:tcW w:type="dxa" w:w="3456"/>
            <w:vAlign w:val="center"/>
            <w:shd w:fill="EAF2F8"/>
          </w:tcPr>
          <w:p>
            <w:r/>
            <w:r>
              <w:rPr>
                <w:b w:val="0"/>
                <w:sz w:val="17"/>
              </w:rPr>
              <w:t>Payment</w:t>
            </w:r>
          </w:p>
        </w:tc>
        <w:tc>
          <w:tcPr>
            <w:tcW w:type="dxa" w:w="3456"/>
            <w:vAlign w:val="center"/>
            <w:shd w:fill="EAF2F8"/>
          </w:tcPr>
          <w:p>
            <w:r/>
            <w:r>
              <w:rPr>
                <w:b w:val="0"/>
                <w:sz w:val="17"/>
              </w:rPr>
              <w:t>☐ Online one-time  ☐ Recurring  ☐ Bank/UPI  ☐ Cheque/cash</w:t>
            </w:r>
          </w:p>
        </w:tc>
        <w:tc>
          <w:tcPr>
            <w:tcW w:type="dxa" w:w="3456"/>
            <w:vAlign w:val="center"/>
            <w:shd w:fill="EAF2F8"/>
          </w:tcPr>
          <w:p>
            <w:r/>
            <w:r>
              <w:rPr>
                <w:b w:val="0"/>
                <w:sz w:val="17"/>
              </w:rPr>
              <w:t>________________</w:t>
            </w:r>
          </w:p>
        </w:tc>
      </w:tr>
      <w:tr>
        <w:tc>
          <w:tcPr>
            <w:tcW w:type="dxa" w:w="3456"/>
            <w:vAlign w:val="center"/>
          </w:tcPr>
          <w:p>
            <w:r/>
            <w:r>
              <w:rPr>
                <w:b w:val="0"/>
                <w:sz w:val="17"/>
              </w:rPr>
              <w:t>Onboarding</w:t>
            </w:r>
          </w:p>
        </w:tc>
        <w:tc>
          <w:tcPr>
            <w:tcW w:type="dxa" w:w="3456"/>
            <w:vAlign w:val="center"/>
          </w:tcPr>
          <w:p>
            <w:r/>
            <w:r>
              <w:rPr>
                <w:b w:val="0"/>
                <w:sz w:val="17"/>
              </w:rPr>
              <w:t>☐ Hybrid  ☐ Self-service  ☐ Team form  ☐ File  ☐ Dedicated</w:t>
            </w:r>
          </w:p>
        </w:tc>
        <w:tc>
          <w:tcPr>
            <w:tcW w:type="dxa" w:w="3456"/>
            <w:vAlign w:val="center"/>
          </w:tcPr>
          <w:p>
            <w:r/>
            <w:r>
              <w:rPr>
                <w:b w:val="0"/>
                <w:sz w:val="17"/>
              </w:rPr>
              <w:t>________________</w:t>
            </w:r>
          </w:p>
        </w:tc>
      </w:tr>
      <w:tr>
        <w:tc>
          <w:tcPr>
            <w:tcW w:type="dxa" w:w="3456"/>
            <w:vAlign w:val="center"/>
            <w:shd w:fill="EAF2F8"/>
          </w:tcPr>
          <w:p>
            <w:r/>
            <w:r>
              <w:rPr>
                <w:b w:val="0"/>
                <w:sz w:val="17"/>
              </w:rPr>
              <w:t>Activation point</w:t>
            </w:r>
          </w:p>
        </w:tc>
        <w:tc>
          <w:tcPr>
            <w:tcW w:type="dxa" w:w="3456"/>
            <w:vAlign w:val="center"/>
            <w:shd w:fill="EAF2F8"/>
          </w:tcPr>
          <w:p>
            <w:r/>
            <w:r>
              <w:rPr>
                <w:b w:val="0"/>
                <w:sz w:val="17"/>
              </w:rPr>
              <w:t>☐ Payment verified  ☐ Setup complete  ☐ Contract signed + payment</w:t>
            </w:r>
          </w:p>
        </w:tc>
        <w:tc>
          <w:tcPr>
            <w:tcW w:type="dxa" w:w="3456"/>
            <w:vAlign w:val="center"/>
            <w:shd w:fill="EAF2F8"/>
          </w:tcPr>
          <w:p>
            <w:r/>
            <w:r>
              <w:rPr>
                <w:b w:val="0"/>
                <w:sz w:val="17"/>
              </w:rPr>
              <w:t>________________</w:t>
            </w:r>
          </w:p>
        </w:tc>
      </w:tr>
      <w:tr>
        <w:tc>
          <w:tcPr>
            <w:tcW w:type="dxa" w:w="3456"/>
            <w:vAlign w:val="center"/>
          </w:tcPr>
          <w:p>
            <w:r/>
            <w:r>
              <w:rPr>
                <w:b w:val="0"/>
                <w:sz w:val="17"/>
              </w:rPr>
              <w:t>Grace / suspension</w:t>
            </w:r>
          </w:p>
        </w:tc>
        <w:tc>
          <w:tcPr>
            <w:tcW w:type="dxa" w:w="3456"/>
            <w:vAlign w:val="center"/>
          </w:tcPr>
          <w:p>
            <w:r/>
            <w:r>
              <w:rPr>
                <w:b w:val="0"/>
                <w:sz w:val="17"/>
              </w:rPr>
              <w:t>Grace ____ days | Read-only ____ days | Delete/archive after ____ days</w:t>
            </w:r>
          </w:p>
        </w:tc>
        <w:tc>
          <w:tcPr>
            <w:tcW w:type="dxa" w:w="3456"/>
            <w:vAlign w:val="center"/>
          </w:tcPr>
          <w:p>
            <w:r/>
            <w:r>
              <w:rPr>
                <w:b w:val="0"/>
                <w:sz w:val="17"/>
              </w:rPr>
              <w:t>________________</w:t>
            </w:r>
          </w:p>
        </w:tc>
      </w:tr>
      <w:tr>
        <w:tc>
          <w:tcPr>
            <w:tcW w:type="dxa" w:w="3456"/>
            <w:vAlign w:val="center"/>
            <w:shd w:fill="EAF2F8"/>
          </w:tcPr>
          <w:p>
            <w:r/>
            <w:r>
              <w:rPr>
                <w:b w:val="0"/>
                <w:sz w:val="17"/>
              </w:rPr>
              <w:t>Refund/cancellation</w:t>
            </w:r>
          </w:p>
        </w:tc>
        <w:tc>
          <w:tcPr>
            <w:tcW w:type="dxa" w:w="3456"/>
            <w:vAlign w:val="center"/>
            <w:shd w:fill="EAF2F8"/>
          </w:tcPr>
          <w:p>
            <w:r/>
            <w:r>
              <w:rPr>
                <w:b w:val="0"/>
                <w:sz w:val="17"/>
              </w:rPr>
              <w:t>Notice ____ days | Refund rule ____________________</w:t>
            </w:r>
          </w:p>
        </w:tc>
        <w:tc>
          <w:tcPr>
            <w:tcW w:type="dxa" w:w="3456"/>
            <w:vAlign w:val="center"/>
            <w:shd w:fill="EAF2F8"/>
          </w:tcPr>
          <w:p>
            <w:r/>
            <w:r>
              <w:rPr>
                <w:b w:val="0"/>
                <w:sz w:val="17"/>
              </w:rPr>
              <w:t>________________</w:t>
            </w:r>
          </w:p>
        </w:tc>
      </w:tr>
      <w:tr>
        <w:tc>
          <w:tcPr>
            <w:tcW w:type="dxa" w:w="3456"/>
            <w:vAlign w:val="center"/>
          </w:tcPr>
          <w:p>
            <w:r/>
            <w:r>
              <w:rPr>
                <w:b w:val="0"/>
                <w:sz w:val="17"/>
              </w:rPr>
              <w:t>Included usage</w:t>
            </w:r>
          </w:p>
        </w:tc>
        <w:tc>
          <w:tcPr>
            <w:tcW w:type="dxa" w:w="3456"/>
            <w:vAlign w:val="center"/>
          </w:tcPr>
          <w:p>
            <w:r/>
            <w:r>
              <w:rPr>
                <w:b w:val="0"/>
                <w:sz w:val="17"/>
              </w:rPr>
              <w:t>Users ___ | leads/prospects ___ | messages/emails ___ | AI ___ | storage ___</w:t>
            </w:r>
          </w:p>
        </w:tc>
        <w:tc>
          <w:tcPr>
            <w:tcW w:type="dxa" w:w="3456"/>
            <w:vAlign w:val="center"/>
          </w:tcPr>
          <w:p>
            <w:r/>
            <w:r>
              <w:rPr>
                <w:b w:val="0"/>
                <w:sz w:val="17"/>
              </w:rPr>
              <w:t>________________</w:t>
            </w:r>
          </w:p>
        </w:tc>
      </w:tr>
      <w:tr>
        <w:tc>
          <w:tcPr>
            <w:tcW w:type="dxa" w:w="3456"/>
            <w:vAlign w:val="center"/>
            <w:shd w:fill="EAF2F8"/>
          </w:tcPr>
          <w:p>
            <w:r/>
            <w:r>
              <w:rPr>
                <w:b w:val="0"/>
                <w:sz w:val="17"/>
              </w:rPr>
              <w:t>Provider charges</w:t>
            </w:r>
          </w:p>
        </w:tc>
        <w:tc>
          <w:tcPr>
            <w:tcW w:type="dxa" w:w="3456"/>
            <w:vAlign w:val="center"/>
            <w:shd w:fill="EAF2F8"/>
          </w:tcPr>
          <w:p>
            <w:r/>
            <w:r>
              <w:rPr>
                <w:b w:val="0"/>
                <w:sz w:val="17"/>
              </w:rPr>
              <w:t>☐ Included to limit  ☐ Pass-through  ☐ Customer-owned accounts</w:t>
            </w:r>
          </w:p>
        </w:tc>
        <w:tc>
          <w:tcPr>
            <w:tcW w:type="dxa" w:w="3456"/>
            <w:vAlign w:val="center"/>
            <w:shd w:fill="EAF2F8"/>
          </w:tcPr>
          <w:p>
            <w:r/>
            <w:r>
              <w:rPr>
                <w:b w:val="0"/>
                <w:sz w:val="17"/>
              </w:rPr>
              <w:t>________________</w:t>
            </w:r>
          </w:p>
        </w:tc>
      </w:tr>
      <w:tr>
        <w:tc>
          <w:tcPr>
            <w:tcW w:type="dxa" w:w="3456"/>
            <w:vAlign w:val="center"/>
          </w:tcPr>
          <w:p>
            <w:r/>
            <w:r>
              <w:rPr>
                <w:b w:val="0"/>
                <w:sz w:val="17"/>
              </w:rPr>
              <w:t>Support</w:t>
            </w:r>
          </w:p>
        </w:tc>
        <w:tc>
          <w:tcPr>
            <w:tcW w:type="dxa" w:w="3456"/>
            <w:vAlign w:val="center"/>
          </w:tcPr>
          <w:p>
            <w:r/>
            <w:r>
              <w:rPr>
                <w:b w:val="0"/>
                <w:sz w:val="17"/>
              </w:rPr>
              <w:t>Channels __________ | Hours __________ | SLA __________</w:t>
            </w:r>
          </w:p>
        </w:tc>
        <w:tc>
          <w:tcPr>
            <w:tcW w:type="dxa" w:w="3456"/>
            <w:vAlign w:val="center"/>
          </w:tcPr>
          <w:p>
            <w:r/>
            <w:r>
              <w:rPr>
                <w:b w:val="0"/>
                <w:sz w:val="17"/>
              </w:rPr>
              <w:t>________________</w:t>
            </w:r>
          </w:p>
        </w:tc>
      </w:tr>
    </w:tbl>
    <w:p/>
    <w:p>
      <w:pPr>
        <w:pStyle w:val="Heading1"/>
      </w:pPr>
      <w:r>
        <w:t>Appendix A — Suggested core records</w:t>
      </w:r>
    </w:p>
    <w:p>
      <w:r>
        <w:t>At minimum: tenants, users, invitations, products, plans, plan_prices (versioned), plan_features, orders, order_items, subscriptions, subscription_items/module_entitlements, payments, payment_allocations, invoices, offline_payment_proofs, usage_events/counters, onboarding_cases/tasks, integration_connections, consent_acceptances and audit_events. Use exact start/end timestamps rather than only text such as ‘1 Month’. Preserve the purchased price/version so later price changes do not rewrite historical contracts.</w:t>
      </w:r>
    </w:p>
    <w:p>
      <w:pPr>
        <w:pStyle w:val="Heading1"/>
      </w:pPr>
      <w:r>
        <w:t>Appendix B — Acceptance scenarios</w:t>
      </w:r>
    </w:p>
    <w:p>
      <w:pPr>
        <w:pStyle w:val="ListBullet"/>
      </w:pPr>
      <w:r>
        <w:t>☐ Two tenants use identical lead/prospect names and still see only their own data, attachments, reports, sockets and background jobs.</w:t>
      </w:r>
    </w:p>
    <w:p>
      <w:pPr>
        <w:pStyle w:val="ListBullet"/>
      </w:pPr>
      <w:r>
        <w:t>☐ A duplicate/replayed payment webhook creates only one payment allocation and one subscription activation.</w:t>
      </w:r>
    </w:p>
    <w:p>
      <w:pPr>
        <w:pStyle w:val="ListBullet"/>
      </w:pPr>
      <w:r>
        <w:t>☐ An offline payment cannot activate until an authorized second person approves it.</w:t>
      </w:r>
    </w:p>
    <w:p>
      <w:pPr>
        <w:pStyle w:val="ListBullet"/>
      </w:pPr>
      <w:r>
        <w:t>☐ LeadOS-only customers receive 403 from AllianceOS APIs even if they manually enter the URL; the reverse also applies.</w:t>
      </w:r>
    </w:p>
    <w:p>
      <w:pPr>
        <w:pStyle w:val="ListBullet"/>
      </w:pPr>
      <w:r>
        <w:t>☐ Expiry at the defined timezone moves the account through grace/restricted/suspended states exactly as approved.</w:t>
      </w:r>
    </w:p>
    <w:p>
      <w:pPr>
        <w:pStyle w:val="ListBullet"/>
      </w:pPr>
      <w:r>
        <w:t>☐ Upgrade/downgrade, cancellation, refund and reactivation preserve a complete audit trail and invoice correctness.</w:t>
      </w:r>
    </w:p>
    <w:p>
      <w:pPr>
        <w:pStyle w:val="ListBullet"/>
      </w:pPr>
      <w:r>
        <w:t>☐ Invitation links expire, cannot be reused, and require password setup/MFA according to policy.</w:t>
      </w:r>
    </w:p>
    <w:p>
      <w:pPr>
        <w:pStyle w:val="ListBullet"/>
      </w:pPr>
      <w:r>
        <w:t>☐ No exported file, log, email, error response or analytics query leaks another tenant’s data or integration secret.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LeadOS + AllianceOS subscription product decision draft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