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isma-plan-de-migración-y-estado-actual"/>
    <w:p>
      <w:pPr>
        <w:pStyle w:val="Heading1"/>
      </w:pPr>
      <w:r>
        <w:t xml:space="preserve">Prisma — Plan de Migración y Estado Actual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Consolidación completada.</w:t>
      </w:r>
      <w:r>
        <w:t xml:space="preserve"> </w:t>
      </w:r>
      <w:r>
        <w:t xml:space="preserve">El schema Prisma y las migraciones están estabilizados para PostgreSQL.</w:t>
      </w:r>
    </w:p>
    <w:p>
      <w:r>
        <w:pict>
          <v:rect style="width:0;height:1.5pt" o:hralign="center" o:hrstd="t" o:hr="t"/>
        </w:pict>
      </w:r>
    </w:p>
    <w:bookmarkEnd w:id="20"/>
    <w:bookmarkStart w:id="21" w:name="fuente-de-verdad"/>
    <w:p>
      <w:pPr>
        <w:pStyle w:val="Heading2"/>
      </w:pPr>
      <w:r>
        <w:t xml:space="preserve">Fuente de Verdad</w:t>
      </w:r>
    </w:p>
    <w:p>
      <w:pPr>
        <w:pStyle w:val="FirstParagraph"/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(1254 líneas) es la fuente de verdad del modelo de datos. Incluye todos los modelos, enums, relaciones, índices,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BranchModuleConfig</w:t>
      </w:r>
      <w:r>
        <w:t xml:space="preserve">, y los modelos del motor de reorden.</w:t>
      </w:r>
    </w:p>
    <w:p>
      <w:r>
        <w:pict>
          <v:rect style="width:0;height:1.5pt" o:hralign="center" o:hrstd="t" o:hr="t"/>
        </w:pict>
      </w:r>
    </w:p>
    <w:bookmarkEnd w:id="21"/>
    <w:bookmarkStart w:id="22" w:name="cadena-de-migraciones-activa"/>
    <w:p>
      <w:pPr>
        <w:pStyle w:val="Heading2"/>
      </w:pPr>
      <w:r>
        <w:t xml:space="preserve">Cadena de Migraciones Activa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322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20260518000000_current_postgresql_baseline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generado desde</w:t>
            </w:r>
            <w:r>
              <w:t xml:space="preserve"> </w:t>
            </w:r>
            <w:r>
              <w:rPr>
                <w:rStyle w:val="VerbatimChar"/>
              </w:rPr>
              <w:t xml:space="preserve">schema.prisma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prisma migrate diff --from-empty</w:t>
            </w:r>
            <w:r>
              <w:t xml:space="preserve">. Contiene todos los modelos actuales.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20260518001000_payment_one_posted_per_sale_order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único parcial PostgreSQL:</w:t>
            </w:r>
            <w:r>
              <w:t xml:space="preserve"> </w:t>
            </w:r>
            <w:r>
              <w:rPr>
                <w:rStyle w:val="VerbatimChar"/>
              </w:rPr>
              <w:t xml:space="preserve">Payment_one_posted_per_sale_order</w:t>
            </w:r>
            <w:r>
              <w:t xml:space="preserve"> </w:t>
            </w:r>
            <w:r>
              <w:t xml:space="preserve">(no modelable directamente en Prisma).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igraciones-archivadas"/>
    <w:p>
      <w:pPr>
        <w:pStyle w:val="Heading2"/>
      </w:pPr>
      <w:r>
        <w:t xml:space="preserve">Migraciones Archivadas</w:t>
      </w:r>
    </w:p>
    <w:p>
      <w:pPr>
        <w:pStyle w:val="FirstParagraph"/>
      </w:pPr>
      <w:r>
        <w:t xml:space="preserve">Las migraciones anteriores están en</w:t>
      </w:r>
      <w:r>
        <w:t xml:space="preserve"> </w:t>
      </w:r>
      <w:r>
        <w:rPr>
          <w:rStyle w:val="VerbatimChar"/>
        </w:rPr>
        <w:t xml:space="preserve">prisma/migrations_archived/</w:t>
      </w:r>
      <w:r>
        <w:t xml:space="preserve"> </w:t>
      </w:r>
      <w:r>
        <w:t xml:space="preserve">como referencia histórica. No deben restaurarse a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 </w:t>
      </w:r>
      <w:r>
        <w:t xml:space="preserve">— contenían una mezcla de SQL SQLite, baselines PostgreSQL duplicados y migraciones incrementales ya incluidas en el baseline actual.</w:t>
      </w:r>
    </w:p>
    <w:p>
      <w:r>
        <w:pict>
          <v:rect style="width:0;height:1.5pt" o:hralign="center" o:hrstd="t" o:hr="t"/>
        </w:pict>
      </w:r>
    </w:p>
    <w:bookmarkEnd w:id="23"/>
    <w:bookmarkStart w:id="26" w:name="comandos-de-producción"/>
    <w:p>
      <w:pPr>
        <w:pStyle w:val="Heading2"/>
      </w:pPr>
      <w:r>
        <w:t xml:space="preserve">Comandos de Producción</w:t>
      </w:r>
    </w:p>
    <w:bookmarkStart w:id="24" w:name="base-de-datos-nueva-vacía"/>
    <w:p>
      <w:pPr>
        <w:pStyle w:val="Heading3"/>
      </w:pPr>
      <w:r>
        <w:t xml:space="preserve">Base de datos nueva (vacía)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validate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bookmarkEnd w:id="24"/>
    <w:bookmarkStart w:id="25" w:name="X85d982ccd1c807f2048f200063c7ac60c85f01e"/>
    <w:p>
      <w:pPr>
        <w:pStyle w:val="Heading3"/>
      </w:pPr>
      <w:r>
        <w:t xml:space="preserve">Base de datos existente (ya tiene el schema)</w:t>
      </w:r>
    </w:p>
    <w:p>
      <w:pPr>
        <w:pStyle w:val="FirstParagraph"/>
      </w:pPr>
      <w:r>
        <w:t xml:space="preserve">Si la base de datos de producción ya coincide con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, marcar el baseline como aplicado sin ejecutarlo:</w:t>
      </w:r>
    </w:p>
    <w:p>
      <w:pPr>
        <w:pStyle w:val="SourceCode"/>
      </w:pPr>
      <w:r>
        <w:rPr>
          <w:rStyle w:val="CommentTok"/>
        </w:rPr>
        <w:t xml:space="preserve"># 1. Verificar el estado de migraciones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status</w:t>
      </w:r>
      <w:r>
        <w:br/>
      </w:r>
      <w:r>
        <w:br/>
      </w:r>
      <w:r>
        <w:rPr>
          <w:rStyle w:val="CommentTok"/>
        </w:rPr>
        <w:t xml:space="preserve"># 2. Si el schema ya coincide, marcar como aplicado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resolve </w:t>
      </w:r>
      <w:r>
        <w:rPr>
          <w:rStyle w:val="AttributeTok"/>
        </w:rPr>
        <w:t xml:space="preserve">--applied</w:t>
      </w:r>
      <w:r>
        <w:rPr>
          <w:rStyle w:val="NormalTok"/>
        </w:rPr>
        <w:t xml:space="preserve"> 20260518000000_current_postgresql_baseline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Solo usar</w:t>
      </w:r>
      <w:r>
        <w:t xml:space="preserve"> </w:t>
      </w:r>
      <w:r>
        <w:rPr>
          <w:rStyle w:val="VerbatimChar"/>
        </w:rPr>
        <w:t xml:space="preserve">migrate resolve</w:t>
      </w:r>
      <w:r>
        <w:t xml:space="preserve"> </w:t>
      </w:r>
      <w:r>
        <w:t xml:space="preserve">después de verificar que el schema en producción coincide con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las"/>
    <w:p>
      <w:pPr>
        <w:pStyle w:val="Heading2"/>
      </w:pPr>
      <w:r>
        <w:t xml:space="preserve">Reglas</w:t>
      </w:r>
    </w:p>
    <w:p>
      <w:pPr>
        <w:numPr>
          <w:ilvl w:val="0"/>
          <w:numId w:val="1001"/>
        </w:numPr>
        <w:pStyle w:val="Compact"/>
      </w:pPr>
      <w:r>
        <w:t xml:space="preserve">✅ Usar solo PostgreSQL</w:t>
      </w:r>
    </w:p>
    <w:p>
      <w:pPr>
        <w:numPr>
          <w:ilvl w:val="0"/>
          <w:numId w:val="1001"/>
        </w:numPr>
        <w:pStyle w:val="Compact"/>
      </w:pPr>
      <w:r>
        <w:t xml:space="preserve">✅ Usar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en producción</w:t>
      </w:r>
    </w:p>
    <w:p>
      <w:pPr>
        <w:numPr>
          <w:ilvl w:val="0"/>
          <w:numId w:val="1001"/>
        </w:numPr>
        <w:pStyle w:val="Compact"/>
      </w:pPr>
      <w:r>
        <w:t xml:space="preserve">✅ Mantener migraciones archivadas como referencia</w:t>
      </w:r>
    </w:p>
    <w:p>
      <w:pPr>
        <w:numPr>
          <w:ilvl w:val="0"/>
          <w:numId w:val="1001"/>
        </w:numPr>
        <w:pStyle w:val="Compact"/>
      </w:pPr>
      <w:r>
        <w:t xml:space="preserve">❌ No usar SQLite</w:t>
      </w:r>
    </w:p>
    <w:p>
      <w:pPr>
        <w:numPr>
          <w:ilvl w:val="0"/>
          <w:numId w:val="1001"/>
        </w:numPr>
        <w:pStyle w:val="Compact"/>
      </w:pPr>
      <w:r>
        <w:t xml:space="preserve">❌ No usar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en producción</w:t>
      </w:r>
    </w:p>
    <w:p>
      <w:pPr>
        <w:numPr>
          <w:ilvl w:val="0"/>
          <w:numId w:val="1001"/>
        </w:numPr>
        <w:pStyle w:val="Compact"/>
      </w:pPr>
      <w:r>
        <w:t xml:space="preserve">❌ No hacer reset ni drop de bases de datos de producción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2026-05-18T17:59:20Z</dcterms:created>
  <dcterms:modified xsi:type="dcterms:W3CDTF">2026-05-18T17:59:20Z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